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D1" w:rsidRPr="00F66BD1" w:rsidRDefault="00F66BD1" w:rsidP="00F66BD1">
      <w:pPr>
        <w:pStyle w:val="NoSpacing"/>
        <w:rPr>
          <w:b/>
          <w:sz w:val="28"/>
        </w:rPr>
      </w:pPr>
      <w:r w:rsidRPr="00F66BD1">
        <w:rPr>
          <w:b/>
          <w:sz w:val="28"/>
        </w:rPr>
        <w:t>TDTMS Meeting Notes</w:t>
      </w:r>
      <w:bookmarkStart w:id="0" w:name="_GoBack"/>
      <w:bookmarkEnd w:id="0"/>
    </w:p>
    <w:p w:rsidR="00F66BD1" w:rsidRPr="00F66BD1" w:rsidRDefault="003067F8" w:rsidP="00F66BD1">
      <w:pPr>
        <w:pStyle w:val="NoSpacing"/>
        <w:rPr>
          <w:sz w:val="24"/>
        </w:rPr>
      </w:pPr>
      <w:r>
        <w:rPr>
          <w:sz w:val="24"/>
        </w:rPr>
        <w:t>April 20</w:t>
      </w:r>
      <w:r w:rsidR="00F66BD1" w:rsidRPr="00F66BD1">
        <w:rPr>
          <w:sz w:val="24"/>
        </w:rPr>
        <w:t>, 2018</w:t>
      </w:r>
    </w:p>
    <w:tbl>
      <w:tblPr>
        <w:tblW w:w="10471" w:type="dxa"/>
        <w:tblCellSpacing w:w="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gridCol w:w="956"/>
      </w:tblGrid>
      <w:tr w:rsidR="006902E2" w:rsidRPr="002C7FC6" w:rsidTr="00E86971">
        <w:trPr>
          <w:tblCellSpacing w:w="15" w:type="dxa"/>
        </w:trPr>
        <w:tc>
          <w:tcPr>
            <w:tcW w:w="9470" w:type="dxa"/>
            <w:tcMar>
              <w:top w:w="15" w:type="dxa"/>
              <w:left w:w="15" w:type="dxa"/>
              <w:bottom w:w="75" w:type="dxa"/>
              <w:right w:w="75" w:type="dxa"/>
            </w:tcMar>
            <w:hideMark/>
          </w:tcPr>
          <w:p w:rsidR="006902E2" w:rsidRPr="002C7FC6" w:rsidRDefault="006902E2">
            <w:pPr>
              <w:spacing w:after="45"/>
              <w:rPr>
                <w:rFonts w:ascii="Arial" w:eastAsia="Times New Roman" w:hAnsi="Arial" w:cs="Arial"/>
                <w:color w:val="000000"/>
                <w:sz w:val="24"/>
                <w:szCs w:val="24"/>
              </w:rPr>
            </w:pPr>
            <w:r w:rsidRPr="002C7FC6">
              <w:rPr>
                <w:rFonts w:ascii="Arial" w:eastAsia="Times New Roman" w:hAnsi="Arial" w:cs="Arial"/>
                <w:color w:val="000000"/>
                <w:sz w:val="24"/>
                <w:szCs w:val="24"/>
              </w:rPr>
              <w:t>1. Antitrust Admonition</w:t>
            </w:r>
          </w:p>
        </w:tc>
        <w:tc>
          <w:tcPr>
            <w:tcW w:w="911" w:type="dxa"/>
            <w:tcMar>
              <w:top w:w="15" w:type="dxa"/>
              <w:left w:w="15" w:type="dxa"/>
              <w:bottom w:w="75" w:type="dxa"/>
              <w:right w:w="75" w:type="dxa"/>
            </w:tcMar>
            <w:hideMark/>
          </w:tcPr>
          <w:p w:rsidR="006902E2" w:rsidRPr="002C7FC6" w:rsidRDefault="00764E9A" w:rsidP="00AC3D49">
            <w:pPr>
              <w:spacing w:after="45"/>
              <w:jc w:val="center"/>
              <w:rPr>
                <w:rFonts w:ascii="Arial" w:eastAsia="Times New Roman" w:hAnsi="Arial" w:cs="Arial"/>
                <w:color w:val="000000"/>
                <w:sz w:val="24"/>
                <w:szCs w:val="24"/>
              </w:rPr>
            </w:pPr>
            <w:r w:rsidRPr="002C7FC6">
              <w:rPr>
                <w:rFonts w:ascii="Arial" w:eastAsia="Times New Roman" w:hAnsi="Arial" w:cs="Arial"/>
                <w:color w:val="000000"/>
                <w:sz w:val="24"/>
                <w:szCs w:val="24"/>
              </w:rPr>
              <w:t>9</w:t>
            </w:r>
            <w:r w:rsidR="001748FE" w:rsidRPr="002C7FC6">
              <w:rPr>
                <w:rFonts w:ascii="Arial" w:eastAsia="Times New Roman" w:hAnsi="Arial" w:cs="Arial"/>
                <w:color w:val="000000"/>
                <w:sz w:val="24"/>
                <w:szCs w:val="24"/>
              </w:rPr>
              <w:t>:</w:t>
            </w:r>
            <w:r w:rsidR="00AC3D49" w:rsidRPr="002C7FC6">
              <w:rPr>
                <w:rFonts w:ascii="Arial" w:eastAsia="Times New Roman" w:hAnsi="Arial" w:cs="Arial"/>
                <w:color w:val="000000"/>
                <w:sz w:val="24"/>
                <w:szCs w:val="24"/>
              </w:rPr>
              <w:t>30</w:t>
            </w:r>
            <w:r w:rsidRPr="002C7FC6">
              <w:rPr>
                <w:rFonts w:ascii="Arial" w:eastAsia="Times New Roman" w:hAnsi="Arial" w:cs="Arial"/>
                <w:color w:val="000000"/>
                <w:sz w:val="24"/>
                <w:szCs w:val="24"/>
              </w:rPr>
              <w:t>a</w:t>
            </w:r>
            <w:r w:rsidR="001748FE" w:rsidRPr="002C7FC6">
              <w:rPr>
                <w:rFonts w:ascii="Arial" w:eastAsia="Times New Roman" w:hAnsi="Arial" w:cs="Arial"/>
                <w:color w:val="000000"/>
                <w:sz w:val="24"/>
                <w:szCs w:val="24"/>
              </w:rPr>
              <w:t>m</w:t>
            </w:r>
          </w:p>
        </w:tc>
      </w:tr>
      <w:tr w:rsidR="006902E2" w:rsidRPr="002C7FC6" w:rsidTr="00E86971">
        <w:trPr>
          <w:tblCellSpacing w:w="15" w:type="dxa"/>
        </w:trPr>
        <w:tc>
          <w:tcPr>
            <w:tcW w:w="9470" w:type="dxa"/>
            <w:tcMar>
              <w:top w:w="15" w:type="dxa"/>
              <w:left w:w="15" w:type="dxa"/>
              <w:bottom w:w="75" w:type="dxa"/>
              <w:right w:w="75" w:type="dxa"/>
            </w:tcMar>
            <w:hideMark/>
          </w:tcPr>
          <w:p w:rsidR="006902E2" w:rsidRPr="002C7FC6" w:rsidRDefault="006902E2">
            <w:pPr>
              <w:spacing w:after="45"/>
              <w:rPr>
                <w:rFonts w:ascii="Arial" w:eastAsia="Times New Roman" w:hAnsi="Arial" w:cs="Arial"/>
                <w:color w:val="000000"/>
                <w:sz w:val="24"/>
                <w:szCs w:val="24"/>
              </w:rPr>
            </w:pPr>
            <w:r w:rsidRPr="002C7FC6">
              <w:rPr>
                <w:rFonts w:ascii="Arial" w:eastAsia="Times New Roman" w:hAnsi="Arial" w:cs="Arial"/>
                <w:color w:val="000000"/>
                <w:sz w:val="24"/>
                <w:szCs w:val="24"/>
              </w:rPr>
              <w:t>2. Introductions</w:t>
            </w:r>
          </w:p>
        </w:tc>
        <w:tc>
          <w:tcPr>
            <w:tcW w:w="911" w:type="dxa"/>
            <w:tcMar>
              <w:top w:w="15" w:type="dxa"/>
              <w:left w:w="15" w:type="dxa"/>
              <w:bottom w:w="75" w:type="dxa"/>
              <w:right w:w="75" w:type="dxa"/>
            </w:tcMar>
            <w:hideMark/>
          </w:tcPr>
          <w:p w:rsidR="006902E2" w:rsidRPr="002C7FC6" w:rsidRDefault="006902E2" w:rsidP="006902E2">
            <w:pPr>
              <w:jc w:val="center"/>
              <w:rPr>
                <w:rFonts w:ascii="Arial" w:eastAsia="Times New Roman" w:hAnsi="Arial" w:cs="Arial"/>
                <w:color w:val="000000"/>
                <w:sz w:val="24"/>
                <w:szCs w:val="24"/>
              </w:rPr>
            </w:pPr>
          </w:p>
        </w:tc>
      </w:tr>
      <w:tr w:rsidR="00764E9A" w:rsidRPr="002C7FC6" w:rsidTr="00E86971">
        <w:trPr>
          <w:tblCellSpacing w:w="15" w:type="dxa"/>
        </w:trPr>
        <w:tc>
          <w:tcPr>
            <w:tcW w:w="9470" w:type="dxa"/>
            <w:tcMar>
              <w:top w:w="15" w:type="dxa"/>
              <w:left w:w="15" w:type="dxa"/>
              <w:bottom w:w="75" w:type="dxa"/>
              <w:right w:w="75" w:type="dxa"/>
            </w:tcMar>
          </w:tcPr>
          <w:p w:rsidR="00764E9A" w:rsidRPr="002C7FC6" w:rsidRDefault="005B6F1D" w:rsidP="00AC3D49">
            <w:pPr>
              <w:spacing w:after="45"/>
              <w:rPr>
                <w:rFonts w:ascii="Arial" w:eastAsia="Times New Roman" w:hAnsi="Arial" w:cs="Arial"/>
                <w:color w:val="FF0000"/>
                <w:sz w:val="24"/>
                <w:szCs w:val="24"/>
              </w:rPr>
            </w:pPr>
            <w:r w:rsidRPr="002C7FC6">
              <w:rPr>
                <w:rFonts w:ascii="Arial" w:eastAsia="Times New Roman" w:hAnsi="Arial" w:cs="Arial"/>
                <w:color w:val="000000"/>
                <w:sz w:val="24"/>
                <w:szCs w:val="24"/>
              </w:rPr>
              <w:t>3. Last Month Meeting Notes – updates if any</w:t>
            </w:r>
            <w:r w:rsidR="00D078EE" w:rsidRPr="004525DB">
              <w:rPr>
                <w:rFonts w:ascii="Arial" w:eastAsia="Times New Roman" w:hAnsi="Arial" w:cs="Arial"/>
                <w:color w:val="0070C0"/>
                <w:sz w:val="24"/>
                <w:szCs w:val="24"/>
              </w:rPr>
              <w:t xml:space="preserve"> (Approved)</w:t>
            </w:r>
          </w:p>
        </w:tc>
        <w:tc>
          <w:tcPr>
            <w:tcW w:w="911" w:type="dxa"/>
            <w:tcMar>
              <w:top w:w="15" w:type="dxa"/>
              <w:left w:w="15" w:type="dxa"/>
              <w:bottom w:w="75" w:type="dxa"/>
              <w:right w:w="75" w:type="dxa"/>
            </w:tcMar>
          </w:tcPr>
          <w:p w:rsidR="00764E9A" w:rsidRPr="002C7FC6" w:rsidRDefault="00764E9A" w:rsidP="006902E2">
            <w:pPr>
              <w:jc w:val="center"/>
              <w:rPr>
                <w:rFonts w:ascii="Arial" w:eastAsia="Times New Roman" w:hAnsi="Arial" w:cs="Arial"/>
                <w:color w:val="000000"/>
                <w:sz w:val="24"/>
                <w:szCs w:val="24"/>
              </w:rPr>
            </w:pPr>
          </w:p>
        </w:tc>
      </w:tr>
      <w:tr w:rsidR="005B6F1D" w:rsidRPr="002C7FC6" w:rsidTr="00E86971">
        <w:trPr>
          <w:tblCellSpacing w:w="15" w:type="dxa"/>
        </w:trPr>
        <w:tc>
          <w:tcPr>
            <w:tcW w:w="9470" w:type="dxa"/>
            <w:tcMar>
              <w:top w:w="15" w:type="dxa"/>
              <w:left w:w="15" w:type="dxa"/>
              <w:bottom w:w="75" w:type="dxa"/>
              <w:right w:w="75" w:type="dxa"/>
            </w:tcMar>
            <w:hideMark/>
          </w:tcPr>
          <w:p w:rsidR="005B6F1D" w:rsidRDefault="005B6F1D" w:rsidP="00AC3D49">
            <w:pPr>
              <w:spacing w:after="45"/>
              <w:rPr>
                <w:rFonts w:ascii="Arial" w:eastAsia="Times New Roman" w:hAnsi="Arial" w:cs="Arial"/>
                <w:color w:val="000000"/>
                <w:sz w:val="24"/>
                <w:szCs w:val="24"/>
              </w:rPr>
            </w:pPr>
            <w:r w:rsidRPr="002C7FC6">
              <w:rPr>
                <w:rFonts w:ascii="Arial" w:eastAsia="Times New Roman" w:hAnsi="Arial" w:cs="Arial"/>
                <w:color w:val="000000"/>
                <w:sz w:val="24"/>
                <w:szCs w:val="24"/>
              </w:rPr>
              <w:t xml:space="preserve">4. ERCOT System Instances &amp; </w:t>
            </w:r>
            <w:proofErr w:type="spellStart"/>
            <w:r w:rsidRPr="002C7FC6">
              <w:rPr>
                <w:rFonts w:ascii="Arial" w:eastAsia="Times New Roman" w:hAnsi="Arial" w:cs="Arial"/>
                <w:color w:val="000000"/>
                <w:sz w:val="24"/>
                <w:szCs w:val="24"/>
              </w:rPr>
              <w:t>MarkeTrak</w:t>
            </w:r>
            <w:proofErr w:type="spellEnd"/>
            <w:r w:rsidRPr="002C7FC6">
              <w:rPr>
                <w:rFonts w:ascii="Arial" w:eastAsia="Times New Roman" w:hAnsi="Arial" w:cs="Arial"/>
                <w:color w:val="000000"/>
                <w:sz w:val="24"/>
                <w:szCs w:val="24"/>
              </w:rPr>
              <w:t xml:space="preserve"> Monthly Performance Review</w:t>
            </w:r>
          </w:p>
          <w:p w:rsidR="003067F8" w:rsidRPr="002C7FC6" w:rsidRDefault="003067F8" w:rsidP="00AC3D49">
            <w:pPr>
              <w:spacing w:after="45"/>
              <w:rPr>
                <w:rFonts w:ascii="Arial" w:eastAsia="Times New Roman" w:hAnsi="Arial" w:cs="Arial"/>
                <w:color w:val="000000"/>
                <w:sz w:val="24"/>
                <w:szCs w:val="24"/>
              </w:rPr>
            </w:pPr>
          </w:p>
          <w:p w:rsidR="003067F8" w:rsidRPr="003067F8" w:rsidRDefault="003067F8" w:rsidP="003067F8">
            <w:pPr>
              <w:spacing w:after="45"/>
              <w:rPr>
                <w:rFonts w:ascii="Arial" w:eastAsia="Times New Roman" w:hAnsi="Arial" w:cs="Arial"/>
                <w:b/>
                <w:color w:val="0070C0"/>
                <w:sz w:val="24"/>
                <w:szCs w:val="24"/>
                <w:u w:val="single"/>
              </w:rPr>
            </w:pPr>
            <w:r w:rsidRPr="003067F8">
              <w:rPr>
                <w:rFonts w:ascii="Arial" w:eastAsia="Times New Roman" w:hAnsi="Arial" w:cs="Arial"/>
                <w:b/>
                <w:bCs/>
                <w:color w:val="0070C0"/>
                <w:sz w:val="24"/>
                <w:szCs w:val="24"/>
                <w:u w:val="single"/>
              </w:rPr>
              <w:t>Service Availability – March 2018</w:t>
            </w:r>
          </w:p>
          <w:p w:rsidR="00D078EE" w:rsidRDefault="00E86971" w:rsidP="003067F8">
            <w:pPr>
              <w:pStyle w:val="ListParagraph"/>
              <w:numPr>
                <w:ilvl w:val="1"/>
                <w:numId w:val="14"/>
              </w:numPr>
              <w:spacing w:after="45"/>
              <w:rPr>
                <w:rFonts w:ascii="Arial" w:eastAsia="Times New Roman" w:hAnsi="Arial" w:cs="Arial"/>
                <w:color w:val="0070C0"/>
                <w:sz w:val="24"/>
                <w:szCs w:val="24"/>
              </w:rPr>
            </w:pPr>
            <w:r w:rsidRPr="003067F8">
              <w:rPr>
                <w:rFonts w:ascii="Arial" w:eastAsia="Times New Roman" w:hAnsi="Arial" w:cs="Arial"/>
                <w:color w:val="0070C0"/>
                <w:sz w:val="24"/>
                <w:szCs w:val="24"/>
              </w:rPr>
              <w:t>Retail Market IT systems met all SLA targets</w:t>
            </w:r>
          </w:p>
          <w:p w:rsidR="003067F8" w:rsidRDefault="003067F8" w:rsidP="003067F8">
            <w:pPr>
              <w:pStyle w:val="ListParagraph"/>
              <w:spacing w:after="45"/>
              <w:ind w:left="1080"/>
              <w:rPr>
                <w:rFonts w:ascii="Arial" w:eastAsia="Times New Roman" w:hAnsi="Arial" w:cs="Arial"/>
                <w:color w:val="0070C0"/>
                <w:sz w:val="24"/>
                <w:szCs w:val="24"/>
              </w:rPr>
            </w:pPr>
          </w:p>
          <w:p w:rsidR="003067F8" w:rsidRPr="003067F8" w:rsidRDefault="003067F8" w:rsidP="003067F8">
            <w:pPr>
              <w:spacing w:after="45"/>
              <w:rPr>
                <w:rFonts w:ascii="Arial" w:eastAsia="Times New Roman" w:hAnsi="Arial" w:cs="Arial"/>
                <w:color w:val="0070C0"/>
                <w:sz w:val="24"/>
                <w:szCs w:val="24"/>
                <w:u w:val="single"/>
              </w:rPr>
            </w:pPr>
            <w:r w:rsidRPr="003067F8">
              <w:rPr>
                <w:rFonts w:ascii="Arial" w:eastAsia="Times New Roman" w:hAnsi="Arial" w:cs="Arial"/>
                <w:b/>
                <w:bCs/>
                <w:color w:val="0070C0"/>
                <w:sz w:val="24"/>
                <w:szCs w:val="24"/>
                <w:u w:val="single"/>
              </w:rPr>
              <w:t>Retail Incidents &amp; Maintenance – March 2018</w:t>
            </w:r>
          </w:p>
          <w:p w:rsidR="00000000" w:rsidRPr="003067F8" w:rsidRDefault="00E86971" w:rsidP="003067F8">
            <w:pPr>
              <w:pStyle w:val="ListParagraph"/>
              <w:numPr>
                <w:ilvl w:val="0"/>
                <w:numId w:val="14"/>
              </w:numPr>
              <w:spacing w:after="45"/>
              <w:rPr>
                <w:rFonts w:ascii="Arial" w:eastAsia="Times New Roman" w:hAnsi="Arial" w:cs="Arial"/>
                <w:b/>
                <w:color w:val="0070C0"/>
                <w:sz w:val="24"/>
                <w:szCs w:val="24"/>
              </w:rPr>
            </w:pPr>
            <w:r w:rsidRPr="003067F8">
              <w:rPr>
                <w:rFonts w:ascii="Arial" w:eastAsia="Times New Roman" w:hAnsi="Arial" w:cs="Arial"/>
                <w:b/>
                <w:color w:val="0070C0"/>
                <w:sz w:val="24"/>
                <w:szCs w:val="24"/>
              </w:rPr>
              <w:t>03/01/18 – Connectivity to ERCOT's NAESB application may have been intermittent from 7:50 AM to 9:27 AM</w:t>
            </w:r>
          </w:p>
          <w:p w:rsidR="00000000" w:rsidRPr="003067F8" w:rsidRDefault="00E86971" w:rsidP="003067F8">
            <w:pPr>
              <w:pStyle w:val="ListParagraph"/>
              <w:numPr>
                <w:ilvl w:val="0"/>
                <w:numId w:val="14"/>
              </w:numPr>
              <w:spacing w:after="45"/>
              <w:rPr>
                <w:rFonts w:ascii="Arial" w:eastAsia="Times New Roman" w:hAnsi="Arial" w:cs="Arial"/>
                <w:b/>
                <w:color w:val="0070C0"/>
                <w:sz w:val="24"/>
                <w:szCs w:val="24"/>
              </w:rPr>
            </w:pPr>
            <w:r w:rsidRPr="003067F8">
              <w:rPr>
                <w:rFonts w:ascii="Arial" w:eastAsia="Times New Roman" w:hAnsi="Arial" w:cs="Arial"/>
                <w:b/>
                <w:color w:val="0070C0"/>
                <w:sz w:val="24"/>
                <w:szCs w:val="24"/>
              </w:rPr>
              <w:t xml:space="preserve">03/03/18 – ERCOT experienced issues </w:t>
            </w:r>
            <w:r w:rsidRPr="003067F8">
              <w:rPr>
                <w:rFonts w:ascii="Arial" w:eastAsia="Times New Roman" w:hAnsi="Arial" w:cs="Arial"/>
                <w:b/>
                <w:color w:val="0070C0"/>
                <w:sz w:val="24"/>
                <w:szCs w:val="24"/>
              </w:rPr>
              <w:t>with the service that passes 867_03 transactions to the Settlement System from March 3, 2018 at approximately 3:30 pm to March 6, 2018 at 9:15 am</w:t>
            </w:r>
          </w:p>
          <w:p w:rsidR="00000000" w:rsidRPr="003067F8" w:rsidRDefault="00E86971" w:rsidP="003067F8">
            <w:pPr>
              <w:pStyle w:val="ListParagraph"/>
              <w:numPr>
                <w:ilvl w:val="1"/>
                <w:numId w:val="14"/>
              </w:numPr>
              <w:spacing w:after="45"/>
              <w:rPr>
                <w:rFonts w:ascii="Arial" w:eastAsia="Times New Roman" w:hAnsi="Arial" w:cs="Arial"/>
                <w:color w:val="0070C0"/>
                <w:sz w:val="24"/>
                <w:szCs w:val="24"/>
              </w:rPr>
            </w:pPr>
            <w:r w:rsidRPr="003067F8">
              <w:rPr>
                <w:rFonts w:ascii="Arial" w:eastAsia="Times New Roman" w:hAnsi="Arial" w:cs="Arial"/>
                <w:color w:val="0070C0"/>
                <w:sz w:val="24"/>
                <w:szCs w:val="24"/>
              </w:rPr>
              <w:t>All transactions submitted during the affected period  processed on March 6, 2018, during the 3:00 pm data lo</w:t>
            </w:r>
            <w:r w:rsidRPr="003067F8">
              <w:rPr>
                <w:rFonts w:ascii="Arial" w:eastAsia="Times New Roman" w:hAnsi="Arial" w:cs="Arial"/>
                <w:color w:val="0070C0"/>
                <w:sz w:val="24"/>
                <w:szCs w:val="24"/>
              </w:rPr>
              <w:t>ading run</w:t>
            </w:r>
          </w:p>
          <w:p w:rsidR="00000000" w:rsidRPr="003067F8" w:rsidRDefault="00E86971" w:rsidP="003067F8">
            <w:pPr>
              <w:pStyle w:val="ListParagraph"/>
              <w:numPr>
                <w:ilvl w:val="1"/>
                <w:numId w:val="14"/>
              </w:numPr>
              <w:spacing w:after="45"/>
              <w:rPr>
                <w:rFonts w:ascii="Arial" w:eastAsia="Times New Roman" w:hAnsi="Arial" w:cs="Arial"/>
                <w:color w:val="0070C0"/>
                <w:sz w:val="24"/>
                <w:szCs w:val="24"/>
              </w:rPr>
            </w:pPr>
            <w:r w:rsidRPr="003067F8">
              <w:rPr>
                <w:rFonts w:ascii="Arial" w:eastAsia="Times New Roman" w:hAnsi="Arial" w:cs="Arial"/>
                <w:color w:val="0070C0"/>
                <w:sz w:val="24"/>
                <w:szCs w:val="24"/>
              </w:rPr>
              <w:t>This issue only affected 867 transactions flowing to the Settlement System and did not affect retail transaction processing or AMS processing</w:t>
            </w:r>
          </w:p>
          <w:p w:rsidR="00000000" w:rsidRPr="003067F8" w:rsidRDefault="00E86971" w:rsidP="003067F8">
            <w:pPr>
              <w:pStyle w:val="ListParagraph"/>
              <w:numPr>
                <w:ilvl w:val="0"/>
                <w:numId w:val="14"/>
              </w:numPr>
              <w:spacing w:after="45"/>
              <w:rPr>
                <w:rFonts w:ascii="Arial" w:eastAsia="Times New Roman" w:hAnsi="Arial" w:cs="Arial"/>
                <w:b/>
                <w:color w:val="0070C0"/>
                <w:sz w:val="24"/>
                <w:szCs w:val="24"/>
              </w:rPr>
            </w:pPr>
            <w:r w:rsidRPr="003067F8">
              <w:rPr>
                <w:rFonts w:ascii="Arial" w:eastAsia="Times New Roman" w:hAnsi="Arial" w:cs="Arial"/>
                <w:b/>
                <w:color w:val="0070C0"/>
                <w:sz w:val="24"/>
                <w:szCs w:val="24"/>
              </w:rPr>
              <w:t>03/22/18 – ERCOT experienced a processing issue impacting internal retail transaction processing betwe</w:t>
            </w:r>
            <w:r w:rsidRPr="003067F8">
              <w:rPr>
                <w:rFonts w:ascii="Arial" w:eastAsia="Times New Roman" w:hAnsi="Arial" w:cs="Arial"/>
                <w:b/>
                <w:color w:val="0070C0"/>
                <w:sz w:val="24"/>
                <w:szCs w:val="24"/>
              </w:rPr>
              <w:t>en approximately 12:47 pm and 2:15 pm</w:t>
            </w:r>
          </w:p>
          <w:p w:rsidR="00000000" w:rsidRPr="003067F8" w:rsidRDefault="00E86971" w:rsidP="003067F8">
            <w:pPr>
              <w:pStyle w:val="ListParagraph"/>
              <w:numPr>
                <w:ilvl w:val="1"/>
                <w:numId w:val="14"/>
              </w:numPr>
              <w:spacing w:after="45"/>
              <w:rPr>
                <w:rFonts w:ascii="Arial" w:eastAsia="Times New Roman" w:hAnsi="Arial" w:cs="Arial"/>
                <w:color w:val="0070C0"/>
                <w:sz w:val="24"/>
                <w:szCs w:val="24"/>
              </w:rPr>
            </w:pPr>
            <w:r w:rsidRPr="003067F8">
              <w:rPr>
                <w:rFonts w:ascii="Arial" w:eastAsia="Times New Roman" w:hAnsi="Arial" w:cs="Arial"/>
                <w:color w:val="0070C0"/>
                <w:sz w:val="24"/>
                <w:szCs w:val="24"/>
              </w:rPr>
              <w:t>This may have resulted in unexpected rejections or duplications</w:t>
            </w:r>
          </w:p>
          <w:p w:rsidR="003067F8" w:rsidRPr="003067F8" w:rsidRDefault="00E86971" w:rsidP="003067F8">
            <w:pPr>
              <w:pStyle w:val="ListParagraph"/>
              <w:numPr>
                <w:ilvl w:val="1"/>
                <w:numId w:val="14"/>
              </w:numPr>
              <w:spacing w:after="45"/>
              <w:rPr>
                <w:rFonts w:ascii="Arial" w:eastAsia="Times New Roman" w:hAnsi="Arial" w:cs="Arial"/>
                <w:color w:val="0070C0"/>
                <w:sz w:val="24"/>
                <w:szCs w:val="24"/>
              </w:rPr>
            </w:pPr>
            <w:r w:rsidRPr="003067F8">
              <w:rPr>
                <w:rFonts w:ascii="Arial" w:eastAsia="Times New Roman" w:hAnsi="Arial" w:cs="Arial"/>
                <w:color w:val="0070C0"/>
                <w:sz w:val="24"/>
                <w:szCs w:val="24"/>
              </w:rPr>
              <w:t>No data was lost and impacted transactions were reviewed and reprocessed as necessary by 03/23/18</w:t>
            </w:r>
          </w:p>
        </w:tc>
        <w:tc>
          <w:tcPr>
            <w:tcW w:w="911" w:type="dxa"/>
            <w:tcMar>
              <w:top w:w="15" w:type="dxa"/>
              <w:left w:w="15" w:type="dxa"/>
              <w:bottom w:w="75" w:type="dxa"/>
              <w:right w:w="75" w:type="dxa"/>
            </w:tcMar>
            <w:hideMark/>
          </w:tcPr>
          <w:p w:rsidR="005B6F1D" w:rsidRPr="002C7FC6" w:rsidRDefault="005B6F1D" w:rsidP="006902E2">
            <w:pPr>
              <w:jc w:val="center"/>
              <w:rPr>
                <w:rFonts w:ascii="Arial" w:eastAsia="Times New Roman" w:hAnsi="Arial" w:cs="Arial"/>
                <w:color w:val="000000"/>
                <w:sz w:val="24"/>
                <w:szCs w:val="24"/>
              </w:rPr>
            </w:pPr>
          </w:p>
        </w:tc>
      </w:tr>
      <w:tr w:rsidR="00F66BD1" w:rsidRPr="002C7FC6" w:rsidTr="00E86971">
        <w:trPr>
          <w:tblCellSpacing w:w="15" w:type="dxa"/>
        </w:trPr>
        <w:tc>
          <w:tcPr>
            <w:tcW w:w="9470" w:type="dxa"/>
            <w:shd w:val="clear" w:color="auto" w:fill="FFFFFF"/>
            <w:tcMar>
              <w:top w:w="15" w:type="dxa"/>
              <w:left w:w="15" w:type="dxa"/>
              <w:bottom w:w="75" w:type="dxa"/>
              <w:right w:w="75" w:type="dxa"/>
            </w:tcMar>
            <w:hideMark/>
          </w:tcPr>
          <w:p w:rsidR="00F66BD1" w:rsidRPr="002C7FC6" w:rsidRDefault="00F66BD1" w:rsidP="005B6F1D">
            <w:pPr>
              <w:spacing w:after="45"/>
              <w:rPr>
                <w:rFonts w:ascii="Arial" w:eastAsia="Times New Roman" w:hAnsi="Arial" w:cs="Arial"/>
                <w:color w:val="000000"/>
                <w:sz w:val="24"/>
                <w:szCs w:val="24"/>
              </w:rPr>
            </w:pPr>
            <w:r>
              <w:rPr>
                <w:rFonts w:ascii="Arial" w:eastAsia="Times New Roman" w:hAnsi="Arial" w:cs="Arial"/>
                <w:color w:val="000000"/>
                <w:sz w:val="24"/>
                <w:szCs w:val="24"/>
              </w:rPr>
              <w:t>5</w:t>
            </w:r>
            <w:r w:rsidRPr="002C7FC6">
              <w:rPr>
                <w:rFonts w:ascii="Arial" w:eastAsia="Times New Roman" w:hAnsi="Arial" w:cs="Arial"/>
                <w:color w:val="000000"/>
                <w:sz w:val="24"/>
                <w:szCs w:val="24"/>
              </w:rPr>
              <w:t>.NPRR778 Stabilization</w:t>
            </w:r>
          </w:p>
          <w:p w:rsidR="00F66BD1" w:rsidRPr="00F66BD1" w:rsidRDefault="00E54B65" w:rsidP="005B6F1D">
            <w:pPr>
              <w:pStyle w:val="ListParagraph"/>
              <w:numPr>
                <w:ilvl w:val="0"/>
                <w:numId w:val="13"/>
              </w:numPr>
              <w:spacing w:after="45"/>
              <w:rPr>
                <w:rFonts w:ascii="Arial" w:eastAsia="Times New Roman" w:hAnsi="Arial" w:cs="Arial"/>
                <w:color w:val="000000"/>
                <w:sz w:val="24"/>
                <w:szCs w:val="24"/>
              </w:rPr>
            </w:pPr>
            <w:r>
              <w:rPr>
                <w:rFonts w:ascii="Arial" w:hAnsi="Arial" w:cs="Arial"/>
                <w:color w:val="000000"/>
                <w:sz w:val="21"/>
                <w:szCs w:val="21"/>
                <w:shd w:val="clear" w:color="auto" w:fill="FFFFFF"/>
              </w:rPr>
              <w:t>RMTE User Guide Changes</w:t>
            </w:r>
          </w:p>
          <w:p w:rsidR="00F66BD1" w:rsidRPr="00F66BD1" w:rsidRDefault="00F66BD1" w:rsidP="005B6F1D">
            <w:pPr>
              <w:pStyle w:val="ListParagraph"/>
              <w:numPr>
                <w:ilvl w:val="0"/>
                <w:numId w:val="13"/>
              </w:numPr>
              <w:spacing w:after="45"/>
              <w:rPr>
                <w:rFonts w:ascii="Arial" w:eastAsia="Times New Roman" w:hAnsi="Arial" w:cs="Arial"/>
                <w:b/>
                <w:color w:val="000000"/>
                <w:sz w:val="24"/>
                <w:szCs w:val="24"/>
              </w:rPr>
            </w:pPr>
            <w:r>
              <w:rPr>
                <w:rFonts w:ascii="Arial" w:hAnsi="Arial" w:cs="Arial"/>
                <w:color w:val="000000"/>
                <w:sz w:val="21"/>
                <w:szCs w:val="21"/>
                <w:shd w:val="clear" w:color="auto" w:fill="FFFFFF"/>
              </w:rPr>
              <w:t>Draft SCR- requirements to enhance current RMTE</w:t>
            </w:r>
          </w:p>
          <w:p w:rsidR="00F66BD1" w:rsidRPr="00651C41" w:rsidRDefault="00E54B65" w:rsidP="00AC0168">
            <w:pPr>
              <w:pStyle w:val="ListParagraph"/>
              <w:numPr>
                <w:ilvl w:val="1"/>
                <w:numId w:val="13"/>
              </w:numPr>
              <w:spacing w:after="45"/>
              <w:rPr>
                <w:rFonts w:ascii="Arial" w:eastAsia="Times New Roman" w:hAnsi="Arial" w:cs="Arial"/>
                <w:b/>
                <w:color w:val="0070C0"/>
                <w:sz w:val="24"/>
                <w:szCs w:val="24"/>
              </w:rPr>
            </w:pPr>
            <w:r w:rsidRPr="00AC0168">
              <w:rPr>
                <w:rFonts w:ascii="Arial" w:eastAsia="Times New Roman" w:hAnsi="Arial" w:cs="Arial"/>
                <w:color w:val="0070C0"/>
                <w:sz w:val="24"/>
                <w:szCs w:val="24"/>
              </w:rPr>
              <w:t xml:space="preserve">To help provide testing participants additional layer of visibility into transaction statuses </w:t>
            </w:r>
            <w:r w:rsidR="00AC0168" w:rsidRPr="00AC0168">
              <w:rPr>
                <w:rFonts w:ascii="Arial" w:eastAsia="Times New Roman" w:hAnsi="Arial" w:cs="Arial"/>
                <w:color w:val="0070C0"/>
                <w:sz w:val="24"/>
                <w:szCs w:val="24"/>
              </w:rPr>
              <w:t xml:space="preserve">while </w:t>
            </w:r>
            <w:r w:rsidR="00AC0168">
              <w:rPr>
                <w:rFonts w:ascii="Arial" w:eastAsia="Times New Roman" w:hAnsi="Arial" w:cs="Arial"/>
                <w:color w:val="0070C0"/>
                <w:sz w:val="24"/>
                <w:szCs w:val="24"/>
              </w:rPr>
              <w:t xml:space="preserve">sandbox </w:t>
            </w:r>
            <w:r w:rsidR="00AC0168" w:rsidRPr="00AC0168">
              <w:rPr>
                <w:rFonts w:ascii="Arial" w:eastAsia="Times New Roman" w:hAnsi="Arial" w:cs="Arial"/>
                <w:color w:val="0070C0"/>
                <w:sz w:val="24"/>
                <w:szCs w:val="24"/>
              </w:rPr>
              <w:t>testing, the proposal of a</w:t>
            </w:r>
            <w:r w:rsidR="00AC0168">
              <w:rPr>
                <w:rFonts w:ascii="Arial" w:eastAsia="Times New Roman" w:hAnsi="Arial" w:cs="Arial"/>
                <w:color w:val="0070C0"/>
                <w:sz w:val="24"/>
                <w:szCs w:val="24"/>
              </w:rPr>
              <w:t xml:space="preserve"> refreshed</w:t>
            </w:r>
            <w:r w:rsidR="00AC0168" w:rsidRPr="00AC0168">
              <w:rPr>
                <w:rFonts w:ascii="Arial" w:eastAsia="Times New Roman" w:hAnsi="Arial" w:cs="Arial"/>
                <w:color w:val="0070C0"/>
                <w:sz w:val="24"/>
                <w:szCs w:val="24"/>
              </w:rPr>
              <w:t xml:space="preserve"> flat file or Siebel Service Extract</w:t>
            </w:r>
            <w:r w:rsidR="00AC0168">
              <w:rPr>
                <w:rFonts w:ascii="Arial" w:eastAsia="Times New Roman" w:hAnsi="Arial" w:cs="Arial"/>
                <w:color w:val="0070C0"/>
                <w:sz w:val="24"/>
                <w:szCs w:val="24"/>
              </w:rPr>
              <w:t xml:space="preserve"> would be </w:t>
            </w:r>
            <w:r w:rsidR="00AC0168" w:rsidRPr="00AC0168">
              <w:rPr>
                <w:rFonts w:ascii="Arial" w:eastAsia="Times New Roman" w:hAnsi="Arial" w:cs="Arial"/>
                <w:color w:val="0070C0"/>
                <w:sz w:val="24"/>
                <w:szCs w:val="24"/>
              </w:rPr>
              <w:t>of interest in exploring with ERCOT.</w:t>
            </w:r>
          </w:p>
        </w:tc>
        <w:tc>
          <w:tcPr>
            <w:tcW w:w="911" w:type="dxa"/>
            <w:tcMar>
              <w:top w:w="15" w:type="dxa"/>
              <w:left w:w="15" w:type="dxa"/>
              <w:bottom w:w="75" w:type="dxa"/>
              <w:right w:w="75" w:type="dxa"/>
            </w:tcMar>
            <w:hideMark/>
          </w:tcPr>
          <w:p w:rsidR="00F66BD1" w:rsidRPr="002C7FC6" w:rsidRDefault="00F66BD1" w:rsidP="00AC3D49">
            <w:pPr>
              <w:jc w:val="center"/>
              <w:rPr>
                <w:rFonts w:ascii="Arial" w:eastAsia="Times New Roman" w:hAnsi="Arial" w:cs="Arial"/>
                <w:color w:val="000000"/>
                <w:sz w:val="24"/>
                <w:szCs w:val="24"/>
              </w:rPr>
            </w:pPr>
          </w:p>
        </w:tc>
      </w:tr>
      <w:tr w:rsidR="00F66BD1" w:rsidRPr="002C7FC6" w:rsidTr="00E86971">
        <w:trPr>
          <w:tblCellSpacing w:w="15" w:type="dxa"/>
        </w:trPr>
        <w:tc>
          <w:tcPr>
            <w:tcW w:w="9470" w:type="dxa"/>
            <w:shd w:val="clear" w:color="auto" w:fill="FFFFFF"/>
            <w:tcMar>
              <w:top w:w="15" w:type="dxa"/>
              <w:left w:w="15" w:type="dxa"/>
              <w:bottom w:w="75" w:type="dxa"/>
              <w:right w:w="75" w:type="dxa"/>
            </w:tcMar>
          </w:tcPr>
          <w:p w:rsidR="00F66BD1" w:rsidRDefault="00F66BD1" w:rsidP="00F66BD1">
            <w:pPr>
              <w:spacing w:after="45"/>
              <w:rPr>
                <w:rFonts w:ascii="Arial" w:eastAsia="Times New Roman" w:hAnsi="Arial" w:cs="Arial"/>
                <w:color w:val="000000"/>
                <w:sz w:val="24"/>
                <w:szCs w:val="24"/>
              </w:rPr>
            </w:pPr>
            <w:r>
              <w:rPr>
                <w:rFonts w:ascii="Arial" w:eastAsia="Times New Roman" w:hAnsi="Arial" w:cs="Arial"/>
                <w:color w:val="000000"/>
                <w:sz w:val="24"/>
                <w:szCs w:val="24"/>
              </w:rPr>
              <w:t>6</w:t>
            </w:r>
            <w:r w:rsidRPr="002C7FC6">
              <w:rPr>
                <w:rFonts w:ascii="Arial" w:eastAsia="Times New Roman" w:hAnsi="Arial" w:cs="Arial"/>
                <w:color w:val="000000"/>
                <w:sz w:val="24"/>
                <w:szCs w:val="24"/>
              </w:rPr>
              <w:t>. Standing Item:  MT Subtype Analysis</w:t>
            </w:r>
          </w:p>
          <w:p w:rsidR="00263ACC" w:rsidRDefault="00263ACC" w:rsidP="00F66BD1">
            <w:pPr>
              <w:spacing w:after="45"/>
              <w:rPr>
                <w:rFonts w:ascii="Arial" w:eastAsia="Times New Roman" w:hAnsi="Arial" w:cs="Arial"/>
                <w:b/>
                <w:color w:val="0070C0"/>
                <w:sz w:val="24"/>
                <w:szCs w:val="24"/>
              </w:rPr>
            </w:pPr>
            <w:proofErr w:type="gramStart"/>
            <w:r w:rsidRPr="00263ACC">
              <w:rPr>
                <w:rFonts w:ascii="Arial" w:eastAsia="Times New Roman" w:hAnsi="Arial" w:cs="Arial"/>
                <w:b/>
                <w:color w:val="0070C0"/>
                <w:sz w:val="24"/>
                <w:szCs w:val="24"/>
              </w:rPr>
              <w:t xml:space="preserve">Reviewed </w:t>
            </w:r>
            <w:r>
              <w:rPr>
                <w:rFonts w:ascii="Arial" w:eastAsia="Times New Roman" w:hAnsi="Arial" w:cs="Arial"/>
                <w:b/>
                <w:color w:val="0070C0"/>
                <w:sz w:val="24"/>
                <w:szCs w:val="24"/>
              </w:rPr>
              <w:t xml:space="preserve"> MT</w:t>
            </w:r>
            <w:proofErr w:type="gramEnd"/>
            <w:r>
              <w:rPr>
                <w:rFonts w:ascii="Arial" w:eastAsia="Times New Roman" w:hAnsi="Arial" w:cs="Arial"/>
                <w:b/>
                <w:color w:val="0070C0"/>
                <w:sz w:val="24"/>
                <w:szCs w:val="24"/>
              </w:rPr>
              <w:t xml:space="preserve"> Subtype ‘CWA’</w:t>
            </w:r>
            <w:r w:rsidR="00E86971">
              <w:rPr>
                <w:rFonts w:ascii="Arial" w:eastAsia="Times New Roman" w:hAnsi="Arial" w:cs="Arial"/>
                <w:b/>
                <w:color w:val="0070C0"/>
                <w:sz w:val="24"/>
                <w:szCs w:val="24"/>
              </w:rPr>
              <w:t xml:space="preserve"> volumes year over year.</w:t>
            </w:r>
          </w:p>
          <w:p w:rsidR="00263ACC" w:rsidRPr="00263ACC" w:rsidRDefault="00263ACC" w:rsidP="00263ACC">
            <w:pPr>
              <w:pStyle w:val="ListParagraph"/>
              <w:numPr>
                <w:ilvl w:val="0"/>
                <w:numId w:val="19"/>
              </w:numPr>
              <w:spacing w:after="45"/>
              <w:rPr>
                <w:rFonts w:ascii="Arial" w:eastAsia="Times New Roman" w:hAnsi="Arial" w:cs="Arial"/>
                <w:color w:val="0070C0"/>
                <w:sz w:val="24"/>
                <w:szCs w:val="24"/>
              </w:rPr>
            </w:pPr>
            <w:r>
              <w:rPr>
                <w:rFonts w:ascii="Arial" w:eastAsia="Times New Roman" w:hAnsi="Arial" w:cs="Arial"/>
                <w:color w:val="0070C0"/>
                <w:sz w:val="24"/>
                <w:szCs w:val="24"/>
              </w:rPr>
              <w:t xml:space="preserve">Expected volumes dropped </w:t>
            </w:r>
            <w:r w:rsidRPr="00263ACC">
              <w:rPr>
                <w:rFonts w:ascii="Arial" w:eastAsia="Times New Roman" w:hAnsi="Arial" w:cs="Arial"/>
                <w:color w:val="0070C0"/>
                <w:sz w:val="24"/>
                <w:szCs w:val="24"/>
              </w:rPr>
              <w:t>drastic</w:t>
            </w:r>
            <w:r>
              <w:rPr>
                <w:rFonts w:ascii="Arial" w:eastAsia="Times New Roman" w:hAnsi="Arial" w:cs="Arial"/>
                <w:color w:val="0070C0"/>
                <w:sz w:val="24"/>
                <w:szCs w:val="24"/>
              </w:rPr>
              <w:t xml:space="preserve">ally </w:t>
            </w:r>
            <w:r w:rsidRPr="00263ACC">
              <w:rPr>
                <w:rFonts w:ascii="Arial" w:eastAsia="Times New Roman" w:hAnsi="Arial" w:cs="Arial"/>
                <w:color w:val="0070C0"/>
                <w:sz w:val="24"/>
                <w:szCs w:val="24"/>
              </w:rPr>
              <w:t xml:space="preserve">due to NPRR 778 implementation in Dec ’17.  Data was plotted below in the bar chart. </w:t>
            </w:r>
          </w:p>
          <w:p w:rsidR="00263ACC" w:rsidRDefault="00263ACC" w:rsidP="00F66BD1">
            <w:pPr>
              <w:spacing w:after="45"/>
              <w:rPr>
                <w:rFonts w:ascii="Arial" w:eastAsia="Times New Roman" w:hAnsi="Arial" w:cs="Arial"/>
                <w:color w:val="000000"/>
                <w:sz w:val="24"/>
                <w:szCs w:val="24"/>
              </w:rPr>
            </w:pPr>
            <w:r w:rsidRPr="00263ACC">
              <w:rPr>
                <w:rFonts w:ascii="Arial" w:eastAsia="Times New Roman" w:hAnsi="Arial" w:cs="Arial"/>
                <w:color w:val="000000"/>
                <w:sz w:val="24"/>
                <w:szCs w:val="24"/>
              </w:rPr>
              <w:lastRenderedPageBreak/>
              <w:drawing>
                <wp:inline distT="0" distB="0" distL="0" distR="0" wp14:anchorId="4DF9AB1F" wp14:editId="7E26AFA1">
                  <wp:extent cx="5943600" cy="3288030"/>
                  <wp:effectExtent l="0" t="0" r="0" b="762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88030"/>
                          </a:xfrm>
                          <a:prstGeom prst="rect">
                            <a:avLst/>
                          </a:prstGeom>
                          <a:noFill/>
                          <a:ln>
                            <a:noFill/>
                          </a:ln>
                          <a:effectLst/>
                          <a:extLst/>
                        </pic:spPr>
                      </pic:pic>
                    </a:graphicData>
                  </a:graphic>
                </wp:inline>
              </w:drawing>
            </w:r>
          </w:p>
          <w:p w:rsidR="00263ACC" w:rsidRDefault="00263ACC" w:rsidP="00F66BD1">
            <w:pPr>
              <w:spacing w:after="45"/>
              <w:rPr>
                <w:rFonts w:ascii="Arial" w:eastAsia="Times New Roman" w:hAnsi="Arial" w:cs="Arial"/>
                <w:color w:val="000000"/>
                <w:sz w:val="24"/>
                <w:szCs w:val="24"/>
              </w:rPr>
            </w:pPr>
          </w:p>
          <w:p w:rsidR="00263ACC" w:rsidRPr="00E54B65" w:rsidRDefault="00263ACC" w:rsidP="00F66BD1">
            <w:pPr>
              <w:spacing w:after="45"/>
              <w:rPr>
                <w:rFonts w:ascii="Arial" w:eastAsia="Times New Roman" w:hAnsi="Arial" w:cs="Arial"/>
                <w:color w:val="0070C0"/>
                <w:sz w:val="24"/>
                <w:szCs w:val="24"/>
              </w:rPr>
            </w:pPr>
            <w:r w:rsidRPr="00E54B65">
              <w:rPr>
                <w:rFonts w:ascii="Arial" w:eastAsia="Times New Roman" w:hAnsi="Arial" w:cs="Arial"/>
                <w:color w:val="0070C0"/>
                <w:sz w:val="24"/>
                <w:szCs w:val="24"/>
              </w:rPr>
              <w:t xml:space="preserve">In addition, CWA volumes were compared with IAG/IAL/Customer Rescissions to assess any potential correlations or patterns with the decreased CWA volumes.  </w:t>
            </w:r>
            <w:r w:rsidR="00E54B65" w:rsidRPr="00E54B65">
              <w:rPr>
                <w:rFonts w:ascii="Arial" w:eastAsia="Times New Roman" w:hAnsi="Arial" w:cs="Arial"/>
                <w:color w:val="0070C0"/>
                <w:sz w:val="24"/>
                <w:szCs w:val="24"/>
              </w:rPr>
              <w:t>There were conclusive correlations among the dataset.</w:t>
            </w:r>
            <w:r w:rsidRPr="00E54B65">
              <w:rPr>
                <w:rFonts w:ascii="Arial" w:eastAsia="Times New Roman" w:hAnsi="Arial" w:cs="Arial"/>
                <w:color w:val="0070C0"/>
                <w:sz w:val="24"/>
                <w:szCs w:val="24"/>
              </w:rPr>
              <w:t xml:space="preserve"> </w:t>
            </w:r>
          </w:p>
          <w:p w:rsidR="00A41201" w:rsidRPr="00263ACC" w:rsidRDefault="00263ACC" w:rsidP="00263ACC">
            <w:pPr>
              <w:spacing w:after="45"/>
              <w:rPr>
                <w:rFonts w:ascii="Arial" w:eastAsia="Times New Roman" w:hAnsi="Arial" w:cs="Arial"/>
                <w:color w:val="000000"/>
                <w:sz w:val="24"/>
                <w:szCs w:val="24"/>
              </w:rPr>
            </w:pPr>
            <w:r w:rsidRPr="00263ACC">
              <w:rPr>
                <w:rFonts w:ascii="Arial" w:eastAsia="Times New Roman" w:hAnsi="Arial" w:cs="Arial"/>
                <w:color w:val="000000"/>
                <w:sz w:val="24"/>
                <w:szCs w:val="24"/>
              </w:rPr>
              <w:drawing>
                <wp:inline distT="0" distB="0" distL="0" distR="0" wp14:anchorId="2D2CBEDB" wp14:editId="28A2ABB4">
                  <wp:extent cx="5943600" cy="2739390"/>
                  <wp:effectExtent l="0" t="0" r="0" b="381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39390"/>
                          </a:xfrm>
                          <a:prstGeom prst="rect">
                            <a:avLst/>
                          </a:prstGeom>
                          <a:noFill/>
                          <a:ln>
                            <a:noFill/>
                          </a:ln>
                          <a:effectLst/>
                          <a:extLst/>
                        </pic:spPr>
                      </pic:pic>
                    </a:graphicData>
                  </a:graphic>
                </wp:inline>
              </w:drawing>
            </w:r>
          </w:p>
        </w:tc>
        <w:tc>
          <w:tcPr>
            <w:tcW w:w="911" w:type="dxa"/>
            <w:tcMar>
              <w:top w:w="15" w:type="dxa"/>
              <w:left w:w="15" w:type="dxa"/>
              <w:bottom w:w="75" w:type="dxa"/>
              <w:right w:w="75" w:type="dxa"/>
            </w:tcMar>
            <w:vAlign w:val="center"/>
          </w:tcPr>
          <w:p w:rsidR="00F66BD1" w:rsidRPr="002C7FC6" w:rsidRDefault="00F66BD1" w:rsidP="00AC3D49">
            <w:pPr>
              <w:jc w:val="center"/>
              <w:rPr>
                <w:rFonts w:ascii="Arial" w:eastAsia="Times New Roman" w:hAnsi="Arial" w:cs="Arial"/>
                <w:color w:val="000000"/>
                <w:sz w:val="24"/>
                <w:szCs w:val="24"/>
              </w:rPr>
            </w:pPr>
          </w:p>
        </w:tc>
      </w:tr>
      <w:tr w:rsidR="00F66BD1" w:rsidRPr="002C7FC6" w:rsidTr="00E86971">
        <w:trPr>
          <w:tblCellSpacing w:w="15" w:type="dxa"/>
        </w:trPr>
        <w:tc>
          <w:tcPr>
            <w:tcW w:w="9470" w:type="dxa"/>
            <w:shd w:val="clear" w:color="auto" w:fill="FFFFFF"/>
            <w:tcMar>
              <w:top w:w="15" w:type="dxa"/>
              <w:left w:w="15" w:type="dxa"/>
              <w:bottom w:w="75" w:type="dxa"/>
              <w:right w:w="75" w:type="dxa"/>
            </w:tcMar>
          </w:tcPr>
          <w:p w:rsidR="003F59EA" w:rsidRDefault="00F66BD1" w:rsidP="00F66BD1">
            <w:pPr>
              <w:spacing w:after="45"/>
              <w:rPr>
                <w:rFonts w:ascii="Arial" w:eastAsia="Times New Roman" w:hAnsi="Arial" w:cs="Arial"/>
                <w:color w:val="000000"/>
                <w:sz w:val="24"/>
                <w:szCs w:val="24"/>
              </w:rPr>
            </w:pPr>
            <w:r>
              <w:rPr>
                <w:rFonts w:ascii="Arial" w:eastAsia="Times New Roman" w:hAnsi="Arial" w:cs="Arial"/>
                <w:color w:val="000000"/>
                <w:sz w:val="24"/>
                <w:szCs w:val="24"/>
              </w:rPr>
              <w:lastRenderedPageBreak/>
              <w:t>7</w:t>
            </w:r>
            <w:r w:rsidRPr="00F66BD1">
              <w:rPr>
                <w:rFonts w:ascii="Arial" w:eastAsia="Times New Roman" w:hAnsi="Arial" w:cs="Arial"/>
                <w:color w:val="000000"/>
                <w:sz w:val="24"/>
                <w:szCs w:val="24"/>
              </w:rPr>
              <w:t>.TXSET Collaborative Items – if any</w:t>
            </w:r>
          </w:p>
          <w:p w:rsidR="00F66BD1" w:rsidRPr="00E54B65" w:rsidRDefault="00F66BD1" w:rsidP="00263ACC">
            <w:pPr>
              <w:pStyle w:val="BodyText1"/>
              <w:ind w:right="720"/>
              <w:rPr>
                <w:color w:val="0070C0"/>
              </w:rPr>
            </w:pPr>
          </w:p>
        </w:tc>
        <w:tc>
          <w:tcPr>
            <w:tcW w:w="911" w:type="dxa"/>
            <w:tcMar>
              <w:top w:w="15" w:type="dxa"/>
              <w:left w:w="15" w:type="dxa"/>
              <w:bottom w:w="15" w:type="dxa"/>
              <w:right w:w="15" w:type="dxa"/>
            </w:tcMar>
            <w:vAlign w:val="center"/>
          </w:tcPr>
          <w:p w:rsidR="00F66BD1" w:rsidRPr="002C7FC6" w:rsidRDefault="00F66BD1" w:rsidP="00AC3D49">
            <w:pPr>
              <w:jc w:val="center"/>
              <w:rPr>
                <w:rFonts w:ascii="Arial" w:eastAsia="Times New Roman" w:hAnsi="Arial" w:cs="Arial"/>
                <w:color w:val="000000"/>
                <w:sz w:val="24"/>
                <w:szCs w:val="24"/>
              </w:rPr>
            </w:pPr>
          </w:p>
        </w:tc>
      </w:tr>
      <w:tr w:rsidR="00F66BD1" w:rsidRPr="002C7FC6" w:rsidTr="00E86971">
        <w:trPr>
          <w:tblCellSpacing w:w="15" w:type="dxa"/>
        </w:trPr>
        <w:tc>
          <w:tcPr>
            <w:tcW w:w="9470" w:type="dxa"/>
            <w:shd w:val="clear" w:color="auto" w:fill="FFFFFF"/>
            <w:tcMar>
              <w:top w:w="15" w:type="dxa"/>
              <w:left w:w="15" w:type="dxa"/>
              <w:bottom w:w="75" w:type="dxa"/>
              <w:right w:w="75" w:type="dxa"/>
            </w:tcMar>
          </w:tcPr>
          <w:p w:rsidR="00F66BD1" w:rsidRDefault="00F66BD1" w:rsidP="00B0608F">
            <w:pPr>
              <w:spacing w:after="45"/>
              <w:rPr>
                <w:rFonts w:ascii="Arial" w:eastAsia="Times New Roman" w:hAnsi="Arial" w:cs="Arial"/>
                <w:color w:val="000000"/>
                <w:sz w:val="24"/>
                <w:szCs w:val="24"/>
              </w:rPr>
            </w:pPr>
            <w:r>
              <w:rPr>
                <w:rFonts w:ascii="Arial" w:eastAsia="Times New Roman" w:hAnsi="Arial" w:cs="Arial"/>
                <w:color w:val="000000"/>
                <w:sz w:val="24"/>
                <w:szCs w:val="24"/>
              </w:rPr>
              <w:t>8</w:t>
            </w:r>
            <w:r w:rsidR="00B0608F">
              <w:rPr>
                <w:rFonts w:ascii="Arial" w:eastAsia="Times New Roman" w:hAnsi="Arial" w:cs="Arial"/>
                <w:color w:val="000000"/>
                <w:sz w:val="24"/>
                <w:szCs w:val="24"/>
              </w:rPr>
              <w:t>. Adjourned.</w:t>
            </w:r>
          </w:p>
          <w:p w:rsidR="00B0608F" w:rsidRPr="00B0608F" w:rsidRDefault="00B0608F" w:rsidP="00B0608F">
            <w:pPr>
              <w:spacing w:after="45"/>
              <w:rPr>
                <w:rFonts w:ascii="Arial" w:eastAsia="Times New Roman" w:hAnsi="Arial" w:cs="Arial"/>
                <w:color w:val="0070C0"/>
                <w:sz w:val="24"/>
                <w:szCs w:val="24"/>
              </w:rPr>
            </w:pPr>
            <w:r>
              <w:rPr>
                <w:rFonts w:ascii="Arial" w:eastAsia="Times New Roman" w:hAnsi="Arial" w:cs="Arial"/>
                <w:color w:val="0070C0"/>
                <w:sz w:val="24"/>
                <w:szCs w:val="24"/>
              </w:rPr>
              <w:t>After review potentially limited TDTMS agenda items for May, it was concluded with the May meeting to be a combined and coordinated with TX SET.</w:t>
            </w:r>
          </w:p>
        </w:tc>
        <w:tc>
          <w:tcPr>
            <w:tcW w:w="911" w:type="dxa"/>
            <w:tcMar>
              <w:top w:w="15" w:type="dxa"/>
              <w:left w:w="15" w:type="dxa"/>
              <w:bottom w:w="15" w:type="dxa"/>
              <w:right w:w="15" w:type="dxa"/>
            </w:tcMar>
            <w:vAlign w:val="center"/>
          </w:tcPr>
          <w:p w:rsidR="00F66BD1" w:rsidRPr="002C7FC6" w:rsidRDefault="00F66BD1" w:rsidP="00AC3D49">
            <w:pPr>
              <w:jc w:val="center"/>
              <w:rPr>
                <w:rFonts w:ascii="Arial" w:eastAsia="Times New Roman" w:hAnsi="Arial" w:cs="Arial"/>
                <w:color w:val="000000"/>
                <w:sz w:val="24"/>
                <w:szCs w:val="24"/>
              </w:rPr>
            </w:pPr>
          </w:p>
        </w:tc>
      </w:tr>
    </w:tbl>
    <w:p w:rsidR="00B571E9" w:rsidRPr="002C7FC6" w:rsidRDefault="00B571E9">
      <w:pPr>
        <w:rPr>
          <w:sz w:val="24"/>
          <w:szCs w:val="24"/>
        </w:rPr>
      </w:pPr>
    </w:p>
    <w:sectPr w:rsidR="00B571E9" w:rsidRPr="002C7FC6" w:rsidSect="00E86971">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9AF"/>
    <w:multiLevelType w:val="hybridMultilevel"/>
    <w:tmpl w:val="2970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37B05"/>
    <w:multiLevelType w:val="hybridMultilevel"/>
    <w:tmpl w:val="8A903A3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26E56"/>
    <w:multiLevelType w:val="hybridMultilevel"/>
    <w:tmpl w:val="687CC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50513"/>
    <w:multiLevelType w:val="hybridMultilevel"/>
    <w:tmpl w:val="AC4A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4E75"/>
    <w:multiLevelType w:val="hybridMultilevel"/>
    <w:tmpl w:val="E5907C1A"/>
    <w:lvl w:ilvl="0" w:tplc="DF7C13B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F2EB1"/>
    <w:multiLevelType w:val="hybridMultilevel"/>
    <w:tmpl w:val="57E8C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9D2201"/>
    <w:multiLevelType w:val="hybridMultilevel"/>
    <w:tmpl w:val="885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F3C00"/>
    <w:multiLevelType w:val="hybridMultilevel"/>
    <w:tmpl w:val="F8149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E97418"/>
    <w:multiLevelType w:val="hybridMultilevel"/>
    <w:tmpl w:val="543A97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194D81"/>
    <w:multiLevelType w:val="hybridMultilevel"/>
    <w:tmpl w:val="2C2C0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A1C39"/>
    <w:multiLevelType w:val="hybridMultilevel"/>
    <w:tmpl w:val="FAA6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D02AC"/>
    <w:multiLevelType w:val="hybridMultilevel"/>
    <w:tmpl w:val="67AA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DB5787"/>
    <w:multiLevelType w:val="hybridMultilevel"/>
    <w:tmpl w:val="2C807A2E"/>
    <w:lvl w:ilvl="0" w:tplc="92C88D24">
      <w:start w:val="1"/>
      <w:numFmt w:val="bullet"/>
      <w:lvlText w:val=""/>
      <w:lvlJc w:val="left"/>
      <w:pPr>
        <w:tabs>
          <w:tab w:val="num" w:pos="720"/>
        </w:tabs>
        <w:ind w:left="720" w:hanging="360"/>
      </w:pPr>
      <w:rPr>
        <w:rFonts w:ascii="Wingdings" w:hAnsi="Wingdings" w:hint="default"/>
      </w:rPr>
    </w:lvl>
    <w:lvl w:ilvl="1" w:tplc="3440FC3E">
      <w:start w:val="1"/>
      <w:numFmt w:val="bullet"/>
      <w:lvlText w:val=""/>
      <w:lvlJc w:val="left"/>
      <w:pPr>
        <w:tabs>
          <w:tab w:val="num" w:pos="1440"/>
        </w:tabs>
        <w:ind w:left="1440" w:hanging="360"/>
      </w:pPr>
      <w:rPr>
        <w:rFonts w:ascii="Wingdings" w:hAnsi="Wingdings" w:hint="default"/>
      </w:rPr>
    </w:lvl>
    <w:lvl w:ilvl="2" w:tplc="58788AC8" w:tentative="1">
      <w:start w:val="1"/>
      <w:numFmt w:val="bullet"/>
      <w:lvlText w:val=""/>
      <w:lvlJc w:val="left"/>
      <w:pPr>
        <w:tabs>
          <w:tab w:val="num" w:pos="2160"/>
        </w:tabs>
        <w:ind w:left="2160" w:hanging="360"/>
      </w:pPr>
      <w:rPr>
        <w:rFonts w:ascii="Wingdings" w:hAnsi="Wingdings" w:hint="default"/>
      </w:rPr>
    </w:lvl>
    <w:lvl w:ilvl="3" w:tplc="914C7DBA" w:tentative="1">
      <w:start w:val="1"/>
      <w:numFmt w:val="bullet"/>
      <w:lvlText w:val=""/>
      <w:lvlJc w:val="left"/>
      <w:pPr>
        <w:tabs>
          <w:tab w:val="num" w:pos="2880"/>
        </w:tabs>
        <w:ind w:left="2880" w:hanging="360"/>
      </w:pPr>
      <w:rPr>
        <w:rFonts w:ascii="Wingdings" w:hAnsi="Wingdings" w:hint="default"/>
      </w:rPr>
    </w:lvl>
    <w:lvl w:ilvl="4" w:tplc="CF70AB86" w:tentative="1">
      <w:start w:val="1"/>
      <w:numFmt w:val="bullet"/>
      <w:lvlText w:val=""/>
      <w:lvlJc w:val="left"/>
      <w:pPr>
        <w:tabs>
          <w:tab w:val="num" w:pos="3600"/>
        </w:tabs>
        <w:ind w:left="3600" w:hanging="360"/>
      </w:pPr>
      <w:rPr>
        <w:rFonts w:ascii="Wingdings" w:hAnsi="Wingdings" w:hint="default"/>
      </w:rPr>
    </w:lvl>
    <w:lvl w:ilvl="5" w:tplc="D5EC78DE" w:tentative="1">
      <w:start w:val="1"/>
      <w:numFmt w:val="bullet"/>
      <w:lvlText w:val=""/>
      <w:lvlJc w:val="left"/>
      <w:pPr>
        <w:tabs>
          <w:tab w:val="num" w:pos="4320"/>
        </w:tabs>
        <w:ind w:left="4320" w:hanging="360"/>
      </w:pPr>
      <w:rPr>
        <w:rFonts w:ascii="Wingdings" w:hAnsi="Wingdings" w:hint="default"/>
      </w:rPr>
    </w:lvl>
    <w:lvl w:ilvl="6" w:tplc="629210C8" w:tentative="1">
      <w:start w:val="1"/>
      <w:numFmt w:val="bullet"/>
      <w:lvlText w:val=""/>
      <w:lvlJc w:val="left"/>
      <w:pPr>
        <w:tabs>
          <w:tab w:val="num" w:pos="5040"/>
        </w:tabs>
        <w:ind w:left="5040" w:hanging="360"/>
      </w:pPr>
      <w:rPr>
        <w:rFonts w:ascii="Wingdings" w:hAnsi="Wingdings" w:hint="default"/>
      </w:rPr>
    </w:lvl>
    <w:lvl w:ilvl="7" w:tplc="0F6CFD06" w:tentative="1">
      <w:start w:val="1"/>
      <w:numFmt w:val="bullet"/>
      <w:lvlText w:val=""/>
      <w:lvlJc w:val="left"/>
      <w:pPr>
        <w:tabs>
          <w:tab w:val="num" w:pos="5760"/>
        </w:tabs>
        <w:ind w:left="5760" w:hanging="360"/>
      </w:pPr>
      <w:rPr>
        <w:rFonts w:ascii="Wingdings" w:hAnsi="Wingdings" w:hint="default"/>
      </w:rPr>
    </w:lvl>
    <w:lvl w:ilvl="8" w:tplc="645EDF84" w:tentative="1">
      <w:start w:val="1"/>
      <w:numFmt w:val="bullet"/>
      <w:lvlText w:val=""/>
      <w:lvlJc w:val="left"/>
      <w:pPr>
        <w:tabs>
          <w:tab w:val="num" w:pos="6480"/>
        </w:tabs>
        <w:ind w:left="6480" w:hanging="360"/>
      </w:pPr>
      <w:rPr>
        <w:rFonts w:ascii="Wingdings" w:hAnsi="Wingdings" w:hint="default"/>
      </w:rPr>
    </w:lvl>
  </w:abstractNum>
  <w:abstractNum w:abstractNumId="13">
    <w:nsid w:val="4C2908EE"/>
    <w:multiLevelType w:val="hybridMultilevel"/>
    <w:tmpl w:val="6DA26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EF41FEB"/>
    <w:multiLevelType w:val="hybridMultilevel"/>
    <w:tmpl w:val="160E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B61577"/>
    <w:multiLevelType w:val="hybridMultilevel"/>
    <w:tmpl w:val="90C8A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022D35"/>
    <w:multiLevelType w:val="hybridMultilevel"/>
    <w:tmpl w:val="23B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C275E1"/>
    <w:multiLevelType w:val="hybridMultilevel"/>
    <w:tmpl w:val="F386F2C2"/>
    <w:lvl w:ilvl="0" w:tplc="81AE50CC">
      <w:start w:val="1"/>
      <w:numFmt w:val="bullet"/>
      <w:lvlText w:val=""/>
      <w:lvlJc w:val="left"/>
      <w:pPr>
        <w:tabs>
          <w:tab w:val="num" w:pos="720"/>
        </w:tabs>
        <w:ind w:left="720" w:hanging="360"/>
      </w:pPr>
      <w:rPr>
        <w:rFonts w:ascii="Wingdings" w:hAnsi="Wingdings" w:hint="default"/>
      </w:rPr>
    </w:lvl>
    <w:lvl w:ilvl="1" w:tplc="21760884">
      <w:start w:val="1"/>
      <w:numFmt w:val="bullet"/>
      <w:lvlText w:val=""/>
      <w:lvlJc w:val="left"/>
      <w:pPr>
        <w:tabs>
          <w:tab w:val="num" w:pos="1440"/>
        </w:tabs>
        <w:ind w:left="1440" w:hanging="360"/>
      </w:pPr>
      <w:rPr>
        <w:rFonts w:ascii="Wingdings" w:hAnsi="Wingdings" w:hint="default"/>
      </w:rPr>
    </w:lvl>
    <w:lvl w:ilvl="2" w:tplc="2E105FE2">
      <w:start w:val="1181"/>
      <w:numFmt w:val="bullet"/>
      <w:lvlText w:val="o"/>
      <w:lvlJc w:val="left"/>
      <w:pPr>
        <w:tabs>
          <w:tab w:val="num" w:pos="2160"/>
        </w:tabs>
        <w:ind w:left="2160" w:hanging="360"/>
      </w:pPr>
      <w:rPr>
        <w:rFonts w:ascii="Courier New" w:hAnsi="Courier New" w:hint="default"/>
      </w:rPr>
    </w:lvl>
    <w:lvl w:ilvl="3" w:tplc="CAF6DE7A" w:tentative="1">
      <w:start w:val="1"/>
      <w:numFmt w:val="bullet"/>
      <w:lvlText w:val=""/>
      <w:lvlJc w:val="left"/>
      <w:pPr>
        <w:tabs>
          <w:tab w:val="num" w:pos="2880"/>
        </w:tabs>
        <w:ind w:left="2880" w:hanging="360"/>
      </w:pPr>
      <w:rPr>
        <w:rFonts w:ascii="Wingdings" w:hAnsi="Wingdings" w:hint="default"/>
      </w:rPr>
    </w:lvl>
    <w:lvl w:ilvl="4" w:tplc="7D26B1DA" w:tentative="1">
      <w:start w:val="1"/>
      <w:numFmt w:val="bullet"/>
      <w:lvlText w:val=""/>
      <w:lvlJc w:val="left"/>
      <w:pPr>
        <w:tabs>
          <w:tab w:val="num" w:pos="3600"/>
        </w:tabs>
        <w:ind w:left="3600" w:hanging="360"/>
      </w:pPr>
      <w:rPr>
        <w:rFonts w:ascii="Wingdings" w:hAnsi="Wingdings" w:hint="default"/>
      </w:rPr>
    </w:lvl>
    <w:lvl w:ilvl="5" w:tplc="AF0862E2" w:tentative="1">
      <w:start w:val="1"/>
      <w:numFmt w:val="bullet"/>
      <w:lvlText w:val=""/>
      <w:lvlJc w:val="left"/>
      <w:pPr>
        <w:tabs>
          <w:tab w:val="num" w:pos="4320"/>
        </w:tabs>
        <w:ind w:left="4320" w:hanging="360"/>
      </w:pPr>
      <w:rPr>
        <w:rFonts w:ascii="Wingdings" w:hAnsi="Wingdings" w:hint="default"/>
      </w:rPr>
    </w:lvl>
    <w:lvl w:ilvl="6" w:tplc="D278D332" w:tentative="1">
      <w:start w:val="1"/>
      <w:numFmt w:val="bullet"/>
      <w:lvlText w:val=""/>
      <w:lvlJc w:val="left"/>
      <w:pPr>
        <w:tabs>
          <w:tab w:val="num" w:pos="5040"/>
        </w:tabs>
        <w:ind w:left="5040" w:hanging="360"/>
      </w:pPr>
      <w:rPr>
        <w:rFonts w:ascii="Wingdings" w:hAnsi="Wingdings" w:hint="default"/>
      </w:rPr>
    </w:lvl>
    <w:lvl w:ilvl="7" w:tplc="CA70AAC4" w:tentative="1">
      <w:start w:val="1"/>
      <w:numFmt w:val="bullet"/>
      <w:lvlText w:val=""/>
      <w:lvlJc w:val="left"/>
      <w:pPr>
        <w:tabs>
          <w:tab w:val="num" w:pos="5760"/>
        </w:tabs>
        <w:ind w:left="5760" w:hanging="360"/>
      </w:pPr>
      <w:rPr>
        <w:rFonts w:ascii="Wingdings" w:hAnsi="Wingdings" w:hint="default"/>
      </w:rPr>
    </w:lvl>
    <w:lvl w:ilvl="8" w:tplc="D6AC0AFC" w:tentative="1">
      <w:start w:val="1"/>
      <w:numFmt w:val="bullet"/>
      <w:lvlText w:val=""/>
      <w:lvlJc w:val="left"/>
      <w:pPr>
        <w:tabs>
          <w:tab w:val="num" w:pos="6480"/>
        </w:tabs>
        <w:ind w:left="6480" w:hanging="360"/>
      </w:pPr>
      <w:rPr>
        <w:rFonts w:ascii="Wingdings" w:hAnsi="Wingdings" w:hint="default"/>
      </w:rPr>
    </w:lvl>
  </w:abstractNum>
  <w:abstractNum w:abstractNumId="18">
    <w:nsid w:val="77B9430C"/>
    <w:multiLevelType w:val="hybridMultilevel"/>
    <w:tmpl w:val="B81A5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8"/>
  </w:num>
  <w:num w:numId="4">
    <w:abstractNumId w:val="13"/>
  </w:num>
  <w:num w:numId="5">
    <w:abstractNumId w:val="4"/>
  </w:num>
  <w:num w:numId="6">
    <w:abstractNumId w:val="5"/>
  </w:num>
  <w:num w:numId="7">
    <w:abstractNumId w:val="1"/>
  </w:num>
  <w:num w:numId="8">
    <w:abstractNumId w:val="11"/>
  </w:num>
  <w:num w:numId="9">
    <w:abstractNumId w:val="9"/>
  </w:num>
  <w:num w:numId="10">
    <w:abstractNumId w:val="15"/>
  </w:num>
  <w:num w:numId="11">
    <w:abstractNumId w:val="3"/>
  </w:num>
  <w:num w:numId="12">
    <w:abstractNumId w:val="16"/>
  </w:num>
  <w:num w:numId="13">
    <w:abstractNumId w:val="14"/>
  </w:num>
  <w:num w:numId="14">
    <w:abstractNumId w:val="18"/>
  </w:num>
  <w:num w:numId="15">
    <w:abstractNumId w:val="6"/>
  </w:num>
  <w:num w:numId="16">
    <w:abstractNumId w:val="0"/>
  </w:num>
  <w:num w:numId="17">
    <w:abstractNumId w:val="12"/>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E2"/>
    <w:rsid w:val="00001426"/>
    <w:rsid w:val="00043619"/>
    <w:rsid w:val="001679D5"/>
    <w:rsid w:val="001748FE"/>
    <w:rsid w:val="00187F1C"/>
    <w:rsid w:val="001933C5"/>
    <w:rsid w:val="00263ACC"/>
    <w:rsid w:val="00267761"/>
    <w:rsid w:val="002C7FC6"/>
    <w:rsid w:val="002D736D"/>
    <w:rsid w:val="002F051C"/>
    <w:rsid w:val="003067F8"/>
    <w:rsid w:val="00311A04"/>
    <w:rsid w:val="0032692A"/>
    <w:rsid w:val="00341B2C"/>
    <w:rsid w:val="00376D4A"/>
    <w:rsid w:val="003F59EA"/>
    <w:rsid w:val="004211F7"/>
    <w:rsid w:val="004525DB"/>
    <w:rsid w:val="004B5F50"/>
    <w:rsid w:val="0058469A"/>
    <w:rsid w:val="005B6F1D"/>
    <w:rsid w:val="005C321B"/>
    <w:rsid w:val="00651C41"/>
    <w:rsid w:val="00653821"/>
    <w:rsid w:val="006902E2"/>
    <w:rsid w:val="00764E9A"/>
    <w:rsid w:val="007814ED"/>
    <w:rsid w:val="007C093A"/>
    <w:rsid w:val="007D518E"/>
    <w:rsid w:val="0087705B"/>
    <w:rsid w:val="00884068"/>
    <w:rsid w:val="009367AF"/>
    <w:rsid w:val="009922EC"/>
    <w:rsid w:val="009C5C90"/>
    <w:rsid w:val="00A41201"/>
    <w:rsid w:val="00AC0168"/>
    <w:rsid w:val="00AC3D49"/>
    <w:rsid w:val="00AC3D96"/>
    <w:rsid w:val="00AC5B92"/>
    <w:rsid w:val="00AC6917"/>
    <w:rsid w:val="00AE666E"/>
    <w:rsid w:val="00B0608F"/>
    <w:rsid w:val="00B571E9"/>
    <w:rsid w:val="00BA21BF"/>
    <w:rsid w:val="00BE5276"/>
    <w:rsid w:val="00C94774"/>
    <w:rsid w:val="00D04571"/>
    <w:rsid w:val="00D078EE"/>
    <w:rsid w:val="00E379A3"/>
    <w:rsid w:val="00E54B65"/>
    <w:rsid w:val="00E801E4"/>
    <w:rsid w:val="00E86971"/>
    <w:rsid w:val="00E90F63"/>
    <w:rsid w:val="00EF3321"/>
    <w:rsid w:val="00F66BD1"/>
    <w:rsid w:val="00F710FA"/>
    <w:rsid w:val="00F7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3F59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0FA"/>
    <w:pPr>
      <w:ind w:left="720"/>
      <w:contextualSpacing/>
    </w:pPr>
  </w:style>
  <w:style w:type="paragraph" w:styleId="NoSpacing">
    <w:name w:val="No Spacing"/>
    <w:uiPriority w:val="1"/>
    <w:qFormat/>
    <w:rsid w:val="00F66BD1"/>
    <w:rPr>
      <w:sz w:val="22"/>
      <w:szCs w:val="22"/>
    </w:rPr>
  </w:style>
  <w:style w:type="paragraph" w:customStyle="1" w:styleId="BodyText1">
    <w:name w:val="Body Text1"/>
    <w:aliases w:val="Char Char Char Char Char Char,Char Char Char Char Char Char Charh2,...,Char Char Char Char Char Char Char,Body Text Char Char,Body Text Char1 Char Char,Body Text Char Char Char Char,Char Char Char Char Char Cha"/>
    <w:basedOn w:val="Normal"/>
    <w:rsid w:val="003F59EA"/>
    <w:pPr>
      <w:spacing w:after="240" w:line="240" w:lineRule="auto"/>
    </w:pPr>
    <w:rPr>
      <w:rFonts w:ascii="Times New Roman" w:eastAsia="Times New Roman" w:hAnsi="Times New Roman"/>
      <w:sz w:val="24"/>
      <w:szCs w:val="24"/>
    </w:rPr>
  </w:style>
  <w:style w:type="character" w:customStyle="1" w:styleId="H4Char">
    <w:name w:val="H4 Char"/>
    <w:link w:val="H4"/>
    <w:locked/>
    <w:rsid w:val="003F59EA"/>
    <w:rPr>
      <w:b/>
      <w:bCs/>
      <w:sz w:val="24"/>
    </w:rPr>
  </w:style>
  <w:style w:type="paragraph" w:customStyle="1" w:styleId="H4">
    <w:name w:val="H4"/>
    <w:basedOn w:val="Heading4"/>
    <w:next w:val="BodyText1"/>
    <w:link w:val="H4Char"/>
    <w:rsid w:val="003F59EA"/>
    <w:pPr>
      <w:keepLines w:val="0"/>
      <w:widowControl w:val="0"/>
      <w:tabs>
        <w:tab w:val="left" w:pos="1260"/>
      </w:tabs>
      <w:snapToGrid w:val="0"/>
      <w:spacing w:before="240" w:after="240" w:line="240" w:lineRule="auto"/>
      <w:ind w:left="1260" w:hanging="1260"/>
    </w:pPr>
    <w:rPr>
      <w:rFonts w:ascii="Calibri" w:eastAsia="Calibri" w:hAnsi="Calibri" w:cs="Times New Roman"/>
      <w:i w:val="0"/>
      <w:iCs w:val="0"/>
      <w:color w:val="auto"/>
      <w:sz w:val="24"/>
      <w:szCs w:val="20"/>
    </w:rPr>
  </w:style>
  <w:style w:type="character" w:customStyle="1" w:styleId="Heading4Char">
    <w:name w:val="Heading 4 Char"/>
    <w:basedOn w:val="DefaultParagraphFont"/>
    <w:link w:val="Heading4"/>
    <w:uiPriority w:val="9"/>
    <w:semiHidden/>
    <w:rsid w:val="003F59EA"/>
    <w:rPr>
      <w:rFonts w:asciiTheme="majorHAnsi" w:eastAsiaTheme="majorEastAsia" w:hAnsiTheme="majorHAnsi" w:cstheme="majorBidi"/>
      <w:b/>
      <w:bCs/>
      <w:i/>
      <w:iCs/>
      <w:color w:val="4F81BD" w:themeColor="accent1"/>
      <w:sz w:val="22"/>
      <w:szCs w:val="22"/>
    </w:rPr>
  </w:style>
  <w:style w:type="paragraph" w:styleId="BalloonText">
    <w:name w:val="Balloon Text"/>
    <w:basedOn w:val="Normal"/>
    <w:link w:val="BalloonTextChar"/>
    <w:uiPriority w:val="99"/>
    <w:semiHidden/>
    <w:unhideWhenUsed/>
    <w:rsid w:val="00263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3F59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0FA"/>
    <w:pPr>
      <w:ind w:left="720"/>
      <w:contextualSpacing/>
    </w:pPr>
  </w:style>
  <w:style w:type="paragraph" w:styleId="NoSpacing">
    <w:name w:val="No Spacing"/>
    <w:uiPriority w:val="1"/>
    <w:qFormat/>
    <w:rsid w:val="00F66BD1"/>
    <w:rPr>
      <w:sz w:val="22"/>
      <w:szCs w:val="22"/>
    </w:rPr>
  </w:style>
  <w:style w:type="paragraph" w:customStyle="1" w:styleId="BodyText1">
    <w:name w:val="Body Text1"/>
    <w:aliases w:val="Char Char Char Char Char Char,Char Char Char Char Char Char Charh2,...,Char Char Char Char Char Char Char,Body Text Char Char,Body Text Char1 Char Char,Body Text Char Char Char Char,Char Char Char Char Char Cha"/>
    <w:basedOn w:val="Normal"/>
    <w:rsid w:val="003F59EA"/>
    <w:pPr>
      <w:spacing w:after="240" w:line="240" w:lineRule="auto"/>
    </w:pPr>
    <w:rPr>
      <w:rFonts w:ascii="Times New Roman" w:eastAsia="Times New Roman" w:hAnsi="Times New Roman"/>
      <w:sz w:val="24"/>
      <w:szCs w:val="24"/>
    </w:rPr>
  </w:style>
  <w:style w:type="character" w:customStyle="1" w:styleId="H4Char">
    <w:name w:val="H4 Char"/>
    <w:link w:val="H4"/>
    <w:locked/>
    <w:rsid w:val="003F59EA"/>
    <w:rPr>
      <w:b/>
      <w:bCs/>
      <w:sz w:val="24"/>
    </w:rPr>
  </w:style>
  <w:style w:type="paragraph" w:customStyle="1" w:styleId="H4">
    <w:name w:val="H4"/>
    <w:basedOn w:val="Heading4"/>
    <w:next w:val="BodyText1"/>
    <w:link w:val="H4Char"/>
    <w:rsid w:val="003F59EA"/>
    <w:pPr>
      <w:keepLines w:val="0"/>
      <w:widowControl w:val="0"/>
      <w:tabs>
        <w:tab w:val="left" w:pos="1260"/>
      </w:tabs>
      <w:snapToGrid w:val="0"/>
      <w:spacing w:before="240" w:after="240" w:line="240" w:lineRule="auto"/>
      <w:ind w:left="1260" w:hanging="1260"/>
    </w:pPr>
    <w:rPr>
      <w:rFonts w:ascii="Calibri" w:eastAsia="Calibri" w:hAnsi="Calibri" w:cs="Times New Roman"/>
      <w:i w:val="0"/>
      <w:iCs w:val="0"/>
      <w:color w:val="auto"/>
      <w:sz w:val="24"/>
      <w:szCs w:val="20"/>
    </w:rPr>
  </w:style>
  <w:style w:type="character" w:customStyle="1" w:styleId="Heading4Char">
    <w:name w:val="Heading 4 Char"/>
    <w:basedOn w:val="DefaultParagraphFont"/>
    <w:link w:val="Heading4"/>
    <w:uiPriority w:val="9"/>
    <w:semiHidden/>
    <w:rsid w:val="003F59EA"/>
    <w:rPr>
      <w:rFonts w:asciiTheme="majorHAnsi" w:eastAsiaTheme="majorEastAsia" w:hAnsiTheme="majorHAnsi" w:cstheme="majorBidi"/>
      <w:b/>
      <w:bCs/>
      <w:i/>
      <w:iCs/>
      <w:color w:val="4F81BD" w:themeColor="accent1"/>
      <w:sz w:val="22"/>
      <w:szCs w:val="22"/>
    </w:rPr>
  </w:style>
  <w:style w:type="paragraph" w:styleId="BalloonText">
    <w:name w:val="Balloon Text"/>
    <w:basedOn w:val="Normal"/>
    <w:link w:val="BalloonTextChar"/>
    <w:uiPriority w:val="99"/>
    <w:semiHidden/>
    <w:unhideWhenUsed/>
    <w:rsid w:val="00263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32272">
      <w:bodyDiv w:val="1"/>
      <w:marLeft w:val="0"/>
      <w:marRight w:val="0"/>
      <w:marTop w:val="0"/>
      <w:marBottom w:val="0"/>
      <w:divBdr>
        <w:top w:val="none" w:sz="0" w:space="0" w:color="auto"/>
        <w:left w:val="none" w:sz="0" w:space="0" w:color="auto"/>
        <w:bottom w:val="none" w:sz="0" w:space="0" w:color="auto"/>
        <w:right w:val="none" w:sz="0" w:space="0" w:color="auto"/>
      </w:divBdr>
      <w:divsChild>
        <w:div w:id="970674836">
          <w:marLeft w:val="1166"/>
          <w:marRight w:val="0"/>
          <w:marTop w:val="77"/>
          <w:marBottom w:val="0"/>
          <w:divBdr>
            <w:top w:val="none" w:sz="0" w:space="0" w:color="auto"/>
            <w:left w:val="none" w:sz="0" w:space="0" w:color="auto"/>
            <w:bottom w:val="none" w:sz="0" w:space="0" w:color="auto"/>
            <w:right w:val="none" w:sz="0" w:space="0" w:color="auto"/>
          </w:divBdr>
        </w:div>
      </w:divsChild>
    </w:div>
    <w:div w:id="412704091">
      <w:bodyDiv w:val="1"/>
      <w:marLeft w:val="0"/>
      <w:marRight w:val="0"/>
      <w:marTop w:val="0"/>
      <w:marBottom w:val="0"/>
      <w:divBdr>
        <w:top w:val="none" w:sz="0" w:space="0" w:color="auto"/>
        <w:left w:val="none" w:sz="0" w:space="0" w:color="auto"/>
        <w:bottom w:val="none" w:sz="0" w:space="0" w:color="auto"/>
        <w:right w:val="none" w:sz="0" w:space="0" w:color="auto"/>
      </w:divBdr>
    </w:div>
    <w:div w:id="1581401125">
      <w:bodyDiv w:val="1"/>
      <w:marLeft w:val="0"/>
      <w:marRight w:val="0"/>
      <w:marTop w:val="0"/>
      <w:marBottom w:val="0"/>
      <w:divBdr>
        <w:top w:val="none" w:sz="0" w:space="0" w:color="auto"/>
        <w:left w:val="none" w:sz="0" w:space="0" w:color="auto"/>
        <w:bottom w:val="none" w:sz="0" w:space="0" w:color="auto"/>
        <w:right w:val="none" w:sz="0" w:space="0" w:color="auto"/>
      </w:divBdr>
    </w:div>
    <w:div w:id="1831362378">
      <w:bodyDiv w:val="1"/>
      <w:marLeft w:val="0"/>
      <w:marRight w:val="0"/>
      <w:marTop w:val="0"/>
      <w:marBottom w:val="0"/>
      <w:divBdr>
        <w:top w:val="none" w:sz="0" w:space="0" w:color="auto"/>
        <w:left w:val="none" w:sz="0" w:space="0" w:color="auto"/>
        <w:bottom w:val="none" w:sz="0" w:space="0" w:color="auto"/>
        <w:right w:val="none" w:sz="0" w:space="0" w:color="auto"/>
      </w:divBdr>
    </w:div>
    <w:div w:id="2133551340">
      <w:bodyDiv w:val="1"/>
      <w:marLeft w:val="0"/>
      <w:marRight w:val="0"/>
      <w:marTop w:val="0"/>
      <w:marBottom w:val="0"/>
      <w:divBdr>
        <w:top w:val="none" w:sz="0" w:space="0" w:color="auto"/>
        <w:left w:val="none" w:sz="0" w:space="0" w:color="auto"/>
        <w:bottom w:val="none" w:sz="0" w:space="0" w:color="auto"/>
        <w:right w:val="none" w:sz="0" w:space="0" w:color="auto"/>
      </w:divBdr>
      <w:divsChild>
        <w:div w:id="974258949">
          <w:marLeft w:val="1166"/>
          <w:marRight w:val="0"/>
          <w:marTop w:val="77"/>
          <w:marBottom w:val="0"/>
          <w:divBdr>
            <w:top w:val="none" w:sz="0" w:space="0" w:color="auto"/>
            <w:left w:val="none" w:sz="0" w:space="0" w:color="auto"/>
            <w:bottom w:val="none" w:sz="0" w:space="0" w:color="auto"/>
            <w:right w:val="none" w:sz="0" w:space="0" w:color="auto"/>
          </w:divBdr>
        </w:div>
        <w:div w:id="1948543592">
          <w:marLeft w:val="1166"/>
          <w:marRight w:val="0"/>
          <w:marTop w:val="77"/>
          <w:marBottom w:val="0"/>
          <w:divBdr>
            <w:top w:val="none" w:sz="0" w:space="0" w:color="auto"/>
            <w:left w:val="none" w:sz="0" w:space="0" w:color="auto"/>
            <w:bottom w:val="none" w:sz="0" w:space="0" w:color="auto"/>
            <w:right w:val="none" w:sz="0" w:space="0" w:color="auto"/>
          </w:divBdr>
        </w:div>
        <w:div w:id="186329995">
          <w:marLeft w:val="1800"/>
          <w:marRight w:val="0"/>
          <w:marTop w:val="67"/>
          <w:marBottom w:val="0"/>
          <w:divBdr>
            <w:top w:val="none" w:sz="0" w:space="0" w:color="auto"/>
            <w:left w:val="none" w:sz="0" w:space="0" w:color="auto"/>
            <w:bottom w:val="none" w:sz="0" w:space="0" w:color="auto"/>
            <w:right w:val="none" w:sz="0" w:space="0" w:color="auto"/>
          </w:divBdr>
        </w:div>
        <w:div w:id="402728636">
          <w:marLeft w:val="1800"/>
          <w:marRight w:val="0"/>
          <w:marTop w:val="67"/>
          <w:marBottom w:val="0"/>
          <w:divBdr>
            <w:top w:val="none" w:sz="0" w:space="0" w:color="auto"/>
            <w:left w:val="none" w:sz="0" w:space="0" w:color="auto"/>
            <w:bottom w:val="none" w:sz="0" w:space="0" w:color="auto"/>
            <w:right w:val="none" w:sz="0" w:space="0" w:color="auto"/>
          </w:divBdr>
        </w:div>
        <w:div w:id="251668229">
          <w:marLeft w:val="1166"/>
          <w:marRight w:val="0"/>
          <w:marTop w:val="77"/>
          <w:marBottom w:val="0"/>
          <w:divBdr>
            <w:top w:val="none" w:sz="0" w:space="0" w:color="auto"/>
            <w:left w:val="none" w:sz="0" w:space="0" w:color="auto"/>
            <w:bottom w:val="none" w:sz="0" w:space="0" w:color="auto"/>
            <w:right w:val="none" w:sz="0" w:space="0" w:color="auto"/>
          </w:divBdr>
        </w:div>
        <w:div w:id="253636187">
          <w:marLeft w:val="1800"/>
          <w:marRight w:val="0"/>
          <w:marTop w:val="67"/>
          <w:marBottom w:val="0"/>
          <w:divBdr>
            <w:top w:val="none" w:sz="0" w:space="0" w:color="auto"/>
            <w:left w:val="none" w:sz="0" w:space="0" w:color="auto"/>
            <w:bottom w:val="none" w:sz="0" w:space="0" w:color="auto"/>
            <w:right w:val="none" w:sz="0" w:space="0" w:color="auto"/>
          </w:divBdr>
        </w:div>
        <w:div w:id="295960626">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PWG_20161207</dc:creator>
  <cp:lastModifiedBy>Pak, Sam</cp:lastModifiedBy>
  <cp:revision>5</cp:revision>
  <dcterms:created xsi:type="dcterms:W3CDTF">2018-05-15T07:56:00Z</dcterms:created>
  <dcterms:modified xsi:type="dcterms:W3CDTF">2018-05-15T08:24:00Z</dcterms:modified>
</cp:coreProperties>
</file>