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7A974" w14:textId="77777777" w:rsidR="007404C9" w:rsidRPr="006B7B81" w:rsidRDefault="006B010E" w:rsidP="001C10D4">
      <w:pPr>
        <w:tabs>
          <w:tab w:val="right" w:pos="8640"/>
        </w:tabs>
        <w:ind w:left="-360"/>
        <w:rPr>
          <w:rFonts w:ascii="Arial" w:hAnsi="Arial" w:cs="Arial"/>
          <w:b/>
        </w:rPr>
      </w:pPr>
      <w:r>
        <w:rPr>
          <w:noProof/>
        </w:rPr>
        <w:drawing>
          <wp:inline distT="0" distB="0" distL="0" distR="0" wp14:anchorId="7117A9AC" wp14:editId="7117A9AD">
            <wp:extent cx="834537" cy="323850"/>
            <wp:effectExtent l="0" t="0" r="381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5119" cy="331837"/>
                    </a:xfrm>
                    <a:prstGeom prst="rect">
                      <a:avLst/>
                    </a:prstGeom>
                    <a:noFill/>
                    <a:ln>
                      <a:noFill/>
                    </a:ln>
                  </pic:spPr>
                </pic:pic>
              </a:graphicData>
            </a:graphic>
          </wp:inline>
        </w:drawing>
      </w:r>
      <w:r w:rsidR="001C10D4">
        <w:tab/>
      </w:r>
      <w:r w:rsidR="001C10D4" w:rsidRPr="006B7B81">
        <w:rPr>
          <w:rFonts w:ascii="Arial" w:hAnsi="Arial" w:cs="Arial"/>
          <w:b/>
        </w:rPr>
        <w:t>MEMORANDUM</w:t>
      </w:r>
    </w:p>
    <w:p w14:paraId="7117A975" w14:textId="77777777" w:rsidR="001C10D4" w:rsidRPr="00BA7793" w:rsidRDefault="001C10D4" w:rsidP="003B744E">
      <w:pPr>
        <w:pStyle w:val="StyleBefore36pt"/>
        <w:rPr>
          <w:szCs w:val="24"/>
        </w:rPr>
      </w:pPr>
    </w:p>
    <w:p w14:paraId="7117A976" w14:textId="77777777" w:rsidR="0016700A" w:rsidRPr="00BA7793" w:rsidRDefault="0016700A" w:rsidP="00C12BFA">
      <w:pPr>
        <w:pStyle w:val="block"/>
        <w:rPr>
          <w:rFonts w:ascii="Arial" w:hAnsi="Arial" w:cs="Arial"/>
          <w:sz w:val="24"/>
        </w:rPr>
      </w:pPr>
      <w:r w:rsidRPr="00BA7793">
        <w:rPr>
          <w:rFonts w:ascii="Arial" w:hAnsi="Arial" w:cs="Arial"/>
          <w:sz w:val="24"/>
        </w:rPr>
        <w:t>To:</w:t>
      </w:r>
      <w:r w:rsidRPr="00BA7793">
        <w:rPr>
          <w:rFonts w:ascii="Arial" w:hAnsi="Arial" w:cs="Arial"/>
          <w:sz w:val="24"/>
        </w:rPr>
        <w:tab/>
      </w:r>
      <w:r w:rsidR="009664B7">
        <w:rPr>
          <w:rFonts w:ascii="Arial" w:hAnsi="Arial" w:cs="Arial"/>
          <w:sz w:val="24"/>
        </w:rPr>
        <w:t>Technical Advisory</w:t>
      </w:r>
      <w:r w:rsidR="00A33C66" w:rsidRPr="00BA7793">
        <w:rPr>
          <w:rFonts w:ascii="Arial" w:hAnsi="Arial" w:cs="Arial"/>
          <w:sz w:val="24"/>
        </w:rPr>
        <w:t xml:space="preserve"> Committee</w:t>
      </w:r>
      <w:r w:rsidR="009664B7">
        <w:rPr>
          <w:rFonts w:ascii="Arial" w:hAnsi="Arial" w:cs="Arial"/>
          <w:sz w:val="24"/>
        </w:rPr>
        <w:t xml:space="preserve"> (TAC)</w:t>
      </w:r>
    </w:p>
    <w:p w14:paraId="7117A977" w14:textId="77777777" w:rsidR="0016700A" w:rsidRDefault="0016700A" w:rsidP="00C12BFA">
      <w:pPr>
        <w:pStyle w:val="block"/>
        <w:rPr>
          <w:rFonts w:ascii="Arial" w:hAnsi="Arial" w:cs="Arial"/>
          <w:sz w:val="24"/>
        </w:rPr>
      </w:pPr>
      <w:r w:rsidRPr="00BA7793">
        <w:rPr>
          <w:rFonts w:ascii="Arial" w:hAnsi="Arial" w:cs="Arial"/>
          <w:sz w:val="24"/>
        </w:rPr>
        <w:t>From:</w:t>
      </w:r>
      <w:r w:rsidRPr="00BA7793">
        <w:rPr>
          <w:rFonts w:ascii="Arial" w:hAnsi="Arial" w:cs="Arial"/>
          <w:sz w:val="24"/>
        </w:rPr>
        <w:tab/>
      </w:r>
      <w:r w:rsidR="00BA7793" w:rsidRPr="00BA7793">
        <w:rPr>
          <w:rFonts w:ascii="Arial" w:hAnsi="Arial" w:cs="Arial"/>
          <w:sz w:val="24"/>
        </w:rPr>
        <w:t xml:space="preserve">Chad </w:t>
      </w:r>
      <w:r w:rsidR="005B6A00">
        <w:rPr>
          <w:rFonts w:ascii="Arial" w:hAnsi="Arial" w:cs="Arial"/>
          <w:sz w:val="24"/>
        </w:rPr>
        <w:t xml:space="preserve">V. </w:t>
      </w:r>
      <w:r w:rsidR="00BA7793" w:rsidRPr="00BA7793">
        <w:rPr>
          <w:rFonts w:ascii="Arial" w:hAnsi="Arial" w:cs="Arial"/>
          <w:sz w:val="24"/>
        </w:rPr>
        <w:t>Seely, Vice-President, General Counsel &amp; Corporate Secretary</w:t>
      </w:r>
    </w:p>
    <w:p w14:paraId="7117A978" w14:textId="77777777" w:rsidR="009664B7" w:rsidRDefault="009664B7" w:rsidP="00C12BFA">
      <w:pPr>
        <w:pStyle w:val="block"/>
        <w:rPr>
          <w:rFonts w:ascii="Arial" w:hAnsi="Arial" w:cs="Arial"/>
          <w:sz w:val="24"/>
        </w:rPr>
      </w:pPr>
      <w:r>
        <w:rPr>
          <w:rFonts w:ascii="Arial" w:hAnsi="Arial" w:cs="Arial"/>
          <w:sz w:val="24"/>
        </w:rPr>
        <w:tab/>
        <w:t>Vickie Leady, Asst. General Counsel &amp; Asst. Corporate Secretary</w:t>
      </w:r>
    </w:p>
    <w:p w14:paraId="7117A979" w14:textId="77777777" w:rsidR="009664B7" w:rsidRPr="00BA7793" w:rsidRDefault="009664B7" w:rsidP="00C12BFA">
      <w:pPr>
        <w:pStyle w:val="block"/>
        <w:rPr>
          <w:rFonts w:ascii="Arial" w:hAnsi="Arial" w:cs="Arial"/>
          <w:sz w:val="24"/>
        </w:rPr>
      </w:pPr>
      <w:r>
        <w:rPr>
          <w:rFonts w:ascii="Arial" w:hAnsi="Arial" w:cs="Arial"/>
          <w:sz w:val="24"/>
        </w:rPr>
        <w:tab/>
        <w:t>Jonathan Levine, Senior Corporate Counsel</w:t>
      </w:r>
    </w:p>
    <w:p w14:paraId="7117A97A" w14:textId="77777777" w:rsidR="0016700A" w:rsidRPr="00BA7793" w:rsidRDefault="0016700A" w:rsidP="00C12BFA">
      <w:pPr>
        <w:pStyle w:val="block"/>
        <w:rPr>
          <w:rFonts w:ascii="Arial" w:hAnsi="Arial" w:cs="Arial"/>
          <w:sz w:val="24"/>
        </w:rPr>
      </w:pPr>
      <w:r w:rsidRPr="00BA7793">
        <w:rPr>
          <w:rFonts w:ascii="Arial" w:hAnsi="Arial" w:cs="Arial"/>
          <w:sz w:val="24"/>
        </w:rPr>
        <w:t>Date:</w:t>
      </w:r>
      <w:r w:rsidRPr="00BA7793">
        <w:rPr>
          <w:rFonts w:ascii="Arial" w:hAnsi="Arial" w:cs="Arial"/>
          <w:sz w:val="24"/>
        </w:rPr>
        <w:tab/>
      </w:r>
      <w:r w:rsidR="009664B7">
        <w:rPr>
          <w:rFonts w:ascii="Arial" w:hAnsi="Arial" w:cs="Arial"/>
          <w:sz w:val="24"/>
        </w:rPr>
        <w:t>March 15</w:t>
      </w:r>
      <w:r w:rsidR="00BA7793" w:rsidRPr="00BA7793">
        <w:rPr>
          <w:rFonts w:ascii="Arial" w:hAnsi="Arial" w:cs="Arial"/>
          <w:sz w:val="24"/>
        </w:rPr>
        <w:t>, 201</w:t>
      </w:r>
      <w:r w:rsidR="00827BA9">
        <w:rPr>
          <w:rFonts w:ascii="Arial" w:hAnsi="Arial" w:cs="Arial"/>
          <w:sz w:val="24"/>
        </w:rPr>
        <w:t>8</w:t>
      </w:r>
    </w:p>
    <w:p w14:paraId="7117A97B" w14:textId="77777777" w:rsidR="0016700A" w:rsidRPr="009664B7" w:rsidRDefault="0016700A" w:rsidP="009664B7">
      <w:pPr>
        <w:pStyle w:val="block"/>
        <w:ind w:left="720" w:hanging="720"/>
        <w:rPr>
          <w:rFonts w:asciiTheme="minorHAnsi" w:hAnsiTheme="minorHAnsi" w:cstheme="minorHAnsi"/>
          <w:sz w:val="24"/>
        </w:rPr>
      </w:pPr>
      <w:r w:rsidRPr="00BA7793">
        <w:rPr>
          <w:rFonts w:ascii="Arial" w:hAnsi="Arial" w:cs="Arial"/>
          <w:sz w:val="24"/>
        </w:rPr>
        <w:t xml:space="preserve">Re: </w:t>
      </w:r>
      <w:r w:rsidRPr="00BA7793">
        <w:rPr>
          <w:rFonts w:ascii="Arial" w:hAnsi="Arial" w:cs="Arial"/>
          <w:sz w:val="24"/>
        </w:rPr>
        <w:tab/>
      </w:r>
      <w:r w:rsidR="009664B7">
        <w:rPr>
          <w:rFonts w:ascii="Arial" w:hAnsi="Arial" w:cs="Arial"/>
          <w:sz w:val="24"/>
        </w:rPr>
        <w:t xml:space="preserve">TAC Agenda </w:t>
      </w:r>
      <w:r w:rsidR="00BA7793" w:rsidRPr="00BA7793">
        <w:rPr>
          <w:rFonts w:ascii="Arial" w:hAnsi="Arial" w:cs="Arial"/>
          <w:sz w:val="24"/>
        </w:rPr>
        <w:t xml:space="preserve">Item 10 – </w:t>
      </w:r>
      <w:r w:rsidR="009664B7">
        <w:rPr>
          <w:rFonts w:ascii="Arial" w:hAnsi="Arial" w:cs="Arial"/>
          <w:sz w:val="24"/>
        </w:rPr>
        <w:t xml:space="preserve">ERCOT Reports: </w:t>
      </w:r>
      <w:r w:rsidR="009664B7" w:rsidRPr="009664B7">
        <w:rPr>
          <w:rFonts w:asciiTheme="minorHAnsi" w:hAnsiTheme="minorHAnsi" w:cstheme="minorHAnsi"/>
          <w:sz w:val="24"/>
        </w:rPr>
        <w:t xml:space="preserve">Endorsement of Proposed Amendments to ERCOT Articles of Incorporation and Bylaws </w:t>
      </w:r>
    </w:p>
    <w:p w14:paraId="7117A97C" w14:textId="77777777" w:rsidR="001C10D4" w:rsidRPr="009664B7" w:rsidRDefault="001C10D4" w:rsidP="001C10D4">
      <w:pPr>
        <w:tabs>
          <w:tab w:val="right" w:leader="underscore" w:pos="8640"/>
        </w:tabs>
        <w:rPr>
          <w:rFonts w:asciiTheme="minorHAnsi" w:hAnsiTheme="minorHAnsi" w:cstheme="minorHAnsi"/>
        </w:rPr>
      </w:pPr>
      <w:r w:rsidRPr="009664B7">
        <w:rPr>
          <w:rFonts w:asciiTheme="minorHAnsi" w:hAnsiTheme="minorHAnsi" w:cstheme="minorHAnsi"/>
        </w:rPr>
        <w:tab/>
      </w:r>
    </w:p>
    <w:p w14:paraId="7117A97D" w14:textId="77777777" w:rsidR="00BA7793" w:rsidRDefault="00BA7793" w:rsidP="00BA7793">
      <w:pPr>
        <w:jc w:val="both"/>
      </w:pPr>
    </w:p>
    <w:p w14:paraId="7117A97E" w14:textId="77777777" w:rsidR="009664B7" w:rsidRDefault="009664B7" w:rsidP="009664B7">
      <w:pPr>
        <w:pStyle w:val="BODYTEXTMEMO"/>
        <w:ind w:firstLine="0"/>
        <w:rPr>
          <w:rFonts w:asciiTheme="minorHAnsi" w:hAnsiTheme="minorHAnsi" w:cstheme="minorHAnsi"/>
          <w:bCs/>
          <w:sz w:val="24"/>
        </w:rPr>
      </w:pPr>
      <w:r>
        <w:rPr>
          <w:rFonts w:asciiTheme="minorHAnsi" w:hAnsiTheme="minorHAnsi" w:cstheme="minorHAnsi"/>
          <w:sz w:val="24"/>
        </w:rPr>
        <w:t>ERCOT Legal is proposing amendments</w:t>
      </w:r>
      <w:r w:rsidRPr="009664B7">
        <w:rPr>
          <w:rFonts w:asciiTheme="minorHAnsi" w:hAnsiTheme="minorHAnsi" w:cstheme="minorHAnsi"/>
          <w:sz w:val="24"/>
        </w:rPr>
        <w:t xml:space="preserve"> to its governing documents, namely its </w:t>
      </w:r>
      <w:r>
        <w:rPr>
          <w:rFonts w:asciiTheme="minorHAnsi" w:hAnsiTheme="minorHAnsi" w:cstheme="minorHAnsi"/>
          <w:sz w:val="24"/>
        </w:rPr>
        <w:t xml:space="preserve">Articles of Incorporation (which will be amended to be known as </w:t>
      </w:r>
      <w:r w:rsidRPr="009664B7">
        <w:rPr>
          <w:rFonts w:asciiTheme="minorHAnsi" w:hAnsiTheme="minorHAnsi" w:cstheme="minorHAnsi"/>
          <w:sz w:val="24"/>
        </w:rPr>
        <w:t>Certificate of Formation</w:t>
      </w:r>
      <w:r>
        <w:rPr>
          <w:rFonts w:asciiTheme="minorHAnsi" w:hAnsiTheme="minorHAnsi" w:cstheme="minorHAnsi"/>
          <w:sz w:val="24"/>
        </w:rPr>
        <w:t xml:space="preserve">) and Bylaws. </w:t>
      </w:r>
      <w:r w:rsidRPr="009664B7">
        <w:rPr>
          <w:rFonts w:asciiTheme="minorHAnsi" w:hAnsiTheme="minorHAnsi" w:cstheme="minorHAnsi"/>
          <w:bCs/>
          <w:sz w:val="24"/>
        </w:rPr>
        <w:t xml:space="preserve">This memorandum sets forth a summary of those changes as well as responses to stakeholder comments.  </w:t>
      </w:r>
    </w:p>
    <w:p w14:paraId="7117A97F" w14:textId="77777777" w:rsidR="009664B7" w:rsidRDefault="009664B7" w:rsidP="009664B7">
      <w:pPr>
        <w:pStyle w:val="BODYTEXTMEMO"/>
        <w:ind w:firstLine="0"/>
        <w:rPr>
          <w:rFonts w:asciiTheme="minorHAnsi" w:hAnsiTheme="minorHAnsi" w:cstheme="minorHAnsi"/>
          <w:b/>
          <w:bCs/>
          <w:sz w:val="24"/>
          <w:u w:val="single"/>
        </w:rPr>
      </w:pPr>
      <w:r>
        <w:rPr>
          <w:rFonts w:asciiTheme="minorHAnsi" w:hAnsiTheme="minorHAnsi" w:cstheme="minorHAnsi"/>
          <w:b/>
          <w:bCs/>
          <w:sz w:val="24"/>
          <w:u w:val="single"/>
        </w:rPr>
        <w:t>Articles of Incorporation (to be known as Certificate of Formation)</w:t>
      </w:r>
    </w:p>
    <w:p w14:paraId="7117A980" w14:textId="77777777" w:rsidR="009664B7" w:rsidRPr="009664B7" w:rsidRDefault="009664B7" w:rsidP="009664B7">
      <w:pPr>
        <w:pStyle w:val="BODYTEXTMEMO"/>
        <w:ind w:firstLine="0"/>
        <w:rPr>
          <w:rFonts w:asciiTheme="minorHAnsi" w:hAnsiTheme="minorHAnsi" w:cstheme="minorHAnsi"/>
          <w:bCs/>
          <w:sz w:val="24"/>
        </w:rPr>
      </w:pPr>
      <w:r>
        <w:rPr>
          <w:rFonts w:asciiTheme="minorHAnsi" w:hAnsiTheme="minorHAnsi" w:cstheme="minorHAnsi"/>
          <w:bCs/>
          <w:sz w:val="24"/>
        </w:rPr>
        <w:t>ERCOT Legal proposes changes to the ERCOT Articles of Incorporation as follows:</w:t>
      </w:r>
    </w:p>
    <w:p w14:paraId="7117A981" w14:textId="77777777" w:rsidR="009664B7" w:rsidRPr="009664B7" w:rsidRDefault="009664B7" w:rsidP="009664B7">
      <w:pPr>
        <w:pStyle w:val="ListParagraph"/>
        <w:numPr>
          <w:ilvl w:val="0"/>
          <w:numId w:val="15"/>
        </w:numPr>
        <w:spacing w:after="240"/>
        <w:contextualSpacing w:val="0"/>
        <w:jc w:val="both"/>
        <w:rPr>
          <w:rFonts w:asciiTheme="minorHAnsi" w:hAnsiTheme="minorHAnsi" w:cstheme="minorHAnsi"/>
        </w:rPr>
      </w:pPr>
      <w:r w:rsidRPr="009664B7">
        <w:rPr>
          <w:rFonts w:asciiTheme="minorHAnsi" w:hAnsiTheme="minorHAnsi" w:cstheme="minorHAnsi"/>
        </w:rPr>
        <w:t>Update legal references and nomenclature to reflect changes to Texas corporate statutes after review with ERC</w:t>
      </w:r>
      <w:r w:rsidR="00F22A9D">
        <w:rPr>
          <w:rFonts w:asciiTheme="minorHAnsi" w:hAnsiTheme="minorHAnsi" w:cstheme="minorHAnsi"/>
        </w:rPr>
        <w:t>OT’s outside corporate counsel</w:t>
      </w:r>
      <w:r w:rsidRPr="009664B7">
        <w:rPr>
          <w:rFonts w:asciiTheme="minorHAnsi" w:hAnsiTheme="minorHAnsi" w:cstheme="minorHAnsi"/>
        </w:rPr>
        <w:t xml:space="preserve"> </w:t>
      </w:r>
    </w:p>
    <w:p w14:paraId="7117A982"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Change statutory references from the Texas Nonprofit Corporation Act to the Texas Business Organizations Code (TBOC)</w:t>
      </w:r>
    </w:p>
    <w:p w14:paraId="7117A983"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Update nomenclature from “Articles of Incorporation” to “Certificate of Formation” as used in TBOC</w:t>
      </w:r>
    </w:p>
    <w:p w14:paraId="7117A984"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 xml:space="preserve">Removal of membership approval step in relation to limitation of liability of directors to allow for any statutory changes to take effect immediately </w:t>
      </w:r>
    </w:p>
    <w:p w14:paraId="7117A985" w14:textId="77777777" w:rsidR="009664B7" w:rsidRPr="009664B7" w:rsidRDefault="009664B7" w:rsidP="009664B7">
      <w:pPr>
        <w:pStyle w:val="ListParagraph"/>
        <w:numPr>
          <w:ilvl w:val="0"/>
          <w:numId w:val="15"/>
        </w:numPr>
        <w:spacing w:after="240"/>
        <w:contextualSpacing w:val="0"/>
        <w:jc w:val="both"/>
        <w:rPr>
          <w:rFonts w:asciiTheme="minorHAnsi" w:hAnsiTheme="minorHAnsi" w:cstheme="minorHAnsi"/>
        </w:rPr>
      </w:pPr>
      <w:r w:rsidRPr="009664B7">
        <w:rPr>
          <w:rFonts w:asciiTheme="minorHAnsi" w:hAnsiTheme="minorHAnsi" w:cstheme="minorHAnsi"/>
        </w:rPr>
        <w:t>Update legal references and language as needed after review with ERCOT’s outside tax-exempt organization counsel</w:t>
      </w:r>
    </w:p>
    <w:p w14:paraId="7117A986"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 xml:space="preserve">Update language to support ERCOT’s Section 501(c)(4) tax-exempt purposes and related restrictions on operations [as ERCOT was a Section 501(c)(6) organization at the time of the original filing] </w:t>
      </w:r>
    </w:p>
    <w:p w14:paraId="7117A987"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Update restrictions and requirements language as recommended by counsel to reflect statutory requirements for disposition of assets and distributions upon dissolution of ERCOT</w:t>
      </w:r>
    </w:p>
    <w:p w14:paraId="7117A988" w14:textId="77777777" w:rsidR="009664B7" w:rsidRPr="009664B7" w:rsidRDefault="009664B7" w:rsidP="009664B7">
      <w:pPr>
        <w:pStyle w:val="ListParagraph"/>
        <w:numPr>
          <w:ilvl w:val="0"/>
          <w:numId w:val="15"/>
        </w:numPr>
        <w:spacing w:after="240"/>
        <w:contextualSpacing w:val="0"/>
        <w:jc w:val="both"/>
        <w:rPr>
          <w:rFonts w:asciiTheme="minorHAnsi" w:hAnsiTheme="minorHAnsi" w:cstheme="minorHAnsi"/>
        </w:rPr>
      </w:pPr>
      <w:r w:rsidRPr="009664B7">
        <w:rPr>
          <w:rFonts w:asciiTheme="minorHAnsi" w:hAnsiTheme="minorHAnsi" w:cstheme="minorHAnsi"/>
        </w:rPr>
        <w:lastRenderedPageBreak/>
        <w:t>Update of factual references</w:t>
      </w:r>
    </w:p>
    <w:p w14:paraId="7117A989"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Current list of Directors</w:t>
      </w:r>
    </w:p>
    <w:p w14:paraId="7117A98A"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Current Chief Executive Officer</w:t>
      </w:r>
    </w:p>
    <w:p w14:paraId="7117A98B" w14:textId="77777777" w:rsidR="009664B7" w:rsidRPr="009664B7" w:rsidRDefault="009664B7" w:rsidP="009664B7">
      <w:pPr>
        <w:pStyle w:val="ListParagraph"/>
        <w:numPr>
          <w:ilvl w:val="1"/>
          <w:numId w:val="15"/>
        </w:numPr>
        <w:spacing w:after="240"/>
        <w:contextualSpacing w:val="0"/>
        <w:jc w:val="both"/>
        <w:rPr>
          <w:rFonts w:asciiTheme="minorHAnsi" w:hAnsiTheme="minorHAnsi" w:cstheme="minorHAnsi"/>
        </w:rPr>
      </w:pPr>
      <w:r w:rsidRPr="009664B7">
        <w:rPr>
          <w:rFonts w:asciiTheme="minorHAnsi" w:hAnsiTheme="minorHAnsi" w:cstheme="minorHAnsi"/>
        </w:rPr>
        <w:t>Current registered agent and registered office address</w:t>
      </w:r>
    </w:p>
    <w:p w14:paraId="7117A98C" w14:textId="77777777" w:rsidR="009664B7" w:rsidRPr="009664B7" w:rsidRDefault="009664B7" w:rsidP="009664B7">
      <w:pPr>
        <w:pStyle w:val="ListParagraph"/>
        <w:numPr>
          <w:ilvl w:val="0"/>
          <w:numId w:val="15"/>
        </w:numPr>
        <w:contextualSpacing w:val="0"/>
        <w:jc w:val="both"/>
        <w:rPr>
          <w:rFonts w:asciiTheme="minorHAnsi" w:hAnsiTheme="minorHAnsi" w:cstheme="minorHAnsi"/>
        </w:rPr>
      </w:pPr>
      <w:r w:rsidRPr="009664B7">
        <w:rPr>
          <w:rFonts w:asciiTheme="minorHAnsi" w:hAnsiTheme="minorHAnsi" w:cstheme="minorHAnsi"/>
        </w:rPr>
        <w:t>New references to applicable provisions of the Public Utility Regulatory Act (</w:t>
      </w:r>
      <w:r w:rsidRPr="009664B7">
        <w:rPr>
          <w:rFonts w:asciiTheme="minorHAnsi" w:hAnsiTheme="minorHAnsi" w:cstheme="minorHAnsi"/>
          <w:i/>
          <w:iCs/>
        </w:rPr>
        <w:t>i.e.,</w:t>
      </w:r>
      <w:r w:rsidRPr="009664B7">
        <w:rPr>
          <w:rFonts w:asciiTheme="minorHAnsi" w:hAnsiTheme="minorHAnsi" w:cstheme="minorHAnsi"/>
        </w:rPr>
        <w:t xml:space="preserve"> mandatory composition of the Board of Directors) and Public Utility Commission of Texas Substantive Rules (</w:t>
      </w:r>
      <w:r w:rsidRPr="009664B7">
        <w:rPr>
          <w:rFonts w:asciiTheme="minorHAnsi" w:hAnsiTheme="minorHAnsi" w:cstheme="minorHAnsi"/>
          <w:i/>
          <w:iCs/>
        </w:rPr>
        <w:t xml:space="preserve">i.e., </w:t>
      </w:r>
      <w:r w:rsidRPr="009664B7">
        <w:rPr>
          <w:rFonts w:asciiTheme="minorHAnsi" w:hAnsiTheme="minorHAnsi" w:cstheme="minorHAnsi"/>
        </w:rPr>
        <w:t>distribution of assets and winding up if and upon decertification)  to clarify requirements related to ERCOT governance</w:t>
      </w:r>
    </w:p>
    <w:p w14:paraId="7117A98D" w14:textId="77777777" w:rsidR="009664B7" w:rsidRDefault="009664B7" w:rsidP="009664B7">
      <w:pPr>
        <w:pStyle w:val="BODYTEXTMEMO"/>
        <w:ind w:firstLine="0"/>
        <w:rPr>
          <w:rFonts w:asciiTheme="minorHAnsi" w:hAnsiTheme="minorHAnsi" w:cstheme="minorHAnsi"/>
          <w:b/>
          <w:bCs/>
          <w:sz w:val="24"/>
        </w:rPr>
      </w:pPr>
    </w:p>
    <w:p w14:paraId="7117A98E" w14:textId="77777777" w:rsidR="00F22A9D" w:rsidRDefault="00F22A9D" w:rsidP="009664B7">
      <w:pPr>
        <w:pStyle w:val="BODYTEXTMEMO"/>
        <w:ind w:firstLine="0"/>
        <w:rPr>
          <w:rFonts w:asciiTheme="minorHAnsi" w:hAnsiTheme="minorHAnsi" w:cstheme="minorHAnsi"/>
          <w:b/>
          <w:bCs/>
          <w:sz w:val="24"/>
          <w:u w:val="single"/>
        </w:rPr>
      </w:pPr>
      <w:r>
        <w:rPr>
          <w:rFonts w:asciiTheme="minorHAnsi" w:hAnsiTheme="minorHAnsi" w:cstheme="minorHAnsi"/>
          <w:b/>
          <w:bCs/>
          <w:sz w:val="24"/>
          <w:u w:val="single"/>
        </w:rPr>
        <w:t>Bylaws</w:t>
      </w:r>
    </w:p>
    <w:p w14:paraId="7117A98F" w14:textId="77777777" w:rsidR="00F22A9D" w:rsidRPr="00F22A9D" w:rsidRDefault="00F22A9D" w:rsidP="009664B7">
      <w:pPr>
        <w:pStyle w:val="BODYTEXTMEMO"/>
        <w:ind w:firstLine="0"/>
        <w:rPr>
          <w:rFonts w:asciiTheme="minorHAnsi" w:hAnsiTheme="minorHAnsi" w:cstheme="minorHAnsi"/>
          <w:bCs/>
          <w:sz w:val="24"/>
        </w:rPr>
      </w:pPr>
      <w:r>
        <w:rPr>
          <w:rFonts w:asciiTheme="minorHAnsi" w:hAnsiTheme="minorHAnsi" w:cstheme="minorHAnsi"/>
          <w:bCs/>
          <w:sz w:val="24"/>
        </w:rPr>
        <w:t>ERCOT Legal proposed amendments to the Bylaws as follows:</w:t>
      </w:r>
    </w:p>
    <w:p w14:paraId="7117A990" w14:textId="77777777" w:rsidR="009664B7" w:rsidRPr="009664B7" w:rsidRDefault="009664B7" w:rsidP="009664B7">
      <w:pPr>
        <w:pStyle w:val="ListParagraph"/>
        <w:numPr>
          <w:ilvl w:val="0"/>
          <w:numId w:val="15"/>
        </w:numPr>
        <w:contextualSpacing w:val="0"/>
        <w:rPr>
          <w:rFonts w:asciiTheme="minorHAnsi" w:hAnsiTheme="minorHAnsi" w:cstheme="minorHAnsi"/>
        </w:rPr>
      </w:pPr>
      <w:r w:rsidRPr="009664B7">
        <w:rPr>
          <w:rFonts w:asciiTheme="minorHAnsi" w:hAnsiTheme="minorHAnsi" w:cstheme="minorHAnsi"/>
        </w:rPr>
        <w:t xml:space="preserve">Update definition of </w:t>
      </w:r>
      <w:r w:rsidRPr="009664B7">
        <w:rPr>
          <w:rFonts w:asciiTheme="minorHAnsi" w:hAnsiTheme="minorHAnsi" w:cstheme="minorHAnsi"/>
          <w:b/>
        </w:rPr>
        <w:t>Cooperative</w:t>
      </w:r>
    </w:p>
    <w:p w14:paraId="7117A991" w14:textId="77777777" w:rsidR="009664B7" w:rsidRPr="009664B7" w:rsidRDefault="009664B7" w:rsidP="009664B7">
      <w:pPr>
        <w:pStyle w:val="ListParagraph"/>
        <w:rPr>
          <w:rFonts w:asciiTheme="minorHAnsi" w:hAnsiTheme="minorHAnsi" w:cstheme="minorHAnsi"/>
        </w:rPr>
      </w:pPr>
    </w:p>
    <w:p w14:paraId="7117A992" w14:textId="77777777" w:rsidR="009664B7" w:rsidRPr="009664B7" w:rsidRDefault="009664B7" w:rsidP="009664B7">
      <w:pPr>
        <w:pStyle w:val="ListParagraph"/>
        <w:numPr>
          <w:ilvl w:val="0"/>
          <w:numId w:val="15"/>
        </w:numPr>
        <w:contextualSpacing w:val="0"/>
        <w:rPr>
          <w:rFonts w:asciiTheme="minorHAnsi" w:hAnsiTheme="minorHAnsi" w:cstheme="minorHAnsi"/>
        </w:rPr>
      </w:pPr>
      <w:r w:rsidRPr="009664B7">
        <w:rPr>
          <w:rFonts w:asciiTheme="minorHAnsi" w:hAnsiTheme="minorHAnsi" w:cstheme="minorHAnsi"/>
        </w:rPr>
        <w:t xml:space="preserve">Update definition of </w:t>
      </w:r>
      <w:r w:rsidR="007F7D45">
        <w:rPr>
          <w:rFonts w:asciiTheme="minorHAnsi" w:hAnsiTheme="minorHAnsi" w:cstheme="minorHAnsi"/>
        </w:rPr>
        <w:t xml:space="preserve">one or more </w:t>
      </w:r>
      <w:r w:rsidRPr="009664B7">
        <w:rPr>
          <w:rFonts w:asciiTheme="minorHAnsi" w:hAnsiTheme="minorHAnsi" w:cstheme="minorHAnsi"/>
          <w:b/>
        </w:rPr>
        <w:t>Membership</w:t>
      </w:r>
      <w:r w:rsidR="007F7D45">
        <w:rPr>
          <w:rFonts w:asciiTheme="minorHAnsi" w:hAnsiTheme="minorHAnsi" w:cstheme="minorHAnsi"/>
          <w:b/>
        </w:rPr>
        <w:t xml:space="preserve"> Segment</w:t>
      </w:r>
      <w:r w:rsidR="00EC7DF5">
        <w:rPr>
          <w:rFonts w:asciiTheme="minorHAnsi" w:hAnsiTheme="minorHAnsi" w:cstheme="minorHAnsi"/>
          <w:b/>
        </w:rPr>
        <w:t>s</w:t>
      </w:r>
    </w:p>
    <w:p w14:paraId="7117A993" w14:textId="77777777" w:rsidR="009664B7" w:rsidRPr="009664B7" w:rsidRDefault="009664B7" w:rsidP="009664B7">
      <w:pPr>
        <w:pStyle w:val="ListParagraph"/>
        <w:rPr>
          <w:rFonts w:asciiTheme="minorHAnsi" w:hAnsiTheme="minorHAnsi" w:cstheme="minorHAnsi"/>
        </w:rPr>
      </w:pPr>
      <w:r w:rsidRPr="009664B7">
        <w:rPr>
          <w:rFonts w:asciiTheme="minorHAnsi" w:hAnsiTheme="minorHAnsi" w:cstheme="minorHAnsi"/>
        </w:rPr>
        <w:t xml:space="preserve"> </w:t>
      </w:r>
    </w:p>
    <w:p w14:paraId="7117A994" w14:textId="77777777" w:rsidR="009664B7" w:rsidRDefault="009664B7" w:rsidP="009664B7">
      <w:pPr>
        <w:pStyle w:val="ListParagraph"/>
        <w:numPr>
          <w:ilvl w:val="0"/>
          <w:numId w:val="15"/>
        </w:numPr>
        <w:contextualSpacing w:val="0"/>
        <w:jc w:val="both"/>
        <w:rPr>
          <w:rFonts w:asciiTheme="minorHAnsi" w:hAnsiTheme="minorHAnsi" w:cstheme="minorHAnsi"/>
        </w:rPr>
      </w:pPr>
      <w:r w:rsidRPr="009664B7">
        <w:rPr>
          <w:rFonts w:asciiTheme="minorHAnsi" w:hAnsiTheme="minorHAnsi" w:cstheme="minorHAnsi"/>
        </w:rPr>
        <w:t xml:space="preserve">Update definition of </w:t>
      </w:r>
      <w:r w:rsidRPr="009664B7">
        <w:rPr>
          <w:rFonts w:asciiTheme="minorHAnsi" w:hAnsiTheme="minorHAnsi" w:cstheme="minorHAnsi"/>
          <w:b/>
        </w:rPr>
        <w:t>Affiliate</w:t>
      </w:r>
      <w:r w:rsidRPr="009664B7">
        <w:rPr>
          <w:rFonts w:asciiTheme="minorHAnsi" w:hAnsiTheme="minorHAnsi" w:cstheme="minorHAnsi"/>
        </w:rPr>
        <w:t xml:space="preserve"> </w:t>
      </w:r>
    </w:p>
    <w:p w14:paraId="7117A995" w14:textId="77777777" w:rsidR="00B26E7E" w:rsidRPr="00B26E7E" w:rsidRDefault="00B26E7E" w:rsidP="00B26E7E">
      <w:pPr>
        <w:pStyle w:val="ListParagraph"/>
        <w:rPr>
          <w:rFonts w:asciiTheme="minorHAnsi" w:hAnsiTheme="minorHAnsi" w:cstheme="minorHAnsi"/>
        </w:rPr>
      </w:pPr>
    </w:p>
    <w:p w14:paraId="7117A996" w14:textId="77777777" w:rsidR="00B26E7E" w:rsidRPr="00B26E7E" w:rsidRDefault="00B26E7E" w:rsidP="00B26E7E">
      <w:pPr>
        <w:pStyle w:val="ListParagraph"/>
        <w:numPr>
          <w:ilvl w:val="0"/>
          <w:numId w:val="15"/>
        </w:numPr>
        <w:contextualSpacing w:val="0"/>
        <w:jc w:val="both"/>
        <w:rPr>
          <w:rFonts w:asciiTheme="minorHAnsi" w:hAnsiTheme="minorHAnsi" w:cstheme="minorHAnsi"/>
        </w:rPr>
      </w:pPr>
      <w:r>
        <w:rPr>
          <w:rFonts w:asciiTheme="minorHAnsi" w:hAnsiTheme="minorHAnsi" w:cstheme="minorHAnsi"/>
        </w:rPr>
        <w:t xml:space="preserve">Update definition of </w:t>
      </w:r>
      <w:r>
        <w:rPr>
          <w:rFonts w:asciiTheme="minorHAnsi" w:hAnsiTheme="minorHAnsi" w:cstheme="minorHAnsi"/>
          <w:b/>
        </w:rPr>
        <w:t>Officer</w:t>
      </w:r>
    </w:p>
    <w:p w14:paraId="7117A997" w14:textId="77777777" w:rsidR="00B26E7E" w:rsidRPr="00B26E7E" w:rsidRDefault="00B26E7E" w:rsidP="00B26E7E">
      <w:pPr>
        <w:pStyle w:val="ListParagraph"/>
        <w:rPr>
          <w:rFonts w:asciiTheme="minorHAnsi" w:hAnsiTheme="minorHAnsi" w:cstheme="minorHAnsi"/>
        </w:rPr>
      </w:pPr>
    </w:p>
    <w:p w14:paraId="7117A998" w14:textId="77777777" w:rsidR="00B26E7E" w:rsidRDefault="00B26E7E" w:rsidP="00B26E7E">
      <w:pPr>
        <w:pStyle w:val="ListParagraph"/>
        <w:numPr>
          <w:ilvl w:val="0"/>
          <w:numId w:val="15"/>
        </w:numPr>
        <w:contextualSpacing w:val="0"/>
        <w:jc w:val="both"/>
        <w:rPr>
          <w:rFonts w:asciiTheme="minorHAnsi" w:hAnsiTheme="minorHAnsi" w:cstheme="minorHAnsi"/>
        </w:rPr>
      </w:pPr>
      <w:r>
        <w:rPr>
          <w:rFonts w:asciiTheme="minorHAnsi" w:hAnsiTheme="minorHAnsi" w:cstheme="minorHAnsi"/>
        </w:rPr>
        <w:t>Updates to legal code references</w:t>
      </w:r>
    </w:p>
    <w:p w14:paraId="7117A999" w14:textId="77777777" w:rsidR="00B26E7E" w:rsidRPr="00B26E7E" w:rsidRDefault="00B26E7E" w:rsidP="00B26E7E">
      <w:pPr>
        <w:pStyle w:val="ListParagraph"/>
        <w:rPr>
          <w:rFonts w:asciiTheme="minorHAnsi" w:hAnsiTheme="minorHAnsi" w:cstheme="minorHAnsi"/>
        </w:rPr>
      </w:pPr>
    </w:p>
    <w:p w14:paraId="7117A99A" w14:textId="77777777" w:rsidR="00B26E7E" w:rsidRPr="00B26E7E" w:rsidRDefault="00B26E7E" w:rsidP="00B26E7E">
      <w:pPr>
        <w:pStyle w:val="ListParagraph"/>
        <w:numPr>
          <w:ilvl w:val="0"/>
          <w:numId w:val="15"/>
        </w:numPr>
        <w:contextualSpacing w:val="0"/>
        <w:jc w:val="both"/>
        <w:rPr>
          <w:rFonts w:asciiTheme="minorHAnsi" w:hAnsiTheme="minorHAnsi" w:cstheme="minorHAnsi"/>
        </w:rPr>
      </w:pPr>
      <w:r>
        <w:rPr>
          <w:rFonts w:asciiTheme="minorHAnsi" w:hAnsiTheme="minorHAnsi" w:cstheme="minorHAnsi"/>
        </w:rPr>
        <w:t>Corrections to scrivener’s errors</w:t>
      </w:r>
    </w:p>
    <w:p w14:paraId="7117A99B" w14:textId="77777777" w:rsidR="00236B65" w:rsidRDefault="00236B65" w:rsidP="00236B65">
      <w:pPr>
        <w:jc w:val="both"/>
        <w:rPr>
          <w:rFonts w:asciiTheme="minorHAnsi" w:hAnsiTheme="minorHAnsi" w:cstheme="minorHAnsi"/>
        </w:rPr>
      </w:pPr>
    </w:p>
    <w:p w14:paraId="7117A99C" w14:textId="77777777" w:rsidR="00236B65" w:rsidRDefault="00236B65" w:rsidP="00236B65">
      <w:pPr>
        <w:jc w:val="both"/>
        <w:rPr>
          <w:rFonts w:asciiTheme="minorHAnsi" w:hAnsiTheme="minorHAnsi" w:cstheme="minorHAnsi"/>
        </w:rPr>
      </w:pPr>
      <w:r>
        <w:rPr>
          <w:rFonts w:asciiTheme="minorHAnsi" w:hAnsiTheme="minorHAnsi" w:cstheme="minorHAnsi"/>
        </w:rPr>
        <w:t xml:space="preserve">ERCOT Legal will address the comments received on the Affiliate </w:t>
      </w:r>
      <w:r w:rsidR="007F7D45">
        <w:rPr>
          <w:rFonts w:asciiTheme="minorHAnsi" w:hAnsiTheme="minorHAnsi" w:cstheme="minorHAnsi"/>
        </w:rPr>
        <w:t xml:space="preserve">and Segment </w:t>
      </w:r>
      <w:r>
        <w:rPr>
          <w:rFonts w:asciiTheme="minorHAnsi" w:hAnsiTheme="minorHAnsi" w:cstheme="minorHAnsi"/>
        </w:rPr>
        <w:t>definition</w:t>
      </w:r>
      <w:r w:rsidR="007F7D45">
        <w:rPr>
          <w:rFonts w:asciiTheme="minorHAnsi" w:hAnsiTheme="minorHAnsi" w:cstheme="minorHAnsi"/>
        </w:rPr>
        <w:t>s</w:t>
      </w:r>
      <w:r>
        <w:rPr>
          <w:rFonts w:asciiTheme="minorHAnsi" w:hAnsiTheme="minorHAnsi" w:cstheme="minorHAnsi"/>
        </w:rPr>
        <w:t xml:space="preserve"> in this memorandum.</w:t>
      </w:r>
    </w:p>
    <w:p w14:paraId="7117A99D" w14:textId="77777777" w:rsidR="00236B65" w:rsidRPr="00236B65" w:rsidRDefault="00236B65" w:rsidP="00236B65">
      <w:pPr>
        <w:jc w:val="both"/>
        <w:rPr>
          <w:rFonts w:asciiTheme="minorHAnsi" w:hAnsiTheme="minorHAnsi" w:cstheme="minorHAnsi"/>
        </w:rPr>
      </w:pPr>
    </w:p>
    <w:p w14:paraId="7117A99E" w14:textId="77777777" w:rsidR="009664B7" w:rsidRPr="009664B7" w:rsidRDefault="009664B7" w:rsidP="00B26E7E">
      <w:pPr>
        <w:pStyle w:val="BODYTEXTMEMO"/>
        <w:ind w:firstLine="0"/>
        <w:rPr>
          <w:rFonts w:asciiTheme="minorHAnsi" w:hAnsiTheme="minorHAnsi" w:cstheme="minorHAnsi"/>
          <w:sz w:val="24"/>
        </w:rPr>
      </w:pPr>
      <w:r w:rsidRPr="009664B7">
        <w:rPr>
          <w:rFonts w:asciiTheme="minorHAnsi" w:hAnsiTheme="minorHAnsi" w:cstheme="minorHAnsi"/>
          <w:sz w:val="24"/>
        </w:rPr>
        <w:t>The basic premise for inclusion of the definition of Affiliate in the ERCOT Bylaws is to avoid a concentration of influence or control over ERCOT by multiple Members controlled by the same person.  Where Members are considered Affiliates of one another, ERCOT’s Bylaws limit such Members’ ability to hold memberships in more than one segment, to elect directors and to vote. The current definition essentially creates a presumption of influence or control</w:t>
      </w:r>
      <w:r w:rsidR="00B26E7E">
        <w:rPr>
          <w:rFonts w:asciiTheme="minorHAnsi" w:hAnsiTheme="minorHAnsi" w:cstheme="minorHAnsi"/>
          <w:sz w:val="24"/>
        </w:rPr>
        <w:t xml:space="preserve"> if an Investing Company owns five percent</w:t>
      </w:r>
      <w:r w:rsidRPr="009664B7">
        <w:rPr>
          <w:rFonts w:asciiTheme="minorHAnsi" w:hAnsiTheme="minorHAnsi" w:cstheme="minorHAnsi"/>
          <w:sz w:val="24"/>
        </w:rPr>
        <w:t xml:space="preserve"> or more of an ERCOT Member, which must be rebutted in each case.  </w:t>
      </w:r>
    </w:p>
    <w:p w14:paraId="7117A99F" w14:textId="77777777" w:rsidR="009664B7" w:rsidRPr="009664B7" w:rsidRDefault="009664B7" w:rsidP="00B26E7E">
      <w:pPr>
        <w:pStyle w:val="BODYTEXTMEMO"/>
        <w:ind w:firstLine="0"/>
        <w:rPr>
          <w:rFonts w:asciiTheme="minorHAnsi" w:hAnsiTheme="minorHAnsi" w:cstheme="minorHAnsi"/>
          <w:sz w:val="24"/>
        </w:rPr>
      </w:pPr>
      <w:r w:rsidRPr="009664B7">
        <w:rPr>
          <w:rFonts w:asciiTheme="minorHAnsi" w:hAnsiTheme="minorHAnsi" w:cstheme="minorHAnsi"/>
          <w:sz w:val="24"/>
        </w:rPr>
        <w:t xml:space="preserve">You </w:t>
      </w:r>
      <w:r w:rsidR="00B26E7E">
        <w:rPr>
          <w:rFonts w:asciiTheme="minorHAnsi" w:hAnsiTheme="minorHAnsi" w:cstheme="minorHAnsi"/>
          <w:sz w:val="24"/>
        </w:rPr>
        <w:t xml:space="preserve">may recall that, beginning in September </w:t>
      </w:r>
      <w:r w:rsidRPr="009664B7">
        <w:rPr>
          <w:rFonts w:asciiTheme="minorHAnsi" w:hAnsiTheme="minorHAnsi" w:cstheme="minorHAnsi"/>
          <w:sz w:val="24"/>
        </w:rPr>
        <w:t xml:space="preserve">2017, several ERCOT Corporate Members submitted requests for the Board to make a determination of non-affiliation among Members after learning of various holdings above five percent of several Members by passive institutional investors such as Vanguard, Fidelity and BlackRock. While these issues may have </w:t>
      </w:r>
      <w:r w:rsidR="00B26E7E">
        <w:rPr>
          <w:rFonts w:asciiTheme="minorHAnsi" w:hAnsiTheme="minorHAnsi" w:cstheme="minorHAnsi"/>
          <w:sz w:val="24"/>
        </w:rPr>
        <w:t xml:space="preserve">potentially </w:t>
      </w:r>
      <w:r w:rsidRPr="009664B7">
        <w:rPr>
          <w:rFonts w:asciiTheme="minorHAnsi" w:hAnsiTheme="minorHAnsi" w:cstheme="minorHAnsi"/>
          <w:sz w:val="24"/>
        </w:rPr>
        <w:t xml:space="preserve">arisen for one or two </w:t>
      </w:r>
      <w:r w:rsidRPr="009664B7">
        <w:rPr>
          <w:rFonts w:asciiTheme="minorHAnsi" w:hAnsiTheme="minorHAnsi" w:cstheme="minorHAnsi"/>
          <w:sz w:val="24"/>
        </w:rPr>
        <w:lastRenderedPageBreak/>
        <w:t xml:space="preserve">Members in the past, changes and consolidation in the industry, as well as overlapping investments by many of the nation’s largest investment companies and institutional investors, have led to many more recent issues or potential issues with the Affiliate definition. </w:t>
      </w:r>
    </w:p>
    <w:p w14:paraId="7117A9A0" w14:textId="77777777" w:rsidR="009664B7" w:rsidRPr="009664B7" w:rsidRDefault="009664B7" w:rsidP="00B26E7E">
      <w:pPr>
        <w:pStyle w:val="BODYTEXTMEMO"/>
        <w:ind w:firstLine="0"/>
        <w:rPr>
          <w:rFonts w:asciiTheme="minorHAnsi" w:hAnsiTheme="minorHAnsi" w:cstheme="minorHAnsi"/>
          <w:sz w:val="24"/>
        </w:rPr>
      </w:pPr>
      <w:r w:rsidRPr="009664B7">
        <w:rPr>
          <w:rFonts w:asciiTheme="minorHAnsi" w:hAnsiTheme="minorHAnsi" w:cstheme="minorHAnsi"/>
          <w:sz w:val="24"/>
        </w:rPr>
        <w:t>After benchmarking against other</w:t>
      </w:r>
      <w:r w:rsidR="00236B65">
        <w:rPr>
          <w:rFonts w:asciiTheme="minorHAnsi" w:hAnsiTheme="minorHAnsi" w:cstheme="minorHAnsi"/>
          <w:sz w:val="24"/>
        </w:rPr>
        <w:t xml:space="preserve"> Independent System Operators (</w:t>
      </w:r>
      <w:r w:rsidRPr="009664B7">
        <w:rPr>
          <w:rFonts w:asciiTheme="minorHAnsi" w:hAnsiTheme="minorHAnsi" w:cstheme="minorHAnsi"/>
          <w:sz w:val="24"/>
        </w:rPr>
        <w:t>ISOs</w:t>
      </w:r>
      <w:r w:rsidR="00236B65">
        <w:rPr>
          <w:rFonts w:asciiTheme="minorHAnsi" w:hAnsiTheme="minorHAnsi" w:cstheme="minorHAnsi"/>
          <w:sz w:val="24"/>
        </w:rPr>
        <w:t>)</w:t>
      </w:r>
      <w:r w:rsidRPr="009664B7">
        <w:rPr>
          <w:rFonts w:asciiTheme="minorHAnsi" w:hAnsiTheme="minorHAnsi" w:cstheme="minorHAnsi"/>
          <w:sz w:val="24"/>
        </w:rPr>
        <w:t>/</w:t>
      </w:r>
      <w:r w:rsidR="00236B65">
        <w:rPr>
          <w:rFonts w:asciiTheme="minorHAnsi" w:hAnsiTheme="minorHAnsi" w:cstheme="minorHAnsi"/>
          <w:sz w:val="24"/>
        </w:rPr>
        <w:t>Regional Transmission Organizations (</w:t>
      </w:r>
      <w:r w:rsidRPr="009664B7">
        <w:rPr>
          <w:rFonts w:asciiTheme="minorHAnsi" w:hAnsiTheme="minorHAnsi" w:cstheme="minorHAnsi"/>
          <w:sz w:val="24"/>
        </w:rPr>
        <w:t>RTOs</w:t>
      </w:r>
      <w:r w:rsidR="00236B65">
        <w:rPr>
          <w:rFonts w:asciiTheme="minorHAnsi" w:hAnsiTheme="minorHAnsi" w:cstheme="minorHAnsi"/>
          <w:sz w:val="24"/>
        </w:rPr>
        <w:t>)</w:t>
      </w:r>
      <w:r w:rsidRPr="009664B7">
        <w:rPr>
          <w:rFonts w:asciiTheme="minorHAnsi" w:hAnsiTheme="minorHAnsi" w:cstheme="minorHAnsi"/>
          <w:sz w:val="24"/>
        </w:rPr>
        <w:t xml:space="preserve"> for the proposed amended definition of Affiliate, ERCOT Legal proposed an increase in the threshold from five to ten percent for passive investors before the Board would be required to make a determination of </w:t>
      </w:r>
      <w:r w:rsidR="00236B65">
        <w:rPr>
          <w:rFonts w:asciiTheme="minorHAnsi" w:hAnsiTheme="minorHAnsi" w:cstheme="minorHAnsi"/>
          <w:sz w:val="24"/>
        </w:rPr>
        <w:t>non-affiliation. When consider</w:t>
      </w:r>
      <w:r w:rsidRPr="009664B7">
        <w:rPr>
          <w:rFonts w:asciiTheme="minorHAnsi" w:hAnsiTheme="minorHAnsi" w:cstheme="minorHAnsi"/>
          <w:sz w:val="24"/>
        </w:rPr>
        <w:t xml:space="preserve">ing the Member submissions before the </w:t>
      </w:r>
      <w:r w:rsidR="00236B65">
        <w:rPr>
          <w:rFonts w:asciiTheme="minorHAnsi" w:hAnsiTheme="minorHAnsi" w:cstheme="minorHAnsi"/>
          <w:sz w:val="24"/>
        </w:rPr>
        <w:t xml:space="preserve">ERCOT </w:t>
      </w:r>
      <w:r w:rsidRPr="009664B7">
        <w:rPr>
          <w:rFonts w:asciiTheme="minorHAnsi" w:hAnsiTheme="minorHAnsi" w:cstheme="minorHAnsi"/>
          <w:sz w:val="24"/>
        </w:rPr>
        <w:t>Board</w:t>
      </w:r>
      <w:r w:rsidR="00236B65">
        <w:rPr>
          <w:rFonts w:asciiTheme="minorHAnsi" w:hAnsiTheme="minorHAnsi" w:cstheme="minorHAnsi"/>
          <w:sz w:val="24"/>
        </w:rPr>
        <w:t xml:space="preserve"> of Directors (Board)</w:t>
      </w:r>
      <w:r w:rsidRPr="009664B7">
        <w:rPr>
          <w:rFonts w:asciiTheme="minorHAnsi" w:hAnsiTheme="minorHAnsi" w:cstheme="minorHAnsi"/>
          <w:sz w:val="24"/>
        </w:rPr>
        <w:t xml:space="preserve"> in October 2017, there were several instances of passive institutional investors holding more than </w:t>
      </w:r>
      <w:r w:rsidR="00236B65">
        <w:rPr>
          <w:rFonts w:asciiTheme="minorHAnsi" w:hAnsiTheme="minorHAnsi" w:cstheme="minorHAnsi"/>
          <w:sz w:val="24"/>
        </w:rPr>
        <w:t>ten percent of Members’ stock. After further review, t</w:t>
      </w:r>
      <w:r w:rsidRPr="009664B7">
        <w:rPr>
          <w:rFonts w:asciiTheme="minorHAnsi" w:hAnsiTheme="minorHAnsi" w:cstheme="minorHAnsi"/>
          <w:sz w:val="24"/>
        </w:rPr>
        <w:t>o address this, ERCOT Legal plans to propose that the threshold be increased</w:t>
      </w:r>
      <w:r w:rsidR="00236B65">
        <w:rPr>
          <w:rFonts w:asciiTheme="minorHAnsi" w:hAnsiTheme="minorHAnsi" w:cstheme="minorHAnsi"/>
          <w:sz w:val="24"/>
        </w:rPr>
        <w:t xml:space="preserve"> from the originally proposed 10 percent</w:t>
      </w:r>
      <w:r w:rsidRPr="009664B7">
        <w:rPr>
          <w:rFonts w:asciiTheme="minorHAnsi" w:hAnsiTheme="minorHAnsi" w:cstheme="minorHAnsi"/>
          <w:sz w:val="24"/>
        </w:rPr>
        <w:t xml:space="preserve"> to 20 percent since it would be in line with the other aspects of the Affiliate definition (particularly, the current definition that allows the Board to make a determination of non-affiliation of any holdings between five and 20 percent) and would be well within standard corporate benchmark definitions for affiliates.  Delaware General Corporation Law defines an “associate” as any entity of which a person is a d</w:t>
      </w:r>
      <w:r w:rsidR="00236B65">
        <w:rPr>
          <w:rFonts w:asciiTheme="minorHAnsi" w:hAnsiTheme="minorHAnsi" w:cstheme="minorHAnsi"/>
          <w:sz w:val="24"/>
        </w:rPr>
        <w:t>irector, officer or owner of 20 percent</w:t>
      </w:r>
      <w:r w:rsidRPr="009664B7">
        <w:rPr>
          <w:rFonts w:asciiTheme="minorHAnsi" w:hAnsiTheme="minorHAnsi" w:cstheme="minorHAnsi"/>
          <w:sz w:val="24"/>
        </w:rPr>
        <w:t xml:space="preserve"> or more of the entity’s stock, and in its definition of “control” st</w:t>
      </w:r>
      <w:r w:rsidR="00236B65">
        <w:rPr>
          <w:rFonts w:asciiTheme="minorHAnsi" w:hAnsiTheme="minorHAnsi" w:cstheme="minorHAnsi"/>
          <w:sz w:val="24"/>
        </w:rPr>
        <w:t xml:space="preserve">ates that a person who owns 20 percent </w:t>
      </w:r>
      <w:r w:rsidRPr="009664B7">
        <w:rPr>
          <w:rFonts w:asciiTheme="minorHAnsi" w:hAnsiTheme="minorHAnsi" w:cstheme="minorHAnsi"/>
          <w:sz w:val="24"/>
        </w:rPr>
        <w:t xml:space="preserve">or more of the voting stock of any entity is presumed to have control of such entity.  8 DEL. C. § 203(c).  The definition of affiliate in the context of the United States Bankruptcy Code presumes affiliate status based on ownership, </w:t>
      </w:r>
      <w:r w:rsidR="00236B65">
        <w:rPr>
          <w:rFonts w:asciiTheme="minorHAnsi" w:hAnsiTheme="minorHAnsi" w:cstheme="minorHAnsi"/>
          <w:sz w:val="24"/>
        </w:rPr>
        <w:t>control or the power to vote 20 percent</w:t>
      </w:r>
      <w:r w:rsidRPr="009664B7">
        <w:rPr>
          <w:rFonts w:asciiTheme="minorHAnsi" w:hAnsiTheme="minorHAnsi" w:cstheme="minorHAnsi"/>
          <w:sz w:val="24"/>
        </w:rPr>
        <w:t xml:space="preserve"> or more of an entity’s securities. 11 U.S.C. § 101. </w:t>
      </w:r>
      <w:r w:rsidR="00236B65">
        <w:rPr>
          <w:rFonts w:asciiTheme="minorHAnsi" w:hAnsiTheme="minorHAnsi" w:cstheme="minorHAnsi"/>
          <w:sz w:val="24"/>
        </w:rPr>
        <w:t>A change to a 20 percent</w:t>
      </w:r>
      <w:r w:rsidRPr="009664B7">
        <w:rPr>
          <w:rFonts w:asciiTheme="minorHAnsi" w:hAnsiTheme="minorHAnsi" w:cstheme="minorHAnsi"/>
          <w:sz w:val="24"/>
        </w:rPr>
        <w:t xml:space="preserve"> threshold would accomplish the goal of bringing only issues of material concern before the Board because true passive investments would not be routinely before the Board.  The proposed definition maintains the discretion of the Board to dispute the level of control or influence, even </w:t>
      </w:r>
      <w:r w:rsidR="00236B65">
        <w:rPr>
          <w:rFonts w:asciiTheme="minorHAnsi" w:hAnsiTheme="minorHAnsi" w:cstheme="minorHAnsi"/>
          <w:sz w:val="24"/>
        </w:rPr>
        <w:t>where the ownership level is 20 percent</w:t>
      </w:r>
      <w:r w:rsidRPr="009664B7">
        <w:rPr>
          <w:rFonts w:asciiTheme="minorHAnsi" w:hAnsiTheme="minorHAnsi" w:cstheme="minorHAnsi"/>
          <w:sz w:val="24"/>
        </w:rPr>
        <w:t xml:space="preserve"> or less. </w:t>
      </w:r>
    </w:p>
    <w:p w14:paraId="7117A9A1" w14:textId="77777777" w:rsidR="009664B7" w:rsidRPr="009664B7" w:rsidRDefault="009664B7" w:rsidP="00236B65">
      <w:pPr>
        <w:pStyle w:val="BODYTEXTMEMO"/>
        <w:ind w:firstLine="0"/>
        <w:rPr>
          <w:rFonts w:asciiTheme="minorHAnsi" w:hAnsiTheme="minorHAnsi" w:cstheme="minorHAnsi"/>
          <w:sz w:val="24"/>
        </w:rPr>
      </w:pPr>
      <w:r w:rsidRPr="009664B7">
        <w:rPr>
          <w:rFonts w:asciiTheme="minorHAnsi" w:hAnsiTheme="minorHAnsi" w:cstheme="minorHAnsi"/>
          <w:sz w:val="24"/>
        </w:rPr>
        <w:t xml:space="preserve">ERCOT’s stakeholders have raised several concerns with the proposed amended definition of Affiliate. </w:t>
      </w:r>
    </w:p>
    <w:p w14:paraId="7117A9A2" w14:textId="77777777" w:rsidR="009664B7" w:rsidRPr="009664B7" w:rsidRDefault="009664B7" w:rsidP="00236B65">
      <w:pPr>
        <w:pStyle w:val="BODYTEXTMEMO"/>
        <w:numPr>
          <w:ilvl w:val="0"/>
          <w:numId w:val="16"/>
        </w:numPr>
        <w:ind w:left="0" w:firstLine="0"/>
        <w:rPr>
          <w:rFonts w:asciiTheme="minorHAnsi" w:hAnsiTheme="minorHAnsi" w:cstheme="minorHAnsi"/>
          <w:sz w:val="24"/>
        </w:rPr>
      </w:pPr>
      <w:r w:rsidRPr="009664B7">
        <w:rPr>
          <w:rFonts w:asciiTheme="minorHAnsi" w:hAnsiTheme="minorHAnsi" w:cstheme="minorHAnsi"/>
          <w:sz w:val="24"/>
        </w:rPr>
        <w:t>The amended definition of Affiliate includes a definition of “person” as any individual, corporation, limited liability company, partnership, firm, joint venture, association, joint stock company, trust, unincorporated organization, or other entity. This essentially tracks the definition used by other ISOs/RTOs, the Texas Business Organizations Code and the Delaware General Corporation Law. The comment suggested that the definition of person exclude all of the entities listed in Section 11.0042(a)(1)-(5) of the Public Util</w:t>
      </w:r>
      <w:r w:rsidR="00236B65">
        <w:rPr>
          <w:rFonts w:asciiTheme="minorHAnsi" w:hAnsiTheme="minorHAnsi" w:cstheme="minorHAnsi"/>
          <w:sz w:val="24"/>
        </w:rPr>
        <w:t>ity Regulatory Act (“PURA”).  ERCOT Legal</w:t>
      </w:r>
      <w:r w:rsidRPr="009664B7">
        <w:rPr>
          <w:rFonts w:asciiTheme="minorHAnsi" w:hAnsiTheme="minorHAnsi" w:cstheme="minorHAnsi"/>
          <w:sz w:val="24"/>
        </w:rPr>
        <w:t xml:space="preserve"> did not include a reference to the exclusio</w:t>
      </w:r>
      <w:r w:rsidR="00236B65">
        <w:rPr>
          <w:rFonts w:asciiTheme="minorHAnsi" w:hAnsiTheme="minorHAnsi" w:cstheme="minorHAnsi"/>
          <w:sz w:val="24"/>
        </w:rPr>
        <w:t>ns in Section 11.0042 because it was believed</w:t>
      </w:r>
      <w:r w:rsidRPr="009664B7">
        <w:rPr>
          <w:rFonts w:asciiTheme="minorHAnsi" w:hAnsiTheme="minorHAnsi" w:cstheme="minorHAnsi"/>
          <w:sz w:val="24"/>
        </w:rPr>
        <w:t xml:space="preserve"> they were too narrow to pick up all of the different types of passive investors in the ERCOT </w:t>
      </w:r>
      <w:r w:rsidR="00236B65">
        <w:rPr>
          <w:rFonts w:asciiTheme="minorHAnsi" w:hAnsiTheme="minorHAnsi" w:cstheme="minorHAnsi"/>
          <w:sz w:val="24"/>
        </w:rPr>
        <w:t>M</w:t>
      </w:r>
      <w:r w:rsidRPr="009664B7">
        <w:rPr>
          <w:rFonts w:asciiTheme="minorHAnsi" w:hAnsiTheme="minorHAnsi" w:cstheme="minorHAnsi"/>
          <w:sz w:val="24"/>
        </w:rPr>
        <w:t xml:space="preserve">embers.  However, coupled with the more simplistic and standard definitions of affiliate, person and control, and combined with the presumption of affiliation at 20%, this suggestion could be accepted. </w:t>
      </w:r>
    </w:p>
    <w:p w14:paraId="7117A9A3" w14:textId="77777777" w:rsidR="009664B7" w:rsidRPr="009664B7" w:rsidRDefault="009664B7" w:rsidP="00236B65">
      <w:pPr>
        <w:pStyle w:val="BODYTEXTMEMO"/>
        <w:ind w:firstLine="0"/>
        <w:rPr>
          <w:rFonts w:asciiTheme="minorHAnsi" w:hAnsiTheme="minorHAnsi" w:cstheme="minorHAnsi"/>
          <w:sz w:val="24"/>
        </w:rPr>
      </w:pPr>
      <w:r w:rsidRPr="009664B7">
        <w:rPr>
          <w:rFonts w:asciiTheme="minorHAnsi" w:hAnsiTheme="minorHAnsi" w:cstheme="minorHAnsi"/>
          <w:sz w:val="24"/>
        </w:rPr>
        <w:lastRenderedPageBreak/>
        <w:t>The comme</w:t>
      </w:r>
      <w:r w:rsidR="00236B65">
        <w:rPr>
          <w:rFonts w:asciiTheme="minorHAnsi" w:hAnsiTheme="minorHAnsi" w:cstheme="minorHAnsi"/>
          <w:sz w:val="24"/>
        </w:rPr>
        <w:t>nt also suggested making the 10 percent (now proposed to be 20 percent</w:t>
      </w:r>
      <w:r w:rsidRPr="009664B7">
        <w:rPr>
          <w:rFonts w:asciiTheme="minorHAnsi" w:hAnsiTheme="minorHAnsi" w:cstheme="minorHAnsi"/>
          <w:sz w:val="24"/>
        </w:rPr>
        <w:t>) threshold an independent variable for evaluating control, and went on to propose that even if</w:t>
      </w:r>
      <w:r w:rsidR="00236B65">
        <w:rPr>
          <w:rFonts w:asciiTheme="minorHAnsi" w:hAnsiTheme="minorHAnsi" w:cstheme="minorHAnsi"/>
          <w:sz w:val="24"/>
        </w:rPr>
        <w:t xml:space="preserve"> a person owned greater than 10 percent</w:t>
      </w:r>
      <w:r w:rsidRPr="009664B7">
        <w:rPr>
          <w:rFonts w:asciiTheme="minorHAnsi" w:hAnsiTheme="minorHAnsi" w:cstheme="minorHAnsi"/>
          <w:sz w:val="24"/>
        </w:rPr>
        <w:t xml:space="preserve"> of the equity securities of another person, such ownership would not result in affiliation if the other prongs of our proposed </w:t>
      </w:r>
      <w:r w:rsidR="00236B65">
        <w:rPr>
          <w:rFonts w:asciiTheme="minorHAnsi" w:hAnsiTheme="minorHAnsi" w:cstheme="minorHAnsi"/>
          <w:sz w:val="24"/>
        </w:rPr>
        <w:t>test were met. If we use the 20 percent</w:t>
      </w:r>
      <w:r w:rsidRPr="009664B7">
        <w:rPr>
          <w:rFonts w:asciiTheme="minorHAnsi" w:hAnsiTheme="minorHAnsi" w:cstheme="minorHAnsi"/>
          <w:sz w:val="24"/>
        </w:rPr>
        <w:t xml:space="preserve"> threshold, we do not believe this change would</w:t>
      </w:r>
      <w:r w:rsidR="00236B65">
        <w:rPr>
          <w:rFonts w:asciiTheme="minorHAnsi" w:hAnsiTheme="minorHAnsi" w:cstheme="minorHAnsi"/>
          <w:sz w:val="24"/>
        </w:rPr>
        <w:t xml:space="preserve"> be necessary as changing to 20 percent</w:t>
      </w:r>
      <w:r w:rsidRPr="009664B7">
        <w:rPr>
          <w:rFonts w:asciiTheme="minorHAnsi" w:hAnsiTheme="minorHAnsi" w:cstheme="minorHAnsi"/>
          <w:sz w:val="24"/>
        </w:rPr>
        <w:t xml:space="preserve"> would most likely eliminate much of the commenters’ concerns. </w:t>
      </w:r>
    </w:p>
    <w:p w14:paraId="7117A9A4" w14:textId="77777777" w:rsidR="009664B7" w:rsidRPr="009664B7" w:rsidRDefault="009664B7" w:rsidP="00236B65">
      <w:pPr>
        <w:pStyle w:val="BODYTEXTMEMO"/>
        <w:ind w:firstLine="0"/>
        <w:rPr>
          <w:rFonts w:asciiTheme="minorHAnsi" w:hAnsiTheme="minorHAnsi" w:cstheme="minorHAnsi"/>
          <w:sz w:val="24"/>
        </w:rPr>
      </w:pPr>
      <w:r w:rsidRPr="009664B7">
        <w:rPr>
          <w:rFonts w:asciiTheme="minorHAnsi" w:hAnsiTheme="minorHAnsi" w:cstheme="minorHAnsi"/>
          <w:sz w:val="24"/>
        </w:rPr>
        <w:t>The comment suggested adding clarification that in cases where non-affiliation arises because of the common ownership of an upstream investor, non-contr</w:t>
      </w:r>
      <w:r w:rsidR="00236B65">
        <w:rPr>
          <w:rFonts w:asciiTheme="minorHAnsi" w:hAnsiTheme="minorHAnsi" w:cstheme="minorHAnsi"/>
          <w:sz w:val="24"/>
        </w:rPr>
        <w:t>ol of one ERCOT M</w:t>
      </w:r>
      <w:r w:rsidRPr="009664B7">
        <w:rPr>
          <w:rFonts w:asciiTheme="minorHAnsi" w:hAnsiTheme="minorHAnsi" w:cstheme="minorHAnsi"/>
          <w:sz w:val="24"/>
        </w:rPr>
        <w:t xml:space="preserve">ember would result in no affiliation with respect to the other. This suggestion could also be accepted. </w:t>
      </w:r>
    </w:p>
    <w:p w14:paraId="7117A9A5" w14:textId="77777777" w:rsidR="009664B7" w:rsidRPr="009664B7" w:rsidRDefault="009664B7" w:rsidP="00236B65">
      <w:pPr>
        <w:pStyle w:val="BODYTEXTMEMO"/>
        <w:ind w:firstLine="0"/>
        <w:rPr>
          <w:rFonts w:asciiTheme="minorHAnsi" w:hAnsiTheme="minorHAnsi" w:cstheme="minorHAnsi"/>
          <w:sz w:val="24"/>
        </w:rPr>
      </w:pPr>
      <w:r w:rsidRPr="009664B7">
        <w:rPr>
          <w:rFonts w:asciiTheme="minorHAnsi" w:hAnsiTheme="minorHAnsi" w:cstheme="minorHAnsi"/>
          <w:sz w:val="24"/>
        </w:rPr>
        <w:t xml:space="preserve">The commenter also suggested a more specific process for rebutting the presumption of control. Assuming that this is the process followed now and procedurally would work for the ERCOT Board, this suggestion could also be accepted. </w:t>
      </w:r>
    </w:p>
    <w:p w14:paraId="7117A9A6" w14:textId="77777777" w:rsidR="009664B7" w:rsidRPr="009664B7" w:rsidRDefault="009664B7" w:rsidP="00236B65">
      <w:pPr>
        <w:pStyle w:val="BODYTEXTMEMO"/>
        <w:numPr>
          <w:ilvl w:val="0"/>
          <w:numId w:val="16"/>
        </w:numPr>
        <w:ind w:left="0" w:firstLine="0"/>
        <w:rPr>
          <w:rFonts w:asciiTheme="minorHAnsi" w:hAnsiTheme="minorHAnsi" w:cstheme="minorHAnsi"/>
          <w:sz w:val="24"/>
        </w:rPr>
      </w:pPr>
      <w:r w:rsidRPr="009664B7">
        <w:rPr>
          <w:rFonts w:asciiTheme="minorHAnsi" w:hAnsiTheme="minorHAnsi" w:cstheme="minorHAnsi"/>
          <w:sz w:val="24"/>
        </w:rPr>
        <w:t xml:space="preserve">A second comment noted that the amended definition of “person” could have more closely tracked the PURA definition of person by excluding electric cooperatives from the definition of person. We are open to this suggestion.     </w:t>
      </w:r>
    </w:p>
    <w:p w14:paraId="7117A9A8" w14:textId="3B60C302" w:rsidR="00BA7793" w:rsidRPr="009664B7" w:rsidRDefault="00EC7DF5" w:rsidP="00BA7793">
      <w:pPr>
        <w:widowControl w:val="0"/>
        <w:jc w:val="both"/>
        <w:rPr>
          <w:rFonts w:asciiTheme="minorHAnsi" w:hAnsiTheme="minorHAnsi" w:cstheme="minorHAnsi"/>
        </w:rPr>
      </w:pPr>
      <w:r>
        <w:rPr>
          <w:rFonts w:asciiTheme="minorHAnsi" w:hAnsiTheme="minorHAnsi" w:cstheme="minorHAnsi"/>
        </w:rPr>
        <w:t>Regarding Segment definitions, as discussed in ERCOT Legal’s</w:t>
      </w:r>
      <w:bookmarkStart w:id="0" w:name="_GoBack"/>
      <w:bookmarkEnd w:id="0"/>
      <w:r>
        <w:rPr>
          <w:rFonts w:asciiTheme="minorHAnsi" w:hAnsiTheme="minorHAnsi" w:cstheme="minorHAnsi"/>
        </w:rPr>
        <w:t xml:space="preserve"> February 15, 2018 memorandum to TAC, ERCOT has been directed by the </w:t>
      </w:r>
      <w:r>
        <w:rPr>
          <w:rFonts w:ascii="Arial" w:hAnsi="Arial" w:cs="Arial"/>
        </w:rPr>
        <w:t>Public Utility Commission of Texas (PUCT)</w:t>
      </w:r>
      <w:r>
        <w:rPr>
          <w:rFonts w:asciiTheme="minorHAnsi" w:hAnsiTheme="minorHAnsi" w:cstheme="minorHAnsi"/>
        </w:rPr>
        <w:t xml:space="preserve"> </w:t>
      </w:r>
      <w:r>
        <w:rPr>
          <w:rFonts w:ascii="Arial" w:hAnsi="Arial" w:cs="Arial"/>
        </w:rPr>
        <w:t>“to determine the appropriate [Segment] for Southern Cross Transmission (SCT) and any other entity[,]”</w:t>
      </w:r>
      <w:r>
        <w:rPr>
          <w:rStyle w:val="FootnoteReference"/>
          <w:rFonts w:ascii="Arial" w:hAnsi="Arial" w:cs="Arial"/>
        </w:rPr>
        <w:footnoteReference w:id="1"/>
      </w:r>
      <w:r>
        <w:rPr>
          <w:rFonts w:ascii="Arial" w:hAnsi="Arial" w:cs="Arial"/>
        </w:rPr>
        <w:t xml:space="preserve"> which will require an amendment to the definition of that Segment in the Bylaws.  In that memorandum, ERCOT Legal initially recommended that the Investor Owned Utility (</w:t>
      </w:r>
      <w:r w:rsidRPr="00F33923">
        <w:rPr>
          <w:rFonts w:ascii="Arial" w:hAnsi="Arial" w:cs="Arial"/>
        </w:rPr>
        <w:t>IOU</w:t>
      </w:r>
      <w:r>
        <w:rPr>
          <w:rFonts w:ascii="Arial" w:hAnsi="Arial" w:cs="Arial"/>
        </w:rPr>
        <w:t>)</w:t>
      </w:r>
      <w:r w:rsidRPr="00F33923">
        <w:rPr>
          <w:rFonts w:ascii="Arial" w:hAnsi="Arial" w:cs="Arial"/>
        </w:rPr>
        <w:t xml:space="preserve"> and Independent Power Marketer Segments </w:t>
      </w:r>
      <w:r>
        <w:rPr>
          <w:rFonts w:ascii="Arial" w:hAnsi="Arial" w:cs="Arial"/>
        </w:rPr>
        <w:t xml:space="preserve">be considered </w:t>
      </w:r>
      <w:r w:rsidRPr="00F33923">
        <w:rPr>
          <w:rFonts w:ascii="Arial" w:hAnsi="Arial" w:cs="Arial"/>
        </w:rPr>
        <w:t>as appropriate Segment</w:t>
      </w:r>
      <w:r>
        <w:rPr>
          <w:rFonts w:ascii="Arial" w:hAnsi="Arial" w:cs="Arial"/>
        </w:rPr>
        <w:t>s</w:t>
      </w:r>
      <w:r w:rsidRPr="00F33923">
        <w:rPr>
          <w:rFonts w:ascii="Arial" w:hAnsi="Arial" w:cs="Arial"/>
        </w:rPr>
        <w:t xml:space="preserve"> for SCT</w:t>
      </w:r>
      <w:r>
        <w:rPr>
          <w:rFonts w:ascii="Arial" w:hAnsi="Arial" w:cs="Arial"/>
        </w:rPr>
        <w:t xml:space="preserve"> and solicited comments from stakeholders regarding the PUCT’s directive.  ERCOT Legal received three sets of comments, two of which recommend</w:t>
      </w:r>
      <w:r w:rsidR="00841367">
        <w:rPr>
          <w:rFonts w:ascii="Arial" w:hAnsi="Arial" w:cs="Arial"/>
        </w:rPr>
        <w:t>ed</w:t>
      </w:r>
      <w:r>
        <w:rPr>
          <w:rFonts w:ascii="Arial" w:hAnsi="Arial" w:cs="Arial"/>
        </w:rPr>
        <w:t xml:space="preserve"> revising</w:t>
      </w:r>
      <w:r w:rsidR="00841367">
        <w:rPr>
          <w:rFonts w:ascii="Arial" w:hAnsi="Arial" w:cs="Arial"/>
        </w:rPr>
        <w:t xml:space="preserve"> the Independent Power Marketer Segment definition to accommodate SCT’s membership, and one of which recommended revising the IOU Segment.  ERCOT Legal continues to believe that these two Segments represent the two most appropriate options for consideration.</w:t>
      </w:r>
    </w:p>
    <w:p w14:paraId="7117A9AB" w14:textId="77777777" w:rsidR="001C10D4" w:rsidRPr="009664B7" w:rsidRDefault="001C10D4">
      <w:pPr>
        <w:rPr>
          <w:rFonts w:asciiTheme="minorHAnsi" w:hAnsiTheme="minorHAnsi" w:cstheme="minorHAnsi"/>
        </w:rPr>
      </w:pPr>
    </w:p>
    <w:sectPr w:rsidR="001C10D4" w:rsidRPr="009664B7" w:rsidSect="001C10D4">
      <w:footerReference w:type="default" r:id="rId12"/>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7A9B0" w14:textId="77777777" w:rsidR="00867E58" w:rsidRDefault="00867E58" w:rsidP="0016700A">
      <w:r>
        <w:separator/>
      </w:r>
    </w:p>
  </w:endnote>
  <w:endnote w:type="continuationSeparator" w:id="0">
    <w:p w14:paraId="7117A9B1" w14:textId="77777777" w:rsidR="00867E58" w:rsidRDefault="00867E58" w:rsidP="0016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7A9B2" w14:textId="584196BF" w:rsidR="00BA7793" w:rsidRPr="00BA7793" w:rsidRDefault="00BA7793" w:rsidP="007C0EAA">
    <w:pPr>
      <w:pStyle w:val="Footer"/>
      <w:tabs>
        <w:tab w:val="clear" w:pos="4320"/>
      </w:tabs>
      <w:rPr>
        <w:rFonts w:ascii="Arial" w:hAnsi="Arial" w:cs="Arial"/>
        <w:sz w:val="18"/>
        <w:szCs w:val="18"/>
      </w:rPr>
    </w:pPr>
    <w:r w:rsidRPr="00BA7793">
      <w:rPr>
        <w:rFonts w:ascii="Arial" w:hAnsi="Arial" w:cs="Arial"/>
        <w:sz w:val="18"/>
        <w:szCs w:val="18"/>
      </w:rPr>
      <w:t>Item 10</w:t>
    </w:r>
    <w:r w:rsidR="006B3EF3" w:rsidRPr="007C0EAA">
      <w:rPr>
        <w:rFonts w:ascii="Arial" w:hAnsi="Arial" w:cs="Arial"/>
        <w:sz w:val="16"/>
        <w:szCs w:val="16"/>
      </w:rPr>
      <w:tab/>
    </w:r>
    <w:r w:rsidR="006B3EF3" w:rsidRPr="007C0EAA">
      <w:rPr>
        <w:rStyle w:val="PageNumber"/>
        <w:rFonts w:ascii="Arial" w:hAnsi="Arial" w:cs="Arial"/>
        <w:sz w:val="16"/>
        <w:szCs w:val="16"/>
      </w:rPr>
      <w:fldChar w:fldCharType="begin"/>
    </w:r>
    <w:r w:rsidR="006B3EF3" w:rsidRPr="007C0EAA">
      <w:rPr>
        <w:rStyle w:val="PageNumber"/>
        <w:rFonts w:ascii="Arial" w:hAnsi="Arial" w:cs="Arial"/>
        <w:sz w:val="16"/>
        <w:szCs w:val="16"/>
      </w:rPr>
      <w:instrText xml:space="preserve"> PAGE </w:instrText>
    </w:r>
    <w:r w:rsidR="006B3EF3" w:rsidRPr="007C0EAA">
      <w:rPr>
        <w:rStyle w:val="PageNumber"/>
        <w:rFonts w:ascii="Arial" w:hAnsi="Arial" w:cs="Arial"/>
        <w:sz w:val="16"/>
        <w:szCs w:val="16"/>
      </w:rPr>
      <w:fldChar w:fldCharType="separate"/>
    </w:r>
    <w:r w:rsidR="002E59AD">
      <w:rPr>
        <w:rStyle w:val="PageNumber"/>
        <w:rFonts w:ascii="Arial" w:hAnsi="Arial" w:cs="Arial"/>
        <w:noProof/>
        <w:sz w:val="16"/>
        <w:szCs w:val="16"/>
      </w:rPr>
      <w:t>4</w:t>
    </w:r>
    <w:r w:rsidR="006B3EF3" w:rsidRPr="007C0EAA">
      <w:rPr>
        <w:rStyle w:val="PageNumber"/>
        <w:rFonts w:ascii="Arial" w:hAnsi="Arial" w:cs="Arial"/>
        <w:sz w:val="16"/>
        <w:szCs w:val="16"/>
      </w:rPr>
      <w:fldChar w:fldCharType="end"/>
    </w:r>
  </w:p>
  <w:p w14:paraId="7117A9B4" w14:textId="4918D21E" w:rsidR="00C12BFA" w:rsidRPr="006B3EF3" w:rsidRDefault="007553A8" w:rsidP="006B3EF3">
    <w:pPr>
      <w:pStyle w:val="Footer"/>
      <w:tabs>
        <w:tab w:val="clear" w:pos="4320"/>
      </w:tabs>
      <w:rPr>
        <w:rFonts w:ascii="Arial" w:hAnsi="Arial" w:cs="Arial"/>
        <w:sz w:val="16"/>
        <w:szCs w:val="16"/>
      </w:rPr>
    </w:pPr>
    <w:r w:rsidRPr="00BA7793">
      <w:rPr>
        <w:rFonts w:ascii="Arial" w:hAnsi="Arial" w:cs="Arial"/>
        <w:sz w:val="18"/>
        <w:szCs w:val="18"/>
      </w:rPr>
      <w:t>E</w:t>
    </w:r>
    <w:r w:rsidR="00BA7793" w:rsidRPr="00BA7793">
      <w:rPr>
        <w:rFonts w:ascii="Arial" w:hAnsi="Arial" w:cs="Arial"/>
        <w:sz w:val="18"/>
        <w:szCs w:val="18"/>
      </w:rPr>
      <w:t>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7A9AE" w14:textId="77777777" w:rsidR="00867E58" w:rsidRDefault="00867E58" w:rsidP="0016700A">
      <w:r>
        <w:separator/>
      </w:r>
    </w:p>
  </w:footnote>
  <w:footnote w:type="continuationSeparator" w:id="0">
    <w:p w14:paraId="7117A9AF" w14:textId="77777777" w:rsidR="00867E58" w:rsidRDefault="00867E58" w:rsidP="0016700A">
      <w:r>
        <w:continuationSeparator/>
      </w:r>
    </w:p>
  </w:footnote>
  <w:footnote w:id="1">
    <w:p w14:paraId="7117A9B5" w14:textId="77777777" w:rsidR="00EC7DF5" w:rsidRDefault="00EC7DF5" w:rsidP="006B3EF3">
      <w:pPr>
        <w:pStyle w:val="FootnoteText"/>
        <w:jc w:val="both"/>
      </w:pPr>
      <w:r>
        <w:rPr>
          <w:rStyle w:val="FootnoteReference"/>
        </w:rPr>
        <w:footnoteRef/>
      </w:r>
      <w:r>
        <w:t xml:space="preserve"> See </w:t>
      </w:r>
      <w:r>
        <w:rPr>
          <w:rFonts w:cs="Arial"/>
        </w:rPr>
        <w:t xml:space="preserve">Revised Order dated May 23, 2017 in </w:t>
      </w:r>
      <w:r w:rsidRPr="00FC5AC7">
        <w:rPr>
          <w:rFonts w:cs="Arial"/>
        </w:rPr>
        <w:t xml:space="preserve">PUC Project </w:t>
      </w:r>
      <w:r>
        <w:rPr>
          <w:rFonts w:cs="Arial"/>
        </w:rPr>
        <w:t xml:space="preserve">No. 46304, </w:t>
      </w:r>
      <w:r w:rsidRPr="00FC5AC7">
        <w:rPr>
          <w:rFonts w:cs="Arial"/>
        </w:rPr>
        <w:t xml:space="preserve">Oversight Proceeding Regarding ERCOT Matters Arising out of Docket No. 45624 (Application of the City </w:t>
      </w:r>
      <w:r>
        <w:rPr>
          <w:rFonts w:cs="Arial"/>
        </w:rPr>
        <w:t>o</w:t>
      </w:r>
      <w:r w:rsidRPr="00FC5AC7">
        <w:rPr>
          <w:rFonts w:cs="Arial"/>
        </w:rPr>
        <w:t xml:space="preserve">f Garland </w:t>
      </w:r>
      <w:r>
        <w:rPr>
          <w:rFonts w:cs="Arial"/>
        </w:rPr>
        <w:t>t</w:t>
      </w:r>
      <w:r w:rsidRPr="00FC5AC7">
        <w:rPr>
          <w:rFonts w:cs="Arial"/>
        </w:rPr>
        <w:t xml:space="preserve">o Amend </w:t>
      </w:r>
      <w:r>
        <w:rPr>
          <w:rFonts w:cs="Arial"/>
        </w:rPr>
        <w:t>a</w:t>
      </w:r>
      <w:r w:rsidRPr="00FC5AC7">
        <w:rPr>
          <w:rFonts w:cs="Arial"/>
        </w:rPr>
        <w:t xml:space="preserve"> Certificate </w:t>
      </w:r>
      <w:r>
        <w:rPr>
          <w:rFonts w:cs="Arial"/>
        </w:rPr>
        <w:t>o</w:t>
      </w:r>
      <w:r w:rsidRPr="00FC5AC7">
        <w:rPr>
          <w:rFonts w:cs="Arial"/>
        </w:rPr>
        <w:t xml:space="preserve">f Convenience </w:t>
      </w:r>
      <w:r>
        <w:rPr>
          <w:rFonts w:cs="Arial"/>
        </w:rPr>
        <w:t>a</w:t>
      </w:r>
      <w:r w:rsidRPr="00FC5AC7">
        <w:rPr>
          <w:rFonts w:cs="Arial"/>
        </w:rPr>
        <w:t xml:space="preserve">nd Necessity </w:t>
      </w:r>
      <w:r>
        <w:rPr>
          <w:rFonts w:cs="Arial"/>
        </w:rPr>
        <w:t>f</w:t>
      </w:r>
      <w:r w:rsidRPr="00FC5AC7">
        <w:rPr>
          <w:rFonts w:cs="Arial"/>
        </w:rPr>
        <w:t xml:space="preserve">or </w:t>
      </w:r>
      <w:r>
        <w:rPr>
          <w:rFonts w:cs="Arial"/>
        </w:rPr>
        <w:t>t</w:t>
      </w:r>
      <w:r w:rsidRPr="00FC5AC7">
        <w:rPr>
          <w:rFonts w:cs="Arial"/>
        </w:rPr>
        <w:t xml:space="preserve">he Rusk </w:t>
      </w:r>
      <w:r>
        <w:rPr>
          <w:rFonts w:cs="Arial"/>
        </w:rPr>
        <w:t>t</w:t>
      </w:r>
      <w:r w:rsidRPr="00FC5AC7">
        <w:rPr>
          <w:rFonts w:cs="Arial"/>
        </w:rPr>
        <w:t xml:space="preserve">o Panola Double-Circuit 345-Kv Transmission Line </w:t>
      </w:r>
      <w:r>
        <w:rPr>
          <w:rFonts w:cs="Arial"/>
        </w:rPr>
        <w:t>i</w:t>
      </w:r>
      <w:r w:rsidRPr="00FC5AC7">
        <w:rPr>
          <w:rFonts w:cs="Arial"/>
        </w:rPr>
        <w:t xml:space="preserve">n Rusk </w:t>
      </w:r>
      <w:r>
        <w:rPr>
          <w:rFonts w:cs="Arial"/>
        </w:rPr>
        <w:t>a</w:t>
      </w:r>
      <w:r w:rsidRPr="00FC5AC7">
        <w:rPr>
          <w:rFonts w:cs="Arial"/>
        </w:rPr>
        <w:t>nd Panola Counties)</w:t>
      </w:r>
      <w:r>
        <w:rPr>
          <w:rFonts w:cs="Arial"/>
        </w:rPr>
        <w:t>, Directive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91FD2"/>
    <w:multiLevelType w:val="multilevel"/>
    <w:tmpl w:val="38A0A6E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D8B23FF"/>
    <w:multiLevelType w:val="hybridMultilevel"/>
    <w:tmpl w:val="11BA6C60"/>
    <w:lvl w:ilvl="0" w:tplc="23EECF14">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15:restartNumberingAfterBreak="0">
    <w:nsid w:val="3DA224DF"/>
    <w:multiLevelType w:val="multilevel"/>
    <w:tmpl w:val="469E8452"/>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E3C33E5"/>
    <w:multiLevelType w:val="multilevel"/>
    <w:tmpl w:val="2EA26A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0F83976"/>
    <w:multiLevelType w:val="multilevel"/>
    <w:tmpl w:val="4A0885F6"/>
    <w:lvl w:ilvl="0">
      <w:start w:val="1"/>
      <w:numFmt w:val="none"/>
      <w:lvlText w:val="A."/>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58C5BAD"/>
    <w:multiLevelType w:val="multilevel"/>
    <w:tmpl w:val="969449E8"/>
    <w:lvl w:ilvl="0">
      <w:start w:val="1"/>
      <w:numFmt w:val="none"/>
      <w:isLgl/>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7401E6C"/>
    <w:multiLevelType w:val="hybridMultilevel"/>
    <w:tmpl w:val="AFA4A8FE"/>
    <w:lvl w:ilvl="0" w:tplc="9048A86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3012748"/>
    <w:multiLevelType w:val="hybridMultilevel"/>
    <w:tmpl w:val="A8A2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E00376"/>
    <w:multiLevelType w:val="multilevel"/>
    <w:tmpl w:val="7CB4AC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5672099B"/>
    <w:multiLevelType w:val="hybridMultilevel"/>
    <w:tmpl w:val="30FE0E0C"/>
    <w:lvl w:ilvl="0" w:tplc="F7981DBA">
      <w:start w:val="1"/>
      <w:numFmt w:val="bullet"/>
      <w:lvlText w:val="­"/>
      <w:lvlJc w:val="left"/>
      <w:pPr>
        <w:tabs>
          <w:tab w:val="num" w:pos="1800"/>
        </w:tabs>
        <w:ind w:left="1800" w:hanging="360"/>
      </w:pPr>
      <w:rPr>
        <w:rFonts w:ascii="Courier New" w:hAnsi="Courier New" w:hint="default"/>
      </w:rPr>
    </w:lvl>
    <w:lvl w:ilvl="1" w:tplc="CA92CC12">
      <w:start w:val="1"/>
      <w:numFmt w:val="bullet"/>
      <w:lvlText w:val="o"/>
      <w:lvlJc w:val="left"/>
      <w:pPr>
        <w:tabs>
          <w:tab w:val="num" w:pos="2016"/>
        </w:tabs>
        <w:ind w:left="2016" w:hanging="360"/>
      </w:pPr>
      <w:rPr>
        <w:rFonts w:ascii="Courier New" w:hAnsi="Courier New" w:cs="Courier New" w:hint="default"/>
      </w:rPr>
    </w:lvl>
    <w:lvl w:ilvl="2" w:tplc="6E789464" w:tentative="1">
      <w:start w:val="1"/>
      <w:numFmt w:val="bullet"/>
      <w:lvlText w:val=""/>
      <w:lvlJc w:val="left"/>
      <w:pPr>
        <w:tabs>
          <w:tab w:val="num" w:pos="2736"/>
        </w:tabs>
        <w:ind w:left="2736" w:hanging="360"/>
      </w:pPr>
      <w:rPr>
        <w:rFonts w:ascii="Wingdings" w:hAnsi="Wingdings" w:hint="default"/>
      </w:rPr>
    </w:lvl>
    <w:lvl w:ilvl="3" w:tplc="235246A0" w:tentative="1">
      <w:start w:val="1"/>
      <w:numFmt w:val="bullet"/>
      <w:lvlText w:val=""/>
      <w:lvlJc w:val="left"/>
      <w:pPr>
        <w:tabs>
          <w:tab w:val="num" w:pos="3456"/>
        </w:tabs>
        <w:ind w:left="3456" w:hanging="360"/>
      </w:pPr>
      <w:rPr>
        <w:rFonts w:ascii="Symbol" w:hAnsi="Symbol" w:hint="default"/>
      </w:rPr>
    </w:lvl>
    <w:lvl w:ilvl="4" w:tplc="F97E0244" w:tentative="1">
      <w:start w:val="1"/>
      <w:numFmt w:val="bullet"/>
      <w:lvlText w:val="o"/>
      <w:lvlJc w:val="left"/>
      <w:pPr>
        <w:tabs>
          <w:tab w:val="num" w:pos="4176"/>
        </w:tabs>
        <w:ind w:left="4176" w:hanging="360"/>
      </w:pPr>
      <w:rPr>
        <w:rFonts w:ascii="Courier New" w:hAnsi="Courier New" w:cs="Courier New" w:hint="default"/>
      </w:rPr>
    </w:lvl>
    <w:lvl w:ilvl="5" w:tplc="2BEA0746" w:tentative="1">
      <w:start w:val="1"/>
      <w:numFmt w:val="bullet"/>
      <w:lvlText w:val=""/>
      <w:lvlJc w:val="left"/>
      <w:pPr>
        <w:tabs>
          <w:tab w:val="num" w:pos="4896"/>
        </w:tabs>
        <w:ind w:left="4896" w:hanging="360"/>
      </w:pPr>
      <w:rPr>
        <w:rFonts w:ascii="Wingdings" w:hAnsi="Wingdings" w:hint="default"/>
      </w:rPr>
    </w:lvl>
    <w:lvl w:ilvl="6" w:tplc="6500129E" w:tentative="1">
      <w:start w:val="1"/>
      <w:numFmt w:val="bullet"/>
      <w:lvlText w:val=""/>
      <w:lvlJc w:val="left"/>
      <w:pPr>
        <w:tabs>
          <w:tab w:val="num" w:pos="5616"/>
        </w:tabs>
        <w:ind w:left="5616" w:hanging="360"/>
      </w:pPr>
      <w:rPr>
        <w:rFonts w:ascii="Symbol" w:hAnsi="Symbol" w:hint="default"/>
      </w:rPr>
    </w:lvl>
    <w:lvl w:ilvl="7" w:tplc="B23294D0" w:tentative="1">
      <w:start w:val="1"/>
      <w:numFmt w:val="bullet"/>
      <w:lvlText w:val="o"/>
      <w:lvlJc w:val="left"/>
      <w:pPr>
        <w:tabs>
          <w:tab w:val="num" w:pos="6336"/>
        </w:tabs>
        <w:ind w:left="6336" w:hanging="360"/>
      </w:pPr>
      <w:rPr>
        <w:rFonts w:ascii="Courier New" w:hAnsi="Courier New" w:cs="Courier New" w:hint="default"/>
      </w:rPr>
    </w:lvl>
    <w:lvl w:ilvl="8" w:tplc="7406713C" w:tentative="1">
      <w:start w:val="1"/>
      <w:numFmt w:val="bullet"/>
      <w:lvlText w:val=""/>
      <w:lvlJc w:val="left"/>
      <w:pPr>
        <w:tabs>
          <w:tab w:val="num" w:pos="7056"/>
        </w:tabs>
        <w:ind w:left="7056" w:hanging="360"/>
      </w:pPr>
      <w:rPr>
        <w:rFonts w:ascii="Wingdings" w:hAnsi="Wingdings" w:hint="default"/>
      </w:rPr>
    </w:lvl>
  </w:abstractNum>
  <w:abstractNum w:abstractNumId="11" w15:restartNumberingAfterBreak="0">
    <w:nsid w:val="727A110F"/>
    <w:multiLevelType w:val="multilevel"/>
    <w:tmpl w:val="1512A634"/>
    <w:lvl w:ilvl="0">
      <w:start w:val="1"/>
      <w:numFmt w:val="none"/>
      <w:lvlText w:val="A."/>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F1940D0"/>
    <w:multiLevelType w:val="hybridMultilevel"/>
    <w:tmpl w:val="7960C472"/>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num w:numId="1">
    <w:abstractNumId w:val="1"/>
  </w:num>
  <w:num w:numId="2">
    <w:abstractNumId w:val="10"/>
  </w:num>
  <w:num w:numId="3">
    <w:abstractNumId w:val="9"/>
  </w:num>
  <w:num w:numId="4">
    <w:abstractNumId w:val="1"/>
  </w:num>
  <w:num w:numId="5">
    <w:abstractNumId w:val="0"/>
  </w:num>
  <w:num w:numId="6">
    <w:abstractNumId w:val="0"/>
  </w:num>
  <w:num w:numId="7">
    <w:abstractNumId w:val="0"/>
  </w:num>
  <w:num w:numId="8">
    <w:abstractNumId w:val="4"/>
  </w:num>
  <w:num w:numId="9">
    <w:abstractNumId w:val="8"/>
  </w:num>
  <w:num w:numId="10">
    <w:abstractNumId w:val="11"/>
  </w:num>
  <w:num w:numId="11">
    <w:abstractNumId w:val="3"/>
  </w:num>
  <w:num w:numId="12">
    <w:abstractNumId w:val="2"/>
  </w:num>
  <w:num w:numId="13">
    <w:abstractNumId w:val="5"/>
  </w:num>
  <w:num w:numId="14">
    <w:abstractNumId w:val="7"/>
  </w:num>
  <w:num w:numId="15">
    <w:abstractNumId w:val="6"/>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0D4"/>
    <w:rsid w:val="00011A56"/>
    <w:rsid w:val="00015123"/>
    <w:rsid w:val="00016C9F"/>
    <w:rsid w:val="00030AB3"/>
    <w:rsid w:val="000C64F0"/>
    <w:rsid w:val="000C73C2"/>
    <w:rsid w:val="000D1382"/>
    <w:rsid w:val="000F18E0"/>
    <w:rsid w:val="001136A3"/>
    <w:rsid w:val="0012329F"/>
    <w:rsid w:val="00131F61"/>
    <w:rsid w:val="0016700A"/>
    <w:rsid w:val="00172B35"/>
    <w:rsid w:val="00176A49"/>
    <w:rsid w:val="0018345B"/>
    <w:rsid w:val="00187FBA"/>
    <w:rsid w:val="00194040"/>
    <w:rsid w:val="001C0670"/>
    <w:rsid w:val="001C10D4"/>
    <w:rsid w:val="00236B65"/>
    <w:rsid w:val="0026397F"/>
    <w:rsid w:val="00273C47"/>
    <w:rsid w:val="00282F81"/>
    <w:rsid w:val="00291475"/>
    <w:rsid w:val="002A0B3C"/>
    <w:rsid w:val="002C0788"/>
    <w:rsid w:val="002D1EA1"/>
    <w:rsid w:val="002E59AD"/>
    <w:rsid w:val="00301F9A"/>
    <w:rsid w:val="00321ECD"/>
    <w:rsid w:val="003351E2"/>
    <w:rsid w:val="00373541"/>
    <w:rsid w:val="003B1841"/>
    <w:rsid w:val="003B6525"/>
    <w:rsid w:val="003B744E"/>
    <w:rsid w:val="003F199F"/>
    <w:rsid w:val="00402943"/>
    <w:rsid w:val="004114EE"/>
    <w:rsid w:val="00433F4D"/>
    <w:rsid w:val="004515CC"/>
    <w:rsid w:val="00475D2F"/>
    <w:rsid w:val="00480605"/>
    <w:rsid w:val="004E3256"/>
    <w:rsid w:val="004F08AA"/>
    <w:rsid w:val="005022E8"/>
    <w:rsid w:val="005055F3"/>
    <w:rsid w:val="00534344"/>
    <w:rsid w:val="005357B6"/>
    <w:rsid w:val="00550DFD"/>
    <w:rsid w:val="00586CEC"/>
    <w:rsid w:val="005B34F5"/>
    <w:rsid w:val="005B6A00"/>
    <w:rsid w:val="005D5589"/>
    <w:rsid w:val="005E6F3D"/>
    <w:rsid w:val="005F1BF9"/>
    <w:rsid w:val="00601ACB"/>
    <w:rsid w:val="006144DB"/>
    <w:rsid w:val="00671896"/>
    <w:rsid w:val="00685520"/>
    <w:rsid w:val="00686B81"/>
    <w:rsid w:val="006A0BDB"/>
    <w:rsid w:val="006A476B"/>
    <w:rsid w:val="006B010E"/>
    <w:rsid w:val="006B0459"/>
    <w:rsid w:val="006B27FF"/>
    <w:rsid w:val="006B3EF3"/>
    <w:rsid w:val="006B720E"/>
    <w:rsid w:val="006B7B81"/>
    <w:rsid w:val="006C5A38"/>
    <w:rsid w:val="006D7A2F"/>
    <w:rsid w:val="00720216"/>
    <w:rsid w:val="0073161D"/>
    <w:rsid w:val="007404C9"/>
    <w:rsid w:val="007418D0"/>
    <w:rsid w:val="00742D0F"/>
    <w:rsid w:val="00752852"/>
    <w:rsid w:val="007553A8"/>
    <w:rsid w:val="00761124"/>
    <w:rsid w:val="0077553A"/>
    <w:rsid w:val="0078749A"/>
    <w:rsid w:val="00795ACB"/>
    <w:rsid w:val="007C0EAA"/>
    <w:rsid w:val="007C4CE3"/>
    <w:rsid w:val="007C50B7"/>
    <w:rsid w:val="007D164B"/>
    <w:rsid w:val="007E388C"/>
    <w:rsid w:val="007F7408"/>
    <w:rsid w:val="007F7D45"/>
    <w:rsid w:val="00810427"/>
    <w:rsid w:val="00823236"/>
    <w:rsid w:val="00827BA9"/>
    <w:rsid w:val="0084055A"/>
    <w:rsid w:val="00841367"/>
    <w:rsid w:val="008425F9"/>
    <w:rsid w:val="00866383"/>
    <w:rsid w:val="00867E58"/>
    <w:rsid w:val="00893384"/>
    <w:rsid w:val="008B038D"/>
    <w:rsid w:val="008C011A"/>
    <w:rsid w:val="008C638A"/>
    <w:rsid w:val="008D4CBC"/>
    <w:rsid w:val="008E508D"/>
    <w:rsid w:val="009173BC"/>
    <w:rsid w:val="0095122E"/>
    <w:rsid w:val="00952868"/>
    <w:rsid w:val="009664B7"/>
    <w:rsid w:val="00975BBE"/>
    <w:rsid w:val="009839D0"/>
    <w:rsid w:val="00996F7D"/>
    <w:rsid w:val="009A54E8"/>
    <w:rsid w:val="009D4D38"/>
    <w:rsid w:val="009D7C44"/>
    <w:rsid w:val="009E3799"/>
    <w:rsid w:val="00A0606A"/>
    <w:rsid w:val="00A33C66"/>
    <w:rsid w:val="00A43C5D"/>
    <w:rsid w:val="00A604D6"/>
    <w:rsid w:val="00A90650"/>
    <w:rsid w:val="00A97D0B"/>
    <w:rsid w:val="00AC24D7"/>
    <w:rsid w:val="00AD23FB"/>
    <w:rsid w:val="00AD4246"/>
    <w:rsid w:val="00AF075D"/>
    <w:rsid w:val="00AF47AE"/>
    <w:rsid w:val="00B079F9"/>
    <w:rsid w:val="00B11841"/>
    <w:rsid w:val="00B26E7E"/>
    <w:rsid w:val="00B72B02"/>
    <w:rsid w:val="00B77FAB"/>
    <w:rsid w:val="00B92D21"/>
    <w:rsid w:val="00BA7793"/>
    <w:rsid w:val="00C12BFA"/>
    <w:rsid w:val="00C15F5D"/>
    <w:rsid w:val="00C17A0D"/>
    <w:rsid w:val="00C24176"/>
    <w:rsid w:val="00C3413A"/>
    <w:rsid w:val="00C4070F"/>
    <w:rsid w:val="00C5088B"/>
    <w:rsid w:val="00C549C6"/>
    <w:rsid w:val="00C7096B"/>
    <w:rsid w:val="00CB13E0"/>
    <w:rsid w:val="00CD3204"/>
    <w:rsid w:val="00CE79D3"/>
    <w:rsid w:val="00CF0BD7"/>
    <w:rsid w:val="00D01BCB"/>
    <w:rsid w:val="00D312DE"/>
    <w:rsid w:val="00D340AC"/>
    <w:rsid w:val="00D42F34"/>
    <w:rsid w:val="00D56E49"/>
    <w:rsid w:val="00D62B2A"/>
    <w:rsid w:val="00DB2A92"/>
    <w:rsid w:val="00DC5638"/>
    <w:rsid w:val="00DD3C9E"/>
    <w:rsid w:val="00E2183A"/>
    <w:rsid w:val="00E2728C"/>
    <w:rsid w:val="00E31AA3"/>
    <w:rsid w:val="00E339A1"/>
    <w:rsid w:val="00E353D8"/>
    <w:rsid w:val="00E44423"/>
    <w:rsid w:val="00E47AF9"/>
    <w:rsid w:val="00E54840"/>
    <w:rsid w:val="00E6287F"/>
    <w:rsid w:val="00E779C6"/>
    <w:rsid w:val="00EB6FF9"/>
    <w:rsid w:val="00EC2E25"/>
    <w:rsid w:val="00EC5E10"/>
    <w:rsid w:val="00EC7DF5"/>
    <w:rsid w:val="00EE48DB"/>
    <w:rsid w:val="00EF152C"/>
    <w:rsid w:val="00F22A9D"/>
    <w:rsid w:val="00F648D6"/>
    <w:rsid w:val="00F94429"/>
    <w:rsid w:val="00FB3B54"/>
    <w:rsid w:val="00FC36DC"/>
    <w:rsid w:val="00FE5B3A"/>
    <w:rsid w:val="00FF5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7A974"/>
  <w15:chartTrackingRefBased/>
  <w15:docId w15:val="{A61963AC-BE3B-4DB2-AE19-5175F3A6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16700A"/>
    <w:pPr>
      <w:keepNext/>
      <w:numPr>
        <w:numId w:val="7"/>
      </w:numPr>
      <w:spacing w:before="320" w:after="240"/>
      <w:outlineLvl w:val="0"/>
    </w:pPr>
    <w:rPr>
      <w:rFonts w:ascii="Arial" w:hAnsi="Arial" w:cs="Arial"/>
      <w:b/>
      <w:bCs/>
      <w:kern w:val="32"/>
      <w:sz w:val="22"/>
      <w:szCs w:val="32"/>
    </w:rPr>
  </w:style>
  <w:style w:type="paragraph" w:styleId="Heading2">
    <w:name w:val="heading 2"/>
    <w:basedOn w:val="Normal"/>
    <w:next w:val="Normal"/>
    <w:qFormat/>
    <w:rsid w:val="00C7096B"/>
    <w:pPr>
      <w:keepNext/>
      <w:numPr>
        <w:ilvl w:val="1"/>
        <w:numId w:val="7"/>
      </w:numPr>
      <w:tabs>
        <w:tab w:val="left" w:pos="1080"/>
      </w:tabs>
      <w:spacing w:before="160" w:after="160"/>
      <w:outlineLvl w:val="1"/>
    </w:pPr>
    <w:rPr>
      <w:rFonts w:ascii="Arial" w:hAnsi="Arial" w:cs="Arial"/>
      <w:b/>
      <w:bCs/>
      <w:iCs/>
      <w:sz w:val="22"/>
      <w:szCs w:val="28"/>
    </w:rPr>
  </w:style>
  <w:style w:type="paragraph" w:styleId="Heading3">
    <w:name w:val="heading 3"/>
    <w:basedOn w:val="Normal"/>
    <w:next w:val="Normal"/>
    <w:qFormat/>
    <w:rsid w:val="00C7096B"/>
    <w:pPr>
      <w:keepNext/>
      <w:numPr>
        <w:ilvl w:val="2"/>
        <w:numId w:val="7"/>
      </w:numPr>
      <w:spacing w:before="160" w:after="160"/>
      <w:outlineLvl w:val="2"/>
    </w:pPr>
    <w:rPr>
      <w:rFonts w:ascii="Arial" w:hAnsi="Arial"/>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744E"/>
    <w:pPr>
      <w:spacing w:after="120" w:line="260" w:lineRule="exact"/>
    </w:pPr>
    <w:rPr>
      <w:sz w:val="21"/>
    </w:rPr>
  </w:style>
  <w:style w:type="paragraph" w:customStyle="1" w:styleId="body2">
    <w:name w:val="body2"/>
    <w:basedOn w:val="BodyText"/>
    <w:rsid w:val="005357B6"/>
    <w:pPr>
      <w:ind w:left="900"/>
    </w:pPr>
  </w:style>
  <w:style w:type="paragraph" w:customStyle="1" w:styleId="body3">
    <w:name w:val="body3"/>
    <w:basedOn w:val="body2"/>
    <w:rsid w:val="00C7096B"/>
    <w:pPr>
      <w:ind w:left="1800"/>
    </w:pPr>
  </w:style>
  <w:style w:type="paragraph" w:customStyle="1" w:styleId="bulletlevel1">
    <w:name w:val="bullet level 1"/>
    <w:basedOn w:val="BodyText"/>
    <w:rsid w:val="00C7096B"/>
    <w:pPr>
      <w:tabs>
        <w:tab w:val="left" w:pos="576"/>
      </w:tabs>
    </w:pPr>
  </w:style>
  <w:style w:type="paragraph" w:customStyle="1" w:styleId="bulletlevel2">
    <w:name w:val="bullet level 2"/>
    <w:basedOn w:val="bulletlevel1"/>
    <w:rsid w:val="00C7096B"/>
    <w:pPr>
      <w:tabs>
        <w:tab w:val="clear" w:pos="576"/>
        <w:tab w:val="left" w:pos="864"/>
      </w:tabs>
    </w:pPr>
  </w:style>
  <w:style w:type="paragraph" w:customStyle="1" w:styleId="bulletlevel3">
    <w:name w:val="bullet level 3"/>
    <w:basedOn w:val="Normal"/>
    <w:rsid w:val="00C7096B"/>
    <w:pPr>
      <w:tabs>
        <w:tab w:val="left" w:pos="1080"/>
      </w:tabs>
      <w:spacing w:after="120" w:line="260" w:lineRule="exact"/>
    </w:pPr>
    <w:rPr>
      <w:sz w:val="21"/>
      <w:szCs w:val="21"/>
    </w:rPr>
  </w:style>
  <w:style w:type="paragraph" w:customStyle="1" w:styleId="bullet3level1">
    <w:name w:val="bullet3 level1"/>
    <w:basedOn w:val="Normal"/>
    <w:rsid w:val="00C7096B"/>
    <w:pPr>
      <w:tabs>
        <w:tab w:val="left" w:pos="2160"/>
      </w:tabs>
      <w:spacing w:after="120" w:line="260" w:lineRule="exact"/>
    </w:pPr>
    <w:rPr>
      <w:sz w:val="21"/>
    </w:rPr>
  </w:style>
  <w:style w:type="paragraph" w:customStyle="1" w:styleId="cutline">
    <w:name w:val="cutline"/>
    <w:basedOn w:val="Normal"/>
    <w:rsid w:val="00C7096B"/>
    <w:pPr>
      <w:spacing w:after="160"/>
      <w:jc w:val="center"/>
    </w:pPr>
    <w:rPr>
      <w:rFonts w:ascii="Arial" w:hAnsi="Arial"/>
      <w:sz w:val="18"/>
    </w:rPr>
  </w:style>
  <w:style w:type="paragraph" w:customStyle="1" w:styleId="table">
    <w:name w:val="table"/>
    <w:basedOn w:val="BodyText"/>
    <w:rsid w:val="00C7096B"/>
    <w:pPr>
      <w:spacing w:before="20" w:after="20" w:line="240" w:lineRule="exact"/>
    </w:pPr>
    <w:rPr>
      <w:rFonts w:ascii="Arial" w:hAnsi="Arial"/>
      <w:sz w:val="18"/>
    </w:rPr>
  </w:style>
  <w:style w:type="paragraph" w:customStyle="1" w:styleId="tablehead">
    <w:name w:val="table head"/>
    <w:basedOn w:val="BodyText"/>
    <w:rsid w:val="00C7096B"/>
    <w:pPr>
      <w:spacing w:before="20" w:after="20" w:line="240" w:lineRule="exact"/>
    </w:pPr>
    <w:rPr>
      <w:rFonts w:ascii="Arial" w:hAnsi="Arial"/>
      <w:b/>
      <w:sz w:val="18"/>
    </w:rPr>
  </w:style>
  <w:style w:type="paragraph" w:customStyle="1" w:styleId="block">
    <w:name w:val="block"/>
    <w:basedOn w:val="Normal"/>
    <w:rsid w:val="00C12BFA"/>
    <w:pPr>
      <w:tabs>
        <w:tab w:val="left" w:pos="720"/>
        <w:tab w:val="left" w:pos="1296"/>
      </w:tabs>
      <w:spacing w:after="120" w:line="260" w:lineRule="exact"/>
    </w:pPr>
    <w:rPr>
      <w:sz w:val="21"/>
    </w:rPr>
  </w:style>
  <w:style w:type="paragraph" w:styleId="FootnoteText">
    <w:name w:val="footnote text"/>
    <w:basedOn w:val="Normal"/>
    <w:semiHidden/>
    <w:rsid w:val="0016700A"/>
    <w:pPr>
      <w:spacing w:before="60" w:after="60"/>
    </w:pPr>
    <w:rPr>
      <w:rFonts w:ascii="Arial" w:hAnsi="Arial"/>
      <w:sz w:val="20"/>
      <w:szCs w:val="20"/>
    </w:rPr>
  </w:style>
  <w:style w:type="character" w:styleId="FootnoteReference">
    <w:name w:val="footnote reference"/>
    <w:uiPriority w:val="99"/>
    <w:semiHidden/>
    <w:rsid w:val="0016700A"/>
    <w:rPr>
      <w:vertAlign w:val="superscript"/>
    </w:rPr>
  </w:style>
  <w:style w:type="paragraph" w:styleId="Header">
    <w:name w:val="header"/>
    <w:basedOn w:val="Normal"/>
    <w:rsid w:val="007C0EAA"/>
    <w:pPr>
      <w:tabs>
        <w:tab w:val="center" w:pos="4320"/>
        <w:tab w:val="right" w:pos="8640"/>
      </w:tabs>
    </w:pPr>
  </w:style>
  <w:style w:type="paragraph" w:customStyle="1" w:styleId="levelA">
    <w:name w:val="levelA"/>
    <w:basedOn w:val="BodyText"/>
    <w:rsid w:val="005357B6"/>
    <w:pPr>
      <w:tabs>
        <w:tab w:val="left" w:pos="900"/>
      </w:tabs>
      <w:ind w:left="900" w:hanging="360"/>
    </w:pPr>
  </w:style>
  <w:style w:type="paragraph" w:customStyle="1" w:styleId="level1">
    <w:name w:val="level1"/>
    <w:basedOn w:val="BodyText"/>
    <w:rsid w:val="005357B6"/>
    <w:pPr>
      <w:tabs>
        <w:tab w:val="left" w:pos="1260"/>
      </w:tabs>
      <w:ind w:left="1260" w:hanging="360"/>
    </w:pPr>
  </w:style>
  <w:style w:type="paragraph" w:styleId="Footer">
    <w:name w:val="footer"/>
    <w:basedOn w:val="Normal"/>
    <w:rsid w:val="007C0EAA"/>
    <w:pPr>
      <w:tabs>
        <w:tab w:val="center" w:pos="4320"/>
        <w:tab w:val="right" w:pos="8640"/>
      </w:tabs>
    </w:pPr>
  </w:style>
  <w:style w:type="character" w:styleId="PageNumber">
    <w:name w:val="page number"/>
    <w:basedOn w:val="DefaultParagraphFont"/>
    <w:rsid w:val="007C0EAA"/>
  </w:style>
  <w:style w:type="paragraph" w:customStyle="1" w:styleId="StyleBefore36pt">
    <w:name w:val="Style Before:  36 pt"/>
    <w:basedOn w:val="Normal"/>
    <w:rsid w:val="003B744E"/>
    <w:pPr>
      <w:spacing w:before="480"/>
    </w:pPr>
    <w:rPr>
      <w:szCs w:val="20"/>
    </w:rPr>
  </w:style>
  <w:style w:type="paragraph" w:styleId="BalloonText">
    <w:name w:val="Balloon Text"/>
    <w:basedOn w:val="Normal"/>
    <w:link w:val="BalloonTextChar"/>
    <w:rsid w:val="005B6A00"/>
    <w:rPr>
      <w:rFonts w:ascii="Segoe UI" w:hAnsi="Segoe UI" w:cs="Segoe UI"/>
      <w:sz w:val="18"/>
      <w:szCs w:val="18"/>
    </w:rPr>
  </w:style>
  <w:style w:type="character" w:customStyle="1" w:styleId="BalloonTextChar">
    <w:name w:val="Balloon Text Char"/>
    <w:basedOn w:val="DefaultParagraphFont"/>
    <w:link w:val="BalloonText"/>
    <w:rsid w:val="005B6A00"/>
    <w:rPr>
      <w:rFonts w:ascii="Segoe UI" w:hAnsi="Segoe UI" w:cs="Segoe UI"/>
      <w:sz w:val="18"/>
      <w:szCs w:val="18"/>
    </w:rPr>
  </w:style>
  <w:style w:type="paragraph" w:styleId="ListParagraph">
    <w:name w:val="List Paragraph"/>
    <w:basedOn w:val="Normal"/>
    <w:uiPriority w:val="34"/>
    <w:qFormat/>
    <w:rsid w:val="00AF075D"/>
    <w:pPr>
      <w:ind w:left="720"/>
      <w:contextualSpacing/>
    </w:pPr>
  </w:style>
  <w:style w:type="paragraph" w:customStyle="1" w:styleId="BODYTEXTMEMO">
    <w:name w:val="BODYTEXTMEMO"/>
    <w:basedOn w:val="Normal"/>
    <w:rsid w:val="009664B7"/>
    <w:pPr>
      <w:spacing w:after="240"/>
      <w:ind w:firstLine="720"/>
      <w:jc w:val="both"/>
    </w:pPr>
    <w:rPr>
      <w:rFonts w:ascii="Arial" w:eastAsia="Calibri"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49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AE5AA-0B4F-430B-8594-8B15D32FC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73EC8-74F8-45FA-8131-EAEC4B417827}">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microsoft.com/sharepoint/v4"/>
    <ds:schemaRef ds:uri="http://purl.org/dc/terms/"/>
    <ds:schemaRef ds:uri="c34af464-7aa1-4edd-9be4-83dffc1cb926"/>
    <ds:schemaRef ds:uri="http://schemas.microsoft.com/sharepoint/v3"/>
    <ds:schemaRef ds:uri="http://purl.org/dc/dcmitype/"/>
  </ds:schemaRefs>
</ds:datastoreItem>
</file>

<file path=customXml/itemProps3.xml><?xml version="1.0" encoding="utf-8"?>
<ds:datastoreItem xmlns:ds="http://schemas.openxmlformats.org/officeDocument/2006/customXml" ds:itemID="{31C2D197-6E96-472F-8C01-9BD7312A63E6}">
  <ds:schemaRefs>
    <ds:schemaRef ds:uri="http://schemas.microsoft.com/sharepoint/v3/contenttype/forms"/>
  </ds:schemaRefs>
</ds:datastoreItem>
</file>

<file path=customXml/itemProps4.xml><?xml version="1.0" encoding="utf-8"?>
<ds:datastoreItem xmlns:ds="http://schemas.openxmlformats.org/officeDocument/2006/customXml" ds:itemID="{46115257-8519-4F7A-AC6A-ED017B492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1373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Markham, Lori</dc:creator>
  <cp:keywords/>
  <dc:description/>
  <cp:lastModifiedBy>jlevine</cp:lastModifiedBy>
  <cp:revision>4</cp:revision>
  <cp:lastPrinted>2006-03-15T14:48:00Z</cp:lastPrinted>
  <dcterms:created xsi:type="dcterms:W3CDTF">2018-03-15T01:13:00Z</dcterms:created>
  <dcterms:modified xsi:type="dcterms:W3CDTF">2018-03-15T15:44:00Z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