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489" w:rsidRDefault="00644489" w:rsidP="00636CD0"/>
    <w:p w:rsidR="00644489" w:rsidRDefault="008B717C" w:rsidP="00E6398C">
      <w:r>
        <w:t>ERCOT Op</w:t>
      </w:r>
      <w:r w:rsidR="008665BC">
        <w:t xml:space="preserve">inions </w:t>
      </w:r>
      <w:r>
        <w:t xml:space="preserve">for </w:t>
      </w:r>
      <w:r w:rsidR="00085C68">
        <w:t xml:space="preserve">March 22, </w:t>
      </w:r>
      <w:r w:rsidR="00534B2C">
        <w:t>2018</w:t>
      </w:r>
      <w:r w:rsidR="00927F68">
        <w:t xml:space="preserve"> </w:t>
      </w:r>
      <w:r>
        <w:t xml:space="preserve">TAC </w:t>
      </w:r>
    </w:p>
    <w:tbl>
      <w:tblPr>
        <w:tblW w:w="13050" w:type="dxa"/>
        <w:tblInd w:w="-550" w:type="dxa"/>
        <w:tblLayout w:type="fixed"/>
        <w:tblCellMar>
          <w:left w:w="0" w:type="dxa"/>
          <w:right w:w="0" w:type="dxa"/>
        </w:tblCellMar>
        <w:tblLook w:val="04A0" w:firstRow="1" w:lastRow="0" w:firstColumn="1" w:lastColumn="0" w:noHBand="0" w:noVBand="1"/>
      </w:tblPr>
      <w:tblGrid>
        <w:gridCol w:w="1170"/>
        <w:gridCol w:w="6390"/>
        <w:gridCol w:w="990"/>
        <w:gridCol w:w="4500"/>
      </w:tblGrid>
      <w:tr w:rsidR="00857AE3" w:rsidTr="00857AE3">
        <w:trPr>
          <w:trHeight w:val="510"/>
        </w:trPr>
        <w:tc>
          <w:tcPr>
            <w:tcW w:w="1170" w:type="dxa"/>
            <w:tcBorders>
              <w:top w:val="single" w:sz="8" w:space="0" w:color="auto"/>
              <w:left w:val="single" w:sz="8" w:space="0" w:color="auto"/>
              <w:bottom w:val="single" w:sz="4" w:space="0" w:color="auto"/>
              <w:right w:val="single" w:sz="8" w:space="0" w:color="auto"/>
            </w:tcBorders>
            <w:shd w:val="clear" w:color="auto" w:fill="366092"/>
            <w:tcMar>
              <w:top w:w="0" w:type="dxa"/>
              <w:left w:w="108" w:type="dxa"/>
              <w:bottom w:w="0" w:type="dxa"/>
              <w:right w:w="108" w:type="dxa"/>
            </w:tcMar>
            <w:hideMark/>
          </w:tcPr>
          <w:p w:rsidR="00857AE3" w:rsidRDefault="00857AE3">
            <w:pPr>
              <w:rPr>
                <w:b/>
                <w:bCs/>
                <w:color w:val="FFFFFF"/>
                <w:sz w:val="20"/>
                <w:szCs w:val="20"/>
              </w:rPr>
            </w:pPr>
            <w:r>
              <w:rPr>
                <w:b/>
                <w:bCs/>
                <w:color w:val="FFFFFF"/>
                <w:sz w:val="20"/>
                <w:szCs w:val="20"/>
              </w:rPr>
              <w:t>REV REQ NO.</w:t>
            </w:r>
          </w:p>
        </w:tc>
        <w:tc>
          <w:tcPr>
            <w:tcW w:w="6390" w:type="dxa"/>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857AE3" w:rsidRDefault="00857AE3">
            <w:pPr>
              <w:rPr>
                <w:b/>
                <w:bCs/>
                <w:color w:val="FFFFFF"/>
                <w:sz w:val="20"/>
                <w:szCs w:val="20"/>
              </w:rPr>
            </w:pPr>
            <w:r>
              <w:rPr>
                <w:b/>
                <w:bCs/>
                <w:color w:val="FFFFFF"/>
                <w:sz w:val="20"/>
                <w:szCs w:val="20"/>
              </w:rPr>
              <w:t>DESCRIPTION</w:t>
            </w:r>
          </w:p>
        </w:tc>
        <w:tc>
          <w:tcPr>
            <w:tcW w:w="990" w:type="dxa"/>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857AE3" w:rsidRDefault="00857AE3">
            <w:pPr>
              <w:jc w:val="center"/>
              <w:rPr>
                <w:b/>
                <w:bCs/>
                <w:color w:val="FFFFFF"/>
                <w:sz w:val="20"/>
                <w:szCs w:val="20"/>
              </w:rPr>
            </w:pPr>
            <w:r>
              <w:rPr>
                <w:b/>
                <w:bCs/>
                <w:color w:val="FFFFFF"/>
                <w:sz w:val="20"/>
                <w:szCs w:val="20"/>
              </w:rPr>
              <w:t>URGENT</w:t>
            </w:r>
          </w:p>
        </w:tc>
        <w:tc>
          <w:tcPr>
            <w:tcW w:w="4500" w:type="dxa"/>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857AE3" w:rsidRDefault="00857AE3">
            <w:pPr>
              <w:rPr>
                <w:b/>
                <w:bCs/>
                <w:color w:val="FFFFFF"/>
                <w:sz w:val="20"/>
                <w:szCs w:val="20"/>
              </w:rPr>
            </w:pPr>
            <w:bookmarkStart w:id="0" w:name="_GoBack"/>
            <w:bookmarkEnd w:id="0"/>
            <w:r>
              <w:rPr>
                <w:b/>
                <w:bCs/>
                <w:color w:val="FFFFFF"/>
                <w:sz w:val="20"/>
                <w:szCs w:val="20"/>
              </w:rPr>
              <w:t>ERCOT Opinion</w:t>
            </w:r>
          </w:p>
        </w:tc>
      </w:tr>
      <w:tr w:rsidR="00857AE3" w:rsidTr="00857AE3">
        <w:trPr>
          <w:trHeight w:val="727"/>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57AE3" w:rsidRDefault="00857AE3" w:rsidP="00126220">
            <w:pPr>
              <w:rPr>
                <w:b/>
                <w:bCs/>
                <w:sz w:val="20"/>
                <w:szCs w:val="20"/>
              </w:rPr>
            </w:pPr>
            <w:r>
              <w:rPr>
                <w:b/>
                <w:bCs/>
                <w:sz w:val="20"/>
                <w:szCs w:val="20"/>
              </w:rPr>
              <w:t>858NPRR</w:t>
            </w:r>
          </w:p>
        </w:tc>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57AE3" w:rsidRDefault="00857AE3" w:rsidP="00126220">
            <w:pPr>
              <w:rPr>
                <w:b/>
                <w:bCs/>
                <w:sz w:val="20"/>
                <w:szCs w:val="20"/>
              </w:rPr>
            </w:pPr>
            <w:r>
              <w:rPr>
                <w:b/>
                <w:bCs/>
                <w:sz w:val="20"/>
                <w:szCs w:val="20"/>
              </w:rPr>
              <w:t xml:space="preserve">Provide Complete Current Operating Plan (COP) Data. </w:t>
            </w:r>
            <w:r>
              <w:rPr>
                <w:sz w:val="20"/>
                <w:szCs w:val="20"/>
              </w:rPr>
              <w:t> This Nodal Protocol Revision Request (NPRR) will publish all Current Operating Plan (COP) data after confidentiality has expired.  [Citigroup]</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57AE3" w:rsidRDefault="00857AE3" w:rsidP="00126220">
            <w:pPr>
              <w:jc w:val="center"/>
              <w:rPr>
                <w:sz w:val="20"/>
                <w:szCs w:val="20"/>
              </w:rPr>
            </w:pPr>
            <w:r>
              <w:rPr>
                <w:sz w:val="20"/>
                <w:szCs w:val="20"/>
              </w:rPr>
              <w:t>N</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57AE3" w:rsidRPr="00081CF8" w:rsidRDefault="00857AE3" w:rsidP="00126220">
            <w:pPr>
              <w:rPr>
                <w:sz w:val="20"/>
                <w:szCs w:val="20"/>
              </w:rPr>
            </w:pPr>
            <w:r w:rsidRPr="00081CF8">
              <w:rPr>
                <w:sz w:val="20"/>
                <w:szCs w:val="20"/>
              </w:rPr>
              <w:t>ERCOT supports approval of NPRR858 as it improves transparency for the ERCOT market</w:t>
            </w:r>
          </w:p>
        </w:tc>
      </w:tr>
      <w:tr w:rsidR="00857AE3" w:rsidTr="00857AE3">
        <w:trPr>
          <w:trHeight w:val="1232"/>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b/>
                <w:bCs/>
                <w:sz w:val="20"/>
                <w:szCs w:val="20"/>
              </w:rPr>
            </w:pPr>
            <w:r>
              <w:rPr>
                <w:b/>
                <w:bCs/>
                <w:sz w:val="20"/>
                <w:szCs w:val="20"/>
              </w:rPr>
              <w:t>864NPRR</w:t>
            </w:r>
          </w:p>
        </w:tc>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b/>
                <w:bCs/>
                <w:sz w:val="20"/>
                <w:szCs w:val="20"/>
              </w:rPr>
            </w:pPr>
            <w:r>
              <w:rPr>
                <w:b/>
                <w:bCs/>
                <w:sz w:val="20"/>
                <w:szCs w:val="20"/>
              </w:rPr>
              <w:t xml:space="preserve">RUC Modifications to Consider Market-Based Solutions.  </w:t>
            </w:r>
            <w:r w:rsidRPr="00EC28D4">
              <w:rPr>
                <w:sz w:val="20"/>
                <w:szCs w:val="20"/>
              </w:rPr>
              <w:t xml:space="preserve">This Nodal Protocol Revision Request (NPRR) modifies the Reliability Unit Commitment (RUC) engine to scale down commitment costs of fast-start Resources (&lt;=1 </w:t>
            </w:r>
            <w:proofErr w:type="spellStart"/>
            <w:r w:rsidRPr="00EC28D4">
              <w:rPr>
                <w:sz w:val="20"/>
                <w:szCs w:val="20"/>
              </w:rPr>
              <w:t>hr</w:t>
            </w:r>
            <w:proofErr w:type="spellEnd"/>
            <w:r w:rsidRPr="00EC28D4">
              <w:rPr>
                <w:sz w:val="20"/>
                <w:szCs w:val="20"/>
              </w:rPr>
              <w:t xml:space="preserve"> starts) so that the RUC engine will recommend slow-start Resource commitments only if re-Dispatching of On-Line Resources and potential market-based self-commitments of fast-start Resources will not resolve the reliability issue.  [Shell]</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jc w:val="center"/>
              <w:rPr>
                <w:sz w:val="20"/>
                <w:szCs w:val="20"/>
              </w:rPr>
            </w:pPr>
            <w:r>
              <w:rPr>
                <w:sz w:val="20"/>
                <w:szCs w:val="20"/>
              </w:rPr>
              <w:t>N</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sz w:val="20"/>
                <w:szCs w:val="20"/>
              </w:rPr>
            </w:pPr>
            <w:r w:rsidRPr="00350E75">
              <w:rPr>
                <w:sz w:val="20"/>
                <w:szCs w:val="20"/>
              </w:rPr>
              <w:t>ERCOT supports Market Participants’ decision on NPRR864 as it should allow Market Participants additional time to make self-commitment decisions by changing the Reliability Unit Commitment (RUC) process to consider committing shorter start time Resources ahead of longer start time Resources</w:t>
            </w:r>
          </w:p>
        </w:tc>
      </w:tr>
      <w:tr w:rsidR="00857AE3" w:rsidTr="00857AE3">
        <w:trPr>
          <w:trHeight w:val="916"/>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b/>
                <w:bCs/>
                <w:sz w:val="20"/>
                <w:szCs w:val="20"/>
              </w:rPr>
            </w:pPr>
            <w:r>
              <w:rPr>
                <w:b/>
                <w:bCs/>
                <w:sz w:val="20"/>
                <w:szCs w:val="20"/>
              </w:rPr>
              <w:t>865NPRR</w:t>
            </w:r>
          </w:p>
        </w:tc>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b/>
                <w:bCs/>
                <w:sz w:val="20"/>
                <w:szCs w:val="20"/>
              </w:rPr>
            </w:pPr>
            <w:r>
              <w:rPr>
                <w:b/>
                <w:bCs/>
                <w:sz w:val="20"/>
                <w:szCs w:val="20"/>
              </w:rPr>
              <w:t xml:space="preserve">Publish RTM Shift Factors for Hubs, Load Zones, and DC Ties.  </w:t>
            </w:r>
            <w:r>
              <w:rPr>
                <w:sz w:val="20"/>
                <w:szCs w:val="20"/>
              </w:rPr>
              <w:t>This Nodal Protocol Revision Request (NPRR) requires ERCOT to publish Shift Factors for Hubs, Load Zones, and Direct Current Ties (DC) Ties for the Real-Time Market (RTM).  [DC Energy]</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jc w:val="center"/>
              <w:rPr>
                <w:sz w:val="20"/>
                <w:szCs w:val="20"/>
              </w:rPr>
            </w:pPr>
            <w:r>
              <w:rPr>
                <w:sz w:val="20"/>
                <w:szCs w:val="20"/>
              </w:rPr>
              <w:t>N</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sz w:val="20"/>
                <w:szCs w:val="20"/>
              </w:rPr>
            </w:pPr>
            <w:r w:rsidRPr="00F70F04">
              <w:rPr>
                <w:sz w:val="20"/>
                <w:szCs w:val="20"/>
              </w:rPr>
              <w:t>ERCOT supports approval of NPRR865 as it assists with achievement of the goal of additional data transparency and access</w:t>
            </w:r>
          </w:p>
        </w:tc>
      </w:tr>
      <w:tr w:rsidR="00857AE3" w:rsidTr="00857AE3">
        <w:trPr>
          <w:trHeight w:val="1232"/>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4E1337">
            <w:pPr>
              <w:rPr>
                <w:b/>
                <w:bCs/>
                <w:sz w:val="20"/>
                <w:szCs w:val="20"/>
              </w:rPr>
            </w:pPr>
            <w:r>
              <w:rPr>
                <w:b/>
                <w:bCs/>
                <w:sz w:val="20"/>
                <w:szCs w:val="20"/>
              </w:rPr>
              <w:t>868NPRR</w:t>
            </w:r>
          </w:p>
        </w:tc>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4E1337">
            <w:pPr>
              <w:rPr>
                <w:b/>
                <w:bCs/>
                <w:sz w:val="20"/>
                <w:szCs w:val="20"/>
              </w:rPr>
            </w:pPr>
            <w:r>
              <w:rPr>
                <w:b/>
                <w:bCs/>
                <w:sz w:val="20"/>
                <w:szCs w:val="20"/>
              </w:rPr>
              <w:t xml:space="preserve">As-Built Hub and Load Zone Calculation.  </w:t>
            </w:r>
            <w:r>
              <w:rPr>
                <w:sz w:val="20"/>
                <w:szCs w:val="20"/>
              </w:rPr>
              <w:t>This Nodal Protocol Revision Request (NPRR) modifies the Hub Bus and Load Zone definitions and price calculations to account for the current usage of power flow buses as opposed to Electrical Buses in the DAM and CRR Auction systems. In some cases there can be differences between power flow buses and Electrical Buses, and it is more suitable for power flow buses to be used. Real-Time currently uses Electrical Buses for the Hub and Load Zone calculations. Further, the rewritten formulas provide clarification for the scenario when buses are de-energized in contingency analysis.  [ERCOT]</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4E1337">
            <w:pPr>
              <w:jc w:val="center"/>
              <w:rPr>
                <w:sz w:val="20"/>
                <w:szCs w:val="20"/>
              </w:rPr>
            </w:pPr>
            <w:r>
              <w:rPr>
                <w:sz w:val="20"/>
                <w:szCs w:val="20"/>
              </w:rPr>
              <w:t>Y</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4E1337">
            <w:pPr>
              <w:rPr>
                <w:sz w:val="20"/>
                <w:szCs w:val="20"/>
              </w:rPr>
            </w:pPr>
            <w:r>
              <w:rPr>
                <w:sz w:val="20"/>
                <w:szCs w:val="20"/>
              </w:rPr>
              <w:t xml:space="preserve">ERCOT supports approval of NPRR868  </w:t>
            </w:r>
          </w:p>
        </w:tc>
      </w:tr>
      <w:tr w:rsidR="00857AE3" w:rsidTr="00857AE3">
        <w:trPr>
          <w:trHeight w:val="1033"/>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b/>
                <w:bCs/>
                <w:color w:val="000000"/>
                <w:sz w:val="20"/>
                <w:szCs w:val="20"/>
              </w:rPr>
            </w:pPr>
            <w:r>
              <w:rPr>
                <w:b/>
                <w:bCs/>
                <w:color w:val="000000"/>
                <w:sz w:val="20"/>
                <w:szCs w:val="20"/>
              </w:rPr>
              <w:t>793SCR</w:t>
            </w:r>
          </w:p>
        </w:tc>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b/>
                <w:bCs/>
                <w:color w:val="000000"/>
                <w:sz w:val="20"/>
                <w:szCs w:val="20"/>
              </w:rPr>
            </w:pPr>
            <w:r>
              <w:rPr>
                <w:b/>
                <w:bCs/>
                <w:color w:val="000000"/>
                <w:sz w:val="20"/>
                <w:szCs w:val="20"/>
              </w:rPr>
              <w:t xml:space="preserve">SSR Related Telemetry for Transmission Service Provider (TSP) Operators. </w:t>
            </w:r>
            <w:r>
              <w:rPr>
                <w:color w:val="000000"/>
                <w:sz w:val="20"/>
                <w:szCs w:val="20"/>
              </w:rPr>
              <w:t xml:space="preserve"> This System Change Request (SCR) is intended to provide situational awareness of </w:t>
            </w:r>
            <w:proofErr w:type="spellStart"/>
            <w:r>
              <w:rPr>
                <w:color w:val="000000"/>
                <w:sz w:val="20"/>
                <w:szCs w:val="20"/>
              </w:rPr>
              <w:t>Subsynchronous</w:t>
            </w:r>
            <w:proofErr w:type="spellEnd"/>
            <w:r>
              <w:rPr>
                <w:color w:val="000000"/>
                <w:sz w:val="20"/>
                <w:szCs w:val="20"/>
              </w:rPr>
              <w:t xml:space="preserve"> Resonance (SSR) precursor conditions.  [Cross Texas Transmission]</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jc w:val="center"/>
              <w:rPr>
                <w:sz w:val="20"/>
                <w:szCs w:val="20"/>
              </w:rPr>
            </w:pPr>
            <w:r>
              <w:rPr>
                <w:sz w:val="20"/>
                <w:szCs w:val="20"/>
              </w:rPr>
              <w:t>N</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sz w:val="20"/>
                <w:szCs w:val="20"/>
              </w:rPr>
            </w:pPr>
            <w:r w:rsidRPr="00F70F04">
              <w:rPr>
                <w:sz w:val="20"/>
                <w:szCs w:val="20"/>
              </w:rPr>
              <w:t xml:space="preserve">ERCOT supports approval of SCR793 as it provides transparency into the Real-Time status of series compensation for facilities associated with </w:t>
            </w:r>
            <w:proofErr w:type="spellStart"/>
            <w:r w:rsidRPr="00F70F04">
              <w:rPr>
                <w:sz w:val="20"/>
                <w:szCs w:val="20"/>
              </w:rPr>
              <w:t>S</w:t>
            </w:r>
            <w:r>
              <w:rPr>
                <w:sz w:val="20"/>
                <w:szCs w:val="20"/>
              </w:rPr>
              <w:t>ubsynchronous</w:t>
            </w:r>
            <w:proofErr w:type="spellEnd"/>
            <w:r>
              <w:rPr>
                <w:sz w:val="20"/>
                <w:szCs w:val="20"/>
              </w:rPr>
              <w:t xml:space="preserve"> Oscillation (SSO)</w:t>
            </w:r>
          </w:p>
        </w:tc>
      </w:tr>
      <w:tr w:rsidR="00857AE3" w:rsidTr="00857AE3">
        <w:trPr>
          <w:trHeight w:val="1232"/>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b/>
                <w:bCs/>
                <w:sz w:val="20"/>
                <w:szCs w:val="20"/>
              </w:rPr>
            </w:pPr>
            <w:r>
              <w:rPr>
                <w:b/>
                <w:bCs/>
                <w:sz w:val="20"/>
                <w:szCs w:val="20"/>
              </w:rPr>
              <w:t>795SCR</w:t>
            </w:r>
          </w:p>
        </w:tc>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b/>
                <w:bCs/>
                <w:sz w:val="20"/>
                <w:szCs w:val="20"/>
              </w:rPr>
            </w:pPr>
            <w:r>
              <w:rPr>
                <w:b/>
                <w:bCs/>
                <w:sz w:val="20"/>
                <w:szCs w:val="20"/>
              </w:rPr>
              <w:t xml:space="preserve">Addition of Intra-Hour Wind Forecast to GTBD Calculation.  </w:t>
            </w:r>
            <w:r>
              <w:rPr>
                <w:sz w:val="20"/>
                <w:szCs w:val="20"/>
              </w:rPr>
              <w:t>This System Change Request (SCR) updates the formula used by the Resource Limit Calculator to calculate the Generation To Be Dispatched (GTBD) value to include the addition of a predicted 5-minute wind ramp (PWRR).  [ERCOT]</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jc w:val="center"/>
              <w:rPr>
                <w:sz w:val="20"/>
                <w:szCs w:val="20"/>
              </w:rPr>
            </w:pPr>
            <w:r>
              <w:rPr>
                <w:sz w:val="20"/>
                <w:szCs w:val="20"/>
              </w:rPr>
              <w:t>N</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sz w:val="20"/>
                <w:szCs w:val="20"/>
              </w:rPr>
            </w:pPr>
            <w:r>
              <w:rPr>
                <w:sz w:val="20"/>
                <w:szCs w:val="20"/>
              </w:rPr>
              <w:t xml:space="preserve">ERCOT supports approval of SCR795  </w:t>
            </w:r>
          </w:p>
        </w:tc>
      </w:tr>
      <w:tr w:rsidR="00857AE3" w:rsidTr="00857AE3">
        <w:trPr>
          <w:trHeight w:val="1232"/>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b/>
                <w:bCs/>
                <w:sz w:val="20"/>
                <w:szCs w:val="20"/>
              </w:rPr>
            </w:pPr>
            <w:r>
              <w:rPr>
                <w:b/>
                <w:bCs/>
                <w:sz w:val="20"/>
                <w:szCs w:val="20"/>
              </w:rPr>
              <w:lastRenderedPageBreak/>
              <w:t>002OBDRR</w:t>
            </w:r>
          </w:p>
        </w:tc>
        <w:tc>
          <w:tcPr>
            <w:tcW w:w="63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rPr>
                <w:b/>
                <w:bCs/>
                <w:sz w:val="20"/>
                <w:szCs w:val="20"/>
              </w:rPr>
            </w:pPr>
            <w:r w:rsidRPr="00A865ED">
              <w:rPr>
                <w:b/>
                <w:bCs/>
                <w:sz w:val="20"/>
                <w:szCs w:val="20"/>
              </w:rPr>
              <w:t>ORDC OBD Revisions for PUCT Project 47199.</w:t>
            </w:r>
            <w:r w:rsidRPr="00A865ED">
              <w:rPr>
                <w:bCs/>
                <w:sz w:val="20"/>
                <w:szCs w:val="20"/>
              </w:rPr>
              <w:t xml:space="preserve">  This Other Binding Document Revision Request (OBDRR) revises the On-Line and Off-Line capacity reserves for Resources On-Line during a Reliability Unit Commitment (RUC) instruction.  [ERCOT]</w:t>
            </w:r>
          </w:p>
        </w:tc>
        <w:tc>
          <w:tcPr>
            <w:tcW w:w="9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126220">
            <w:pPr>
              <w:jc w:val="center"/>
              <w:rPr>
                <w:sz w:val="20"/>
                <w:szCs w:val="20"/>
              </w:rPr>
            </w:pPr>
            <w:r>
              <w:rPr>
                <w:sz w:val="20"/>
                <w:szCs w:val="20"/>
              </w:rPr>
              <w:t>N</w:t>
            </w:r>
          </w:p>
        </w:tc>
        <w:tc>
          <w:tcPr>
            <w:tcW w:w="4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57AE3" w:rsidRDefault="00857AE3" w:rsidP="00A865ED">
            <w:pPr>
              <w:rPr>
                <w:sz w:val="20"/>
                <w:szCs w:val="20"/>
              </w:rPr>
            </w:pPr>
            <w:r>
              <w:rPr>
                <w:sz w:val="20"/>
                <w:szCs w:val="20"/>
              </w:rPr>
              <w:t xml:space="preserve">ERCOT supports approval of OBDRR002 </w:t>
            </w:r>
          </w:p>
        </w:tc>
      </w:tr>
    </w:tbl>
    <w:p w:rsidR="00E6398C" w:rsidRDefault="00E6398C" w:rsidP="00E6398C"/>
    <w:sectPr w:rsidR="00E6398C" w:rsidSect="000E52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ED"/>
    <w:rsid w:val="00081CF8"/>
    <w:rsid w:val="00085C68"/>
    <w:rsid w:val="000D407D"/>
    <w:rsid w:val="000E5254"/>
    <w:rsid w:val="00122FE5"/>
    <w:rsid w:val="00126220"/>
    <w:rsid w:val="001459C2"/>
    <w:rsid w:val="001679CC"/>
    <w:rsid w:val="001869C5"/>
    <w:rsid w:val="00212337"/>
    <w:rsid w:val="00261439"/>
    <w:rsid w:val="0026577A"/>
    <w:rsid w:val="00330EE9"/>
    <w:rsid w:val="003465FA"/>
    <w:rsid w:val="00350E75"/>
    <w:rsid w:val="003A5C8F"/>
    <w:rsid w:val="004E1337"/>
    <w:rsid w:val="004E1797"/>
    <w:rsid w:val="004F7AC5"/>
    <w:rsid w:val="00534B2C"/>
    <w:rsid w:val="00574CA2"/>
    <w:rsid w:val="00595DDA"/>
    <w:rsid w:val="0059657A"/>
    <w:rsid w:val="005C04D8"/>
    <w:rsid w:val="005C5781"/>
    <w:rsid w:val="005E2D72"/>
    <w:rsid w:val="00600D15"/>
    <w:rsid w:val="00636CD0"/>
    <w:rsid w:val="00644489"/>
    <w:rsid w:val="006F07ED"/>
    <w:rsid w:val="00701C9F"/>
    <w:rsid w:val="007166FD"/>
    <w:rsid w:val="0072638C"/>
    <w:rsid w:val="00741C40"/>
    <w:rsid w:val="007A3795"/>
    <w:rsid w:val="007B577D"/>
    <w:rsid w:val="007D0FE5"/>
    <w:rsid w:val="008570CC"/>
    <w:rsid w:val="00857AE3"/>
    <w:rsid w:val="008665BC"/>
    <w:rsid w:val="00884875"/>
    <w:rsid w:val="0089096A"/>
    <w:rsid w:val="008B717C"/>
    <w:rsid w:val="0090087E"/>
    <w:rsid w:val="00927F68"/>
    <w:rsid w:val="00940259"/>
    <w:rsid w:val="00975D55"/>
    <w:rsid w:val="009B6F06"/>
    <w:rsid w:val="00A05917"/>
    <w:rsid w:val="00A229C2"/>
    <w:rsid w:val="00A72CF7"/>
    <w:rsid w:val="00A865ED"/>
    <w:rsid w:val="00B54E3C"/>
    <w:rsid w:val="00B56045"/>
    <w:rsid w:val="00B85C63"/>
    <w:rsid w:val="00B900D9"/>
    <w:rsid w:val="00C4464C"/>
    <w:rsid w:val="00C96FA7"/>
    <w:rsid w:val="00CF5A32"/>
    <w:rsid w:val="00D07151"/>
    <w:rsid w:val="00D80F8C"/>
    <w:rsid w:val="00DA5381"/>
    <w:rsid w:val="00E36051"/>
    <w:rsid w:val="00E6398C"/>
    <w:rsid w:val="00EC28D4"/>
    <w:rsid w:val="00F03C26"/>
    <w:rsid w:val="00F20886"/>
    <w:rsid w:val="00F22A8A"/>
    <w:rsid w:val="00F70F04"/>
    <w:rsid w:val="00F9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545AD-8A0A-464E-BED2-39AC7DB5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9133">
      <w:bodyDiv w:val="1"/>
      <w:marLeft w:val="0"/>
      <w:marRight w:val="0"/>
      <w:marTop w:val="0"/>
      <w:marBottom w:val="0"/>
      <w:divBdr>
        <w:top w:val="none" w:sz="0" w:space="0" w:color="auto"/>
        <w:left w:val="none" w:sz="0" w:space="0" w:color="auto"/>
        <w:bottom w:val="none" w:sz="0" w:space="0" w:color="auto"/>
        <w:right w:val="none" w:sz="0" w:space="0" w:color="auto"/>
      </w:divBdr>
    </w:div>
    <w:div w:id="466628175">
      <w:bodyDiv w:val="1"/>
      <w:marLeft w:val="0"/>
      <w:marRight w:val="0"/>
      <w:marTop w:val="0"/>
      <w:marBottom w:val="0"/>
      <w:divBdr>
        <w:top w:val="none" w:sz="0" w:space="0" w:color="auto"/>
        <w:left w:val="none" w:sz="0" w:space="0" w:color="auto"/>
        <w:bottom w:val="none" w:sz="0" w:space="0" w:color="auto"/>
        <w:right w:val="none" w:sz="0" w:space="0" w:color="auto"/>
      </w:divBdr>
    </w:div>
    <w:div w:id="659235382">
      <w:bodyDiv w:val="1"/>
      <w:marLeft w:val="0"/>
      <w:marRight w:val="0"/>
      <w:marTop w:val="0"/>
      <w:marBottom w:val="0"/>
      <w:divBdr>
        <w:top w:val="none" w:sz="0" w:space="0" w:color="auto"/>
        <w:left w:val="none" w:sz="0" w:space="0" w:color="auto"/>
        <w:bottom w:val="none" w:sz="0" w:space="0" w:color="auto"/>
        <w:right w:val="none" w:sz="0" w:space="0" w:color="auto"/>
      </w:divBdr>
    </w:div>
    <w:div w:id="682517671">
      <w:bodyDiv w:val="1"/>
      <w:marLeft w:val="0"/>
      <w:marRight w:val="0"/>
      <w:marTop w:val="0"/>
      <w:marBottom w:val="0"/>
      <w:divBdr>
        <w:top w:val="none" w:sz="0" w:space="0" w:color="auto"/>
        <w:left w:val="none" w:sz="0" w:space="0" w:color="auto"/>
        <w:bottom w:val="none" w:sz="0" w:space="0" w:color="auto"/>
        <w:right w:val="none" w:sz="0" w:space="0" w:color="auto"/>
      </w:divBdr>
    </w:div>
    <w:div w:id="689794419">
      <w:bodyDiv w:val="1"/>
      <w:marLeft w:val="0"/>
      <w:marRight w:val="0"/>
      <w:marTop w:val="0"/>
      <w:marBottom w:val="0"/>
      <w:divBdr>
        <w:top w:val="none" w:sz="0" w:space="0" w:color="auto"/>
        <w:left w:val="none" w:sz="0" w:space="0" w:color="auto"/>
        <w:bottom w:val="none" w:sz="0" w:space="0" w:color="auto"/>
        <w:right w:val="none" w:sz="0" w:space="0" w:color="auto"/>
      </w:divBdr>
    </w:div>
    <w:div w:id="802192681">
      <w:bodyDiv w:val="1"/>
      <w:marLeft w:val="0"/>
      <w:marRight w:val="0"/>
      <w:marTop w:val="0"/>
      <w:marBottom w:val="0"/>
      <w:divBdr>
        <w:top w:val="none" w:sz="0" w:space="0" w:color="auto"/>
        <w:left w:val="none" w:sz="0" w:space="0" w:color="auto"/>
        <w:bottom w:val="none" w:sz="0" w:space="0" w:color="auto"/>
        <w:right w:val="none" w:sz="0" w:space="0" w:color="auto"/>
      </w:divBdr>
    </w:div>
    <w:div w:id="822938880">
      <w:bodyDiv w:val="1"/>
      <w:marLeft w:val="0"/>
      <w:marRight w:val="0"/>
      <w:marTop w:val="0"/>
      <w:marBottom w:val="0"/>
      <w:divBdr>
        <w:top w:val="none" w:sz="0" w:space="0" w:color="auto"/>
        <w:left w:val="none" w:sz="0" w:space="0" w:color="auto"/>
        <w:bottom w:val="none" w:sz="0" w:space="0" w:color="auto"/>
        <w:right w:val="none" w:sz="0" w:space="0" w:color="auto"/>
      </w:divBdr>
    </w:div>
    <w:div w:id="852765875">
      <w:bodyDiv w:val="1"/>
      <w:marLeft w:val="0"/>
      <w:marRight w:val="0"/>
      <w:marTop w:val="0"/>
      <w:marBottom w:val="0"/>
      <w:divBdr>
        <w:top w:val="none" w:sz="0" w:space="0" w:color="auto"/>
        <w:left w:val="none" w:sz="0" w:space="0" w:color="auto"/>
        <w:bottom w:val="none" w:sz="0" w:space="0" w:color="auto"/>
        <w:right w:val="none" w:sz="0" w:space="0" w:color="auto"/>
      </w:divBdr>
    </w:div>
    <w:div w:id="972565993">
      <w:bodyDiv w:val="1"/>
      <w:marLeft w:val="0"/>
      <w:marRight w:val="0"/>
      <w:marTop w:val="0"/>
      <w:marBottom w:val="0"/>
      <w:divBdr>
        <w:top w:val="none" w:sz="0" w:space="0" w:color="auto"/>
        <w:left w:val="none" w:sz="0" w:space="0" w:color="auto"/>
        <w:bottom w:val="none" w:sz="0" w:space="0" w:color="auto"/>
        <w:right w:val="none" w:sz="0" w:space="0" w:color="auto"/>
      </w:divBdr>
    </w:div>
    <w:div w:id="1122963641">
      <w:bodyDiv w:val="1"/>
      <w:marLeft w:val="0"/>
      <w:marRight w:val="0"/>
      <w:marTop w:val="0"/>
      <w:marBottom w:val="0"/>
      <w:divBdr>
        <w:top w:val="none" w:sz="0" w:space="0" w:color="auto"/>
        <w:left w:val="none" w:sz="0" w:space="0" w:color="auto"/>
        <w:bottom w:val="none" w:sz="0" w:space="0" w:color="auto"/>
        <w:right w:val="none" w:sz="0" w:space="0" w:color="auto"/>
      </w:divBdr>
    </w:div>
    <w:div w:id="1192500527">
      <w:bodyDiv w:val="1"/>
      <w:marLeft w:val="0"/>
      <w:marRight w:val="0"/>
      <w:marTop w:val="0"/>
      <w:marBottom w:val="0"/>
      <w:divBdr>
        <w:top w:val="none" w:sz="0" w:space="0" w:color="auto"/>
        <w:left w:val="none" w:sz="0" w:space="0" w:color="auto"/>
        <w:bottom w:val="none" w:sz="0" w:space="0" w:color="auto"/>
        <w:right w:val="none" w:sz="0" w:space="0" w:color="auto"/>
      </w:divBdr>
    </w:div>
    <w:div w:id="1200364075">
      <w:bodyDiv w:val="1"/>
      <w:marLeft w:val="0"/>
      <w:marRight w:val="0"/>
      <w:marTop w:val="0"/>
      <w:marBottom w:val="0"/>
      <w:divBdr>
        <w:top w:val="none" w:sz="0" w:space="0" w:color="auto"/>
        <w:left w:val="none" w:sz="0" w:space="0" w:color="auto"/>
        <w:bottom w:val="none" w:sz="0" w:space="0" w:color="auto"/>
        <w:right w:val="none" w:sz="0" w:space="0" w:color="auto"/>
      </w:divBdr>
    </w:div>
    <w:div w:id="1216813204">
      <w:bodyDiv w:val="1"/>
      <w:marLeft w:val="0"/>
      <w:marRight w:val="0"/>
      <w:marTop w:val="0"/>
      <w:marBottom w:val="0"/>
      <w:divBdr>
        <w:top w:val="none" w:sz="0" w:space="0" w:color="auto"/>
        <w:left w:val="none" w:sz="0" w:space="0" w:color="auto"/>
        <w:bottom w:val="none" w:sz="0" w:space="0" w:color="auto"/>
        <w:right w:val="none" w:sz="0" w:space="0" w:color="auto"/>
      </w:divBdr>
    </w:div>
    <w:div w:id="1364211242">
      <w:bodyDiv w:val="1"/>
      <w:marLeft w:val="0"/>
      <w:marRight w:val="0"/>
      <w:marTop w:val="0"/>
      <w:marBottom w:val="0"/>
      <w:divBdr>
        <w:top w:val="none" w:sz="0" w:space="0" w:color="auto"/>
        <w:left w:val="none" w:sz="0" w:space="0" w:color="auto"/>
        <w:bottom w:val="none" w:sz="0" w:space="0" w:color="auto"/>
        <w:right w:val="none" w:sz="0" w:space="0" w:color="auto"/>
      </w:divBdr>
    </w:div>
    <w:div w:id="1432553065">
      <w:bodyDiv w:val="1"/>
      <w:marLeft w:val="0"/>
      <w:marRight w:val="0"/>
      <w:marTop w:val="0"/>
      <w:marBottom w:val="0"/>
      <w:divBdr>
        <w:top w:val="none" w:sz="0" w:space="0" w:color="auto"/>
        <w:left w:val="none" w:sz="0" w:space="0" w:color="auto"/>
        <w:bottom w:val="none" w:sz="0" w:space="0" w:color="auto"/>
        <w:right w:val="none" w:sz="0" w:space="0" w:color="auto"/>
      </w:divBdr>
    </w:div>
    <w:div w:id="1762070784">
      <w:bodyDiv w:val="1"/>
      <w:marLeft w:val="0"/>
      <w:marRight w:val="0"/>
      <w:marTop w:val="0"/>
      <w:marBottom w:val="0"/>
      <w:divBdr>
        <w:top w:val="none" w:sz="0" w:space="0" w:color="auto"/>
        <w:left w:val="none" w:sz="0" w:space="0" w:color="auto"/>
        <w:bottom w:val="none" w:sz="0" w:space="0" w:color="auto"/>
        <w:right w:val="none" w:sz="0" w:space="0" w:color="auto"/>
      </w:divBdr>
    </w:div>
    <w:div w:id="1889222018">
      <w:bodyDiv w:val="1"/>
      <w:marLeft w:val="0"/>
      <w:marRight w:val="0"/>
      <w:marTop w:val="0"/>
      <w:marBottom w:val="0"/>
      <w:divBdr>
        <w:top w:val="none" w:sz="0" w:space="0" w:color="auto"/>
        <w:left w:val="none" w:sz="0" w:space="0" w:color="auto"/>
        <w:bottom w:val="none" w:sz="0" w:space="0" w:color="auto"/>
        <w:right w:val="none" w:sz="0" w:space="0" w:color="auto"/>
      </w:divBdr>
    </w:div>
    <w:div w:id="1922254051">
      <w:bodyDiv w:val="1"/>
      <w:marLeft w:val="0"/>
      <w:marRight w:val="0"/>
      <w:marTop w:val="0"/>
      <w:marBottom w:val="0"/>
      <w:divBdr>
        <w:top w:val="none" w:sz="0" w:space="0" w:color="auto"/>
        <w:left w:val="none" w:sz="0" w:space="0" w:color="auto"/>
        <w:bottom w:val="none" w:sz="0" w:space="0" w:color="auto"/>
        <w:right w:val="none" w:sz="0" w:space="0" w:color="auto"/>
      </w:divBdr>
    </w:div>
    <w:div w:id="21351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A. Boren</cp:lastModifiedBy>
  <cp:revision>2</cp:revision>
  <dcterms:created xsi:type="dcterms:W3CDTF">2018-03-21T19:38:00Z</dcterms:created>
  <dcterms:modified xsi:type="dcterms:W3CDTF">2018-03-21T19:38:00Z</dcterms:modified>
</cp:coreProperties>
</file>