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B34" w:rsidRPr="003022D5" w:rsidRDefault="00070B34" w:rsidP="00070B34">
      <w:pPr>
        <w:jc w:val="center"/>
        <w:rPr>
          <w:b/>
          <w:sz w:val="28"/>
          <w:szCs w:val="28"/>
          <w:lang w:val="en"/>
        </w:rPr>
      </w:pPr>
      <w:r w:rsidRPr="003022D5">
        <w:rPr>
          <w:b/>
          <w:sz w:val="28"/>
          <w:szCs w:val="28"/>
          <w:lang w:val="en"/>
        </w:rPr>
        <w:t>CMWG Charter</w:t>
      </w:r>
    </w:p>
    <w:p w:rsidR="009455CE" w:rsidRPr="003022D5" w:rsidRDefault="00070B34">
      <w:pPr>
        <w:rPr>
          <w:sz w:val="28"/>
          <w:szCs w:val="28"/>
        </w:rPr>
      </w:pPr>
      <w:r w:rsidRPr="003022D5">
        <w:rPr>
          <w:sz w:val="28"/>
          <w:szCs w:val="28"/>
          <w:lang w:val="en"/>
        </w:rPr>
        <w:t>The Congestion Management Working Group (CMWG) is charged through the Wholesale Market Subcommittee (WMS) with reviewing issues related to transmission congestion within ERCOT. The CMWG reviews proposals for congestion zones and commercially significant constraints (CSCs) annually and recommends the zone and CSC configuration to the WMS. The CMWG is also charged with reviewing other congestion issues within ERCOT as they affect congestion management. </w:t>
      </w:r>
      <w:bookmarkStart w:id="0" w:name="_GoBack"/>
      <w:bookmarkEnd w:id="0"/>
    </w:p>
    <w:sectPr w:rsidR="009455CE" w:rsidRPr="00302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34"/>
    <w:rsid w:val="00070B34"/>
    <w:rsid w:val="003022D5"/>
    <w:rsid w:val="00421BD0"/>
    <w:rsid w:val="005C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EEE2B-08B2-4C3C-ABC1-4CF909BA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2</cp:revision>
  <dcterms:created xsi:type="dcterms:W3CDTF">2018-03-06T23:53:00Z</dcterms:created>
  <dcterms:modified xsi:type="dcterms:W3CDTF">2018-03-07T14:43:00Z</dcterms:modified>
</cp:coreProperties>
</file>