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36D09" w14:textId="77777777" w:rsidR="001A4C83" w:rsidRPr="006270C7" w:rsidRDefault="00830C33" w:rsidP="008B7415">
      <w:pPr>
        <w:spacing w:line="360" w:lineRule="auto"/>
        <w:jc w:val="both"/>
        <w:rPr>
          <w:rFonts w:ascii="Arial" w:hAnsi="Arial" w:cs="Arial"/>
          <w:color w:val="000000"/>
        </w:rPr>
      </w:pPr>
      <w:bookmarkStart w:id="0" w:name="_GoBack"/>
      <w:bookmarkEnd w:id="0"/>
      <w:r w:rsidRPr="006270C7">
        <w:rPr>
          <w:rFonts w:ascii="Arial" w:hAnsi="Arial" w:cs="Arial"/>
          <w:color w:val="000000"/>
        </w:rPr>
        <w:t>T</w:t>
      </w:r>
      <w:r w:rsidR="001A4C83" w:rsidRPr="006270C7">
        <w:rPr>
          <w:rFonts w:ascii="Arial" w:hAnsi="Arial" w:cs="Arial"/>
          <w:color w:val="000000"/>
        </w:rPr>
        <w:t>o:</w:t>
      </w:r>
      <w:r w:rsidR="001A4C83" w:rsidRPr="006270C7">
        <w:rPr>
          <w:rFonts w:ascii="Arial" w:hAnsi="Arial" w:cs="Arial"/>
          <w:color w:val="000000"/>
        </w:rPr>
        <w:tab/>
      </w:r>
      <w:r w:rsidR="001A4C83" w:rsidRPr="006270C7">
        <w:rPr>
          <w:rFonts w:ascii="Arial" w:hAnsi="Arial" w:cs="Arial"/>
          <w:color w:val="000000"/>
        </w:rPr>
        <w:tab/>
      </w:r>
      <w:r w:rsidR="00354488">
        <w:rPr>
          <w:rFonts w:ascii="Arial" w:hAnsi="Arial" w:cs="Arial"/>
          <w:color w:val="000000"/>
        </w:rPr>
        <w:t>Technical Advisory</w:t>
      </w:r>
      <w:r w:rsidR="00D65652" w:rsidRPr="006270C7">
        <w:rPr>
          <w:rFonts w:ascii="Arial" w:hAnsi="Arial" w:cs="Arial"/>
          <w:color w:val="000000"/>
        </w:rPr>
        <w:t xml:space="preserve"> </w:t>
      </w:r>
      <w:r w:rsidR="00FC4D37" w:rsidRPr="006270C7">
        <w:rPr>
          <w:rFonts w:ascii="Arial" w:hAnsi="Arial" w:cs="Arial"/>
          <w:color w:val="000000"/>
        </w:rPr>
        <w:t>Committee</w:t>
      </w:r>
      <w:r w:rsidR="00354488">
        <w:rPr>
          <w:rFonts w:ascii="Arial" w:hAnsi="Arial" w:cs="Arial"/>
          <w:color w:val="000000"/>
        </w:rPr>
        <w:t xml:space="preserve"> (TAC)</w:t>
      </w:r>
    </w:p>
    <w:p w14:paraId="6D4AFC36" w14:textId="77777777" w:rsidR="00887F56" w:rsidRPr="006270C7" w:rsidRDefault="001A4C83" w:rsidP="00854D2F">
      <w:pPr>
        <w:spacing w:after="120"/>
        <w:ind w:left="1440" w:hanging="1440"/>
        <w:rPr>
          <w:rFonts w:ascii="Arial" w:hAnsi="Arial" w:cs="Arial"/>
          <w:color w:val="000000"/>
        </w:rPr>
      </w:pPr>
      <w:r w:rsidRPr="006270C7">
        <w:rPr>
          <w:rFonts w:ascii="Arial" w:hAnsi="Arial" w:cs="Arial"/>
          <w:color w:val="000000"/>
        </w:rPr>
        <w:t>From:</w:t>
      </w:r>
      <w:r w:rsidRPr="006270C7">
        <w:rPr>
          <w:rFonts w:ascii="Arial" w:hAnsi="Arial" w:cs="Arial"/>
          <w:color w:val="000000"/>
        </w:rPr>
        <w:tab/>
      </w:r>
      <w:r w:rsidR="00854D2F" w:rsidRPr="00854D2F">
        <w:rPr>
          <w:rFonts w:ascii="Arial" w:hAnsi="Arial" w:cs="Arial"/>
          <w:color w:val="000000"/>
        </w:rPr>
        <w:t xml:space="preserve">Chad V. Seely, Vice President, General Counsel and Corporate Secretary </w:t>
      </w:r>
      <w:r w:rsidR="00854D2F">
        <w:rPr>
          <w:rFonts w:ascii="Arial" w:hAnsi="Arial" w:cs="Arial"/>
          <w:color w:val="000000"/>
        </w:rPr>
        <w:br/>
      </w:r>
      <w:r w:rsidR="00854D2F" w:rsidRPr="00854D2F">
        <w:rPr>
          <w:rFonts w:ascii="Arial" w:hAnsi="Arial" w:cs="Arial"/>
          <w:color w:val="000000"/>
        </w:rPr>
        <w:t>Vickie Leady, Assistant General Counsel and Assistant Corporate Secretary</w:t>
      </w:r>
      <w:r w:rsidR="00854D2F">
        <w:rPr>
          <w:rFonts w:ascii="Arial" w:hAnsi="Arial" w:cs="Arial"/>
          <w:color w:val="000000"/>
        </w:rPr>
        <w:br/>
      </w:r>
      <w:r w:rsidR="00854D2F" w:rsidRPr="00854D2F">
        <w:rPr>
          <w:rFonts w:ascii="Arial" w:hAnsi="Arial" w:cs="Arial"/>
          <w:color w:val="000000"/>
        </w:rPr>
        <w:t>Jonathan Levine, Senior Corporate Counsel</w:t>
      </w:r>
    </w:p>
    <w:p w14:paraId="70BA8CE4" w14:textId="23CACD61" w:rsidR="001A4C83" w:rsidRPr="006270C7" w:rsidRDefault="001A4C83" w:rsidP="008B7415">
      <w:pPr>
        <w:spacing w:line="360" w:lineRule="auto"/>
        <w:jc w:val="both"/>
        <w:rPr>
          <w:rFonts w:ascii="Arial" w:hAnsi="Arial" w:cs="Arial"/>
          <w:color w:val="000000"/>
        </w:rPr>
      </w:pPr>
      <w:r w:rsidRPr="006270C7">
        <w:rPr>
          <w:rFonts w:ascii="Arial" w:hAnsi="Arial" w:cs="Arial"/>
          <w:color w:val="000000"/>
        </w:rPr>
        <w:t>Date:</w:t>
      </w:r>
      <w:r w:rsidRPr="006270C7">
        <w:rPr>
          <w:rFonts w:ascii="Arial" w:hAnsi="Arial" w:cs="Arial"/>
          <w:color w:val="000000"/>
        </w:rPr>
        <w:tab/>
      </w:r>
      <w:r w:rsidRPr="006270C7">
        <w:rPr>
          <w:rFonts w:ascii="Arial" w:hAnsi="Arial" w:cs="Arial"/>
          <w:color w:val="000000"/>
        </w:rPr>
        <w:tab/>
      </w:r>
      <w:r w:rsidR="0034556B">
        <w:rPr>
          <w:rFonts w:ascii="Arial" w:hAnsi="Arial" w:cs="Arial"/>
          <w:color w:val="000000"/>
        </w:rPr>
        <w:t>Febr</w:t>
      </w:r>
      <w:r w:rsidR="00854D2F">
        <w:rPr>
          <w:rFonts w:ascii="Arial" w:hAnsi="Arial" w:cs="Arial"/>
          <w:color w:val="000000"/>
        </w:rPr>
        <w:t xml:space="preserve">uary </w:t>
      </w:r>
      <w:r w:rsidR="00CE3317">
        <w:rPr>
          <w:rFonts w:ascii="Arial" w:hAnsi="Arial" w:cs="Arial"/>
          <w:color w:val="000000"/>
        </w:rPr>
        <w:t>15</w:t>
      </w:r>
      <w:r w:rsidR="00854D2F">
        <w:rPr>
          <w:rFonts w:ascii="Arial" w:hAnsi="Arial" w:cs="Arial"/>
          <w:color w:val="000000"/>
        </w:rPr>
        <w:t>, 2018</w:t>
      </w:r>
    </w:p>
    <w:p w14:paraId="3FBBE89C" w14:textId="77777777" w:rsidR="001A4C83" w:rsidRPr="006270C7" w:rsidRDefault="001A4C83" w:rsidP="00C6675E">
      <w:pPr>
        <w:spacing w:after="120"/>
        <w:ind w:left="1440" w:hanging="1440"/>
        <w:rPr>
          <w:rFonts w:ascii="Arial" w:hAnsi="Arial" w:cs="Arial"/>
          <w:color w:val="000000"/>
        </w:rPr>
      </w:pPr>
      <w:r w:rsidRPr="006270C7">
        <w:rPr>
          <w:rFonts w:ascii="Arial" w:hAnsi="Arial" w:cs="Arial"/>
          <w:color w:val="000000"/>
        </w:rPr>
        <w:t xml:space="preserve">Re:  </w:t>
      </w:r>
      <w:r w:rsidRPr="006270C7">
        <w:rPr>
          <w:rFonts w:ascii="Arial" w:hAnsi="Arial" w:cs="Arial"/>
          <w:color w:val="000000"/>
        </w:rPr>
        <w:tab/>
      </w:r>
      <w:r w:rsidR="00FC5AC7" w:rsidRPr="00E60CF6">
        <w:rPr>
          <w:rFonts w:ascii="Arial" w:hAnsi="Arial" w:cs="Arial"/>
        </w:rPr>
        <w:t>Proposed Amendments for ERCOT Bylaws</w:t>
      </w:r>
      <w:r w:rsidR="00C6675E">
        <w:rPr>
          <w:rFonts w:ascii="Arial" w:hAnsi="Arial" w:cs="Arial"/>
        </w:rPr>
        <w:t xml:space="preserve">: </w:t>
      </w:r>
      <w:r w:rsidR="00C6675E" w:rsidRPr="00C6675E">
        <w:rPr>
          <w:rFonts w:ascii="Arial" w:hAnsi="Arial" w:cs="Arial"/>
        </w:rPr>
        <w:t>Proposed Amendments to Segment Definitions for Southern Cross Transmission LLC (SCT)</w:t>
      </w:r>
    </w:p>
    <w:p w14:paraId="26D78429" w14:textId="77777777" w:rsidR="001A4C83" w:rsidRPr="006270C7" w:rsidRDefault="009A60DA" w:rsidP="005635E4">
      <w:pPr>
        <w:pBdr>
          <w:bottom w:val="single" w:sz="12" w:space="1" w:color="auto"/>
        </w:pBdr>
        <w:jc w:val="both"/>
        <w:rPr>
          <w:rFonts w:ascii="Arial" w:hAnsi="Arial" w:cs="Arial"/>
          <w:color w:val="000000"/>
        </w:rPr>
      </w:pPr>
      <w:r w:rsidRPr="006270C7">
        <w:rPr>
          <w:rFonts w:ascii="Arial" w:hAnsi="Arial" w:cs="Arial"/>
          <w:color w:val="000000"/>
        </w:rPr>
        <w:t xml:space="preserve"> </w:t>
      </w:r>
    </w:p>
    <w:p w14:paraId="34F5EA6B" w14:textId="77777777" w:rsidR="00701203" w:rsidRDefault="00701203" w:rsidP="00C00BC0">
      <w:pPr>
        <w:jc w:val="both"/>
        <w:rPr>
          <w:rFonts w:ascii="Arial" w:hAnsi="Arial" w:cs="Arial"/>
          <w:sz w:val="18"/>
          <w:szCs w:val="18"/>
          <w:u w:val="single"/>
        </w:rPr>
      </w:pPr>
    </w:p>
    <w:p w14:paraId="592ED653" w14:textId="77777777" w:rsidR="00FC5AC7" w:rsidRDefault="00FC5AC7" w:rsidP="00B405DD">
      <w:pPr>
        <w:jc w:val="both"/>
        <w:rPr>
          <w:rFonts w:ascii="Arial" w:hAnsi="Arial" w:cs="Arial"/>
        </w:rPr>
      </w:pPr>
    </w:p>
    <w:p w14:paraId="74E1049E" w14:textId="77777777" w:rsidR="00C6675E" w:rsidRPr="00C6675E" w:rsidRDefault="00C6675E" w:rsidP="0069796E">
      <w:pPr>
        <w:keepNext/>
        <w:keepLines/>
        <w:spacing w:after="240"/>
        <w:jc w:val="both"/>
        <w:rPr>
          <w:rFonts w:ascii="Arial" w:hAnsi="Arial" w:cs="Arial"/>
          <w:b/>
          <w:i/>
        </w:rPr>
      </w:pPr>
      <w:r w:rsidRPr="00C6675E">
        <w:rPr>
          <w:rFonts w:ascii="Arial" w:hAnsi="Arial" w:cs="Arial"/>
          <w:b/>
          <w:i/>
        </w:rPr>
        <w:t>Issue</w:t>
      </w:r>
    </w:p>
    <w:p w14:paraId="478BBC4C" w14:textId="2E0048AF" w:rsidR="00FC5AC7" w:rsidRDefault="00FC5AC7" w:rsidP="00FC5AC7">
      <w:pPr>
        <w:jc w:val="both"/>
        <w:rPr>
          <w:rFonts w:ascii="Arial" w:hAnsi="Arial" w:cs="Arial"/>
        </w:rPr>
      </w:pPr>
      <w:r>
        <w:rPr>
          <w:rFonts w:ascii="Arial" w:hAnsi="Arial" w:cs="Arial"/>
        </w:rPr>
        <w:t xml:space="preserve">In its Revised Order dated May 23, 2017 in </w:t>
      </w:r>
      <w:r w:rsidRPr="00FC5AC7">
        <w:rPr>
          <w:rFonts w:ascii="Arial" w:hAnsi="Arial" w:cs="Arial"/>
        </w:rPr>
        <w:t xml:space="preserve">PUC Project </w:t>
      </w:r>
      <w:r>
        <w:rPr>
          <w:rFonts w:ascii="Arial" w:hAnsi="Arial" w:cs="Arial"/>
        </w:rPr>
        <w:t xml:space="preserve">No. 46304, </w:t>
      </w:r>
      <w:r w:rsidRPr="00FC5AC7">
        <w:rPr>
          <w:rFonts w:ascii="Arial" w:hAnsi="Arial" w:cs="Arial"/>
        </w:rPr>
        <w:t xml:space="preserve">Oversight Proceeding Regarding ERCOT Matters Arising out of Docket No. 45624 (Application of the City </w:t>
      </w:r>
      <w:r>
        <w:rPr>
          <w:rFonts w:ascii="Arial" w:hAnsi="Arial" w:cs="Arial"/>
        </w:rPr>
        <w:t>o</w:t>
      </w:r>
      <w:r w:rsidRPr="00FC5AC7">
        <w:rPr>
          <w:rFonts w:ascii="Arial" w:hAnsi="Arial" w:cs="Arial"/>
        </w:rPr>
        <w:t xml:space="preserve">f Garland </w:t>
      </w:r>
      <w:r>
        <w:rPr>
          <w:rFonts w:ascii="Arial" w:hAnsi="Arial" w:cs="Arial"/>
        </w:rPr>
        <w:t>t</w:t>
      </w:r>
      <w:r w:rsidRPr="00FC5AC7">
        <w:rPr>
          <w:rFonts w:ascii="Arial" w:hAnsi="Arial" w:cs="Arial"/>
        </w:rPr>
        <w:t xml:space="preserve">o Amend </w:t>
      </w:r>
      <w:r>
        <w:rPr>
          <w:rFonts w:ascii="Arial" w:hAnsi="Arial" w:cs="Arial"/>
        </w:rPr>
        <w:t>a</w:t>
      </w:r>
      <w:r w:rsidRPr="00FC5AC7">
        <w:rPr>
          <w:rFonts w:ascii="Arial" w:hAnsi="Arial" w:cs="Arial"/>
        </w:rPr>
        <w:t xml:space="preserve"> Certificate </w:t>
      </w:r>
      <w:r>
        <w:rPr>
          <w:rFonts w:ascii="Arial" w:hAnsi="Arial" w:cs="Arial"/>
        </w:rPr>
        <w:t>o</w:t>
      </w:r>
      <w:r w:rsidRPr="00FC5AC7">
        <w:rPr>
          <w:rFonts w:ascii="Arial" w:hAnsi="Arial" w:cs="Arial"/>
        </w:rPr>
        <w:t xml:space="preserve">f Convenience </w:t>
      </w:r>
      <w:r>
        <w:rPr>
          <w:rFonts w:ascii="Arial" w:hAnsi="Arial" w:cs="Arial"/>
        </w:rPr>
        <w:t>a</w:t>
      </w:r>
      <w:r w:rsidRPr="00FC5AC7">
        <w:rPr>
          <w:rFonts w:ascii="Arial" w:hAnsi="Arial" w:cs="Arial"/>
        </w:rPr>
        <w:t xml:space="preserve">nd Necessity </w:t>
      </w:r>
      <w:r>
        <w:rPr>
          <w:rFonts w:ascii="Arial" w:hAnsi="Arial" w:cs="Arial"/>
        </w:rPr>
        <w:t>f</w:t>
      </w:r>
      <w:r w:rsidRPr="00FC5AC7">
        <w:rPr>
          <w:rFonts w:ascii="Arial" w:hAnsi="Arial" w:cs="Arial"/>
        </w:rPr>
        <w:t xml:space="preserve">or </w:t>
      </w:r>
      <w:r>
        <w:rPr>
          <w:rFonts w:ascii="Arial" w:hAnsi="Arial" w:cs="Arial"/>
        </w:rPr>
        <w:t>t</w:t>
      </w:r>
      <w:r w:rsidRPr="00FC5AC7">
        <w:rPr>
          <w:rFonts w:ascii="Arial" w:hAnsi="Arial" w:cs="Arial"/>
        </w:rPr>
        <w:t xml:space="preserve">he Rusk </w:t>
      </w:r>
      <w:r>
        <w:rPr>
          <w:rFonts w:ascii="Arial" w:hAnsi="Arial" w:cs="Arial"/>
        </w:rPr>
        <w:t>t</w:t>
      </w:r>
      <w:r w:rsidRPr="00FC5AC7">
        <w:rPr>
          <w:rFonts w:ascii="Arial" w:hAnsi="Arial" w:cs="Arial"/>
        </w:rPr>
        <w:t xml:space="preserve">o Panola Double-Circuit 345-Kv Transmission Line </w:t>
      </w:r>
      <w:r>
        <w:rPr>
          <w:rFonts w:ascii="Arial" w:hAnsi="Arial" w:cs="Arial"/>
        </w:rPr>
        <w:t>i</w:t>
      </w:r>
      <w:r w:rsidRPr="00FC5AC7">
        <w:rPr>
          <w:rFonts w:ascii="Arial" w:hAnsi="Arial" w:cs="Arial"/>
        </w:rPr>
        <w:t xml:space="preserve">n Rusk </w:t>
      </w:r>
      <w:r>
        <w:rPr>
          <w:rFonts w:ascii="Arial" w:hAnsi="Arial" w:cs="Arial"/>
        </w:rPr>
        <w:t>a</w:t>
      </w:r>
      <w:r w:rsidRPr="00FC5AC7">
        <w:rPr>
          <w:rFonts w:ascii="Arial" w:hAnsi="Arial" w:cs="Arial"/>
        </w:rPr>
        <w:t>nd Panola Counties)</w:t>
      </w:r>
      <w:r w:rsidR="007F26A4">
        <w:rPr>
          <w:rFonts w:ascii="Arial" w:hAnsi="Arial" w:cs="Arial"/>
        </w:rPr>
        <w:t xml:space="preserve">, the Public Utility Commission of Texas </w:t>
      </w:r>
      <w:r w:rsidR="00193B95">
        <w:rPr>
          <w:rFonts w:ascii="Arial" w:hAnsi="Arial" w:cs="Arial"/>
        </w:rPr>
        <w:t xml:space="preserve">(PUCT) </w:t>
      </w:r>
      <w:r w:rsidR="007F26A4">
        <w:rPr>
          <w:rFonts w:ascii="Arial" w:hAnsi="Arial" w:cs="Arial"/>
        </w:rPr>
        <w:t>directed ERCOT</w:t>
      </w:r>
      <w:r w:rsidR="00466C96">
        <w:rPr>
          <w:rFonts w:ascii="Arial" w:hAnsi="Arial" w:cs="Arial"/>
        </w:rPr>
        <w:t>, among other things,</w:t>
      </w:r>
      <w:r w:rsidR="007F26A4">
        <w:rPr>
          <w:rFonts w:ascii="Arial" w:hAnsi="Arial" w:cs="Arial"/>
        </w:rPr>
        <w:t xml:space="preserve"> “to determine the appropriate market segment for Southern Cross Transmission and any other entity.” (Directive </w:t>
      </w:r>
      <w:r w:rsidR="00170206">
        <w:rPr>
          <w:rFonts w:ascii="Arial" w:hAnsi="Arial" w:cs="Arial"/>
        </w:rPr>
        <w:t>#1)</w:t>
      </w:r>
      <w:r w:rsidR="00C6675E">
        <w:rPr>
          <w:rFonts w:ascii="Arial" w:hAnsi="Arial" w:cs="Arial"/>
        </w:rPr>
        <w:t xml:space="preserve"> The purpose of this memorandum is to review the ERCOT Market Segments (Segments) and their definitions in the ERCOT Bylaws (Bylaws) to consider which Segment(s) would be appropriate for SCT, and what revisions, if any, to the Bylaws would be required to accommodate SCT’s participation in such Segment(s).</w:t>
      </w:r>
    </w:p>
    <w:p w14:paraId="56C39A62" w14:textId="77777777" w:rsidR="00C6675E" w:rsidRDefault="00C6675E" w:rsidP="00FC5AC7">
      <w:pPr>
        <w:jc w:val="both"/>
        <w:rPr>
          <w:rFonts w:ascii="Arial" w:hAnsi="Arial" w:cs="Arial"/>
        </w:rPr>
      </w:pPr>
    </w:p>
    <w:p w14:paraId="29067539" w14:textId="77777777" w:rsidR="00C6675E" w:rsidRPr="00C6675E" w:rsidRDefault="00C6675E" w:rsidP="0069796E">
      <w:pPr>
        <w:keepNext/>
        <w:keepLines/>
        <w:spacing w:after="240"/>
        <w:jc w:val="both"/>
        <w:rPr>
          <w:rFonts w:ascii="Arial" w:hAnsi="Arial" w:cs="Arial"/>
          <w:b/>
          <w:i/>
        </w:rPr>
      </w:pPr>
      <w:r w:rsidRPr="00C6675E">
        <w:rPr>
          <w:rFonts w:ascii="Arial" w:hAnsi="Arial" w:cs="Arial"/>
          <w:b/>
          <w:i/>
        </w:rPr>
        <w:t>Brief Answer</w:t>
      </w:r>
    </w:p>
    <w:p w14:paraId="628890AB" w14:textId="4113F972" w:rsidR="00170206" w:rsidRDefault="003154FF" w:rsidP="00FC5AC7">
      <w:pPr>
        <w:jc w:val="both"/>
        <w:rPr>
          <w:rFonts w:ascii="Arial" w:hAnsi="Arial" w:cs="Arial"/>
        </w:rPr>
      </w:pPr>
      <w:r w:rsidRPr="00E1741D">
        <w:rPr>
          <w:rFonts w:ascii="Arial" w:hAnsi="Arial" w:cs="Arial"/>
        </w:rPr>
        <w:t>Based on its anticipated activities in the ERCOT Region, SCT does not fit within any of the existing Segments as they are currently defined.</w:t>
      </w:r>
      <w:r w:rsidR="00C4791C" w:rsidRPr="00E1741D">
        <w:rPr>
          <w:rFonts w:ascii="Arial" w:hAnsi="Arial" w:cs="Arial"/>
        </w:rPr>
        <w:t xml:space="preserve"> </w:t>
      </w:r>
      <w:r w:rsidRPr="00E1741D">
        <w:rPr>
          <w:rFonts w:ascii="Arial" w:hAnsi="Arial" w:cs="Arial"/>
        </w:rPr>
        <w:t xml:space="preserve">One of the existing Segment definitions within the Bylaws would </w:t>
      </w:r>
      <w:r w:rsidR="0034556B">
        <w:rPr>
          <w:rFonts w:ascii="Arial" w:hAnsi="Arial" w:cs="Arial"/>
        </w:rPr>
        <w:t>need</w:t>
      </w:r>
      <w:r w:rsidRPr="00E1741D">
        <w:rPr>
          <w:rFonts w:ascii="Arial" w:hAnsi="Arial" w:cs="Arial"/>
        </w:rPr>
        <w:t xml:space="preserve"> to be amended to accommodate </w:t>
      </w:r>
      <w:r w:rsidR="00C4791C" w:rsidRPr="00E1741D">
        <w:rPr>
          <w:rFonts w:ascii="Arial" w:hAnsi="Arial" w:cs="Arial"/>
        </w:rPr>
        <w:t xml:space="preserve">an Entity whose </w:t>
      </w:r>
      <w:r w:rsidR="0034556B" w:rsidRPr="00E1741D">
        <w:rPr>
          <w:rFonts w:ascii="Arial" w:hAnsi="Arial" w:cs="Arial"/>
        </w:rPr>
        <w:t>ERCOT</w:t>
      </w:r>
      <w:r w:rsidR="0034556B">
        <w:rPr>
          <w:rFonts w:ascii="Arial" w:hAnsi="Arial" w:cs="Arial"/>
        </w:rPr>
        <w:t>-based</w:t>
      </w:r>
      <w:r w:rsidR="0034556B" w:rsidRPr="00E1741D">
        <w:rPr>
          <w:rFonts w:ascii="Arial" w:hAnsi="Arial" w:cs="Arial"/>
        </w:rPr>
        <w:t xml:space="preserve"> </w:t>
      </w:r>
      <w:r w:rsidR="00C4791C" w:rsidRPr="00E1741D">
        <w:rPr>
          <w:rFonts w:ascii="Arial" w:hAnsi="Arial" w:cs="Arial"/>
        </w:rPr>
        <w:t>activities</w:t>
      </w:r>
      <w:r w:rsidR="00E1741D" w:rsidRPr="00E1741D">
        <w:rPr>
          <w:rFonts w:ascii="Arial" w:hAnsi="Arial" w:cs="Arial"/>
        </w:rPr>
        <w:t xml:space="preserve"> </w:t>
      </w:r>
      <w:r w:rsidR="00C4791C" w:rsidRPr="00E1741D">
        <w:rPr>
          <w:rFonts w:ascii="Arial" w:hAnsi="Arial" w:cs="Arial"/>
        </w:rPr>
        <w:t>are limited to owning or operating a Direct Current Tie (DC Tie) interconnected to the ERCOT Transmission Grid</w:t>
      </w:r>
      <w:r w:rsidR="00E1741D" w:rsidRPr="00E1741D">
        <w:rPr>
          <w:rFonts w:ascii="Arial" w:hAnsi="Arial" w:cs="Arial"/>
        </w:rPr>
        <w:t xml:space="preserve"> like SCT’s activities are expected to be</w:t>
      </w:r>
      <w:r w:rsidR="00C4791C" w:rsidRPr="00E1741D">
        <w:rPr>
          <w:rFonts w:ascii="Arial" w:hAnsi="Arial" w:cs="Arial"/>
        </w:rPr>
        <w:t>. The two Segments whose Members’ activities most closely align with those of SCT are the Investor-Owned Utility (IOU) Segment and the Independent Power Marketer Segment.</w:t>
      </w:r>
      <w:r w:rsidR="00E1741D" w:rsidRPr="00E1741D">
        <w:rPr>
          <w:rFonts w:ascii="Arial" w:hAnsi="Arial" w:cs="Arial"/>
        </w:rPr>
        <w:t xml:space="preserve"> </w:t>
      </w:r>
    </w:p>
    <w:p w14:paraId="2C22EC21" w14:textId="77777777" w:rsidR="003154FF" w:rsidRDefault="003154FF" w:rsidP="00FC5AC7">
      <w:pPr>
        <w:jc w:val="both"/>
        <w:rPr>
          <w:rFonts w:ascii="Arial" w:hAnsi="Arial" w:cs="Arial"/>
        </w:rPr>
      </w:pPr>
    </w:p>
    <w:p w14:paraId="52C97911" w14:textId="77777777" w:rsidR="00170206" w:rsidRPr="00232978" w:rsidRDefault="005F7B0D" w:rsidP="0069796E">
      <w:pPr>
        <w:keepNext/>
        <w:keepLines/>
        <w:spacing w:after="240"/>
        <w:jc w:val="both"/>
        <w:rPr>
          <w:rFonts w:ascii="Arial" w:hAnsi="Arial" w:cs="Arial"/>
          <w:b/>
          <w:i/>
        </w:rPr>
      </w:pPr>
      <w:r w:rsidRPr="00232978">
        <w:rPr>
          <w:rFonts w:ascii="Arial" w:hAnsi="Arial" w:cs="Arial"/>
          <w:b/>
          <w:i/>
        </w:rPr>
        <w:t>Southern Cross Project Background</w:t>
      </w:r>
    </w:p>
    <w:p w14:paraId="3E5439DE" w14:textId="0F7E35D5" w:rsidR="00170206" w:rsidRDefault="00C84C96" w:rsidP="00387CC4">
      <w:pPr>
        <w:jc w:val="both"/>
        <w:rPr>
          <w:rFonts w:ascii="Arial" w:hAnsi="Arial" w:cs="Arial"/>
        </w:rPr>
      </w:pPr>
      <w:r w:rsidRPr="00C84C96">
        <w:rPr>
          <w:rFonts w:ascii="Arial" w:hAnsi="Arial" w:cs="Arial"/>
        </w:rPr>
        <w:t xml:space="preserve">On September 6, 2011, </w:t>
      </w:r>
      <w:r>
        <w:rPr>
          <w:rFonts w:ascii="Arial" w:hAnsi="Arial" w:cs="Arial"/>
        </w:rPr>
        <w:t xml:space="preserve">SCT </w:t>
      </w:r>
      <w:r w:rsidRPr="00C84C96">
        <w:rPr>
          <w:rFonts w:ascii="Arial" w:hAnsi="Arial" w:cs="Arial"/>
        </w:rPr>
        <w:t xml:space="preserve">and Pattern Power </w:t>
      </w:r>
      <w:r>
        <w:rPr>
          <w:rFonts w:ascii="Arial" w:hAnsi="Arial" w:cs="Arial"/>
        </w:rPr>
        <w:t xml:space="preserve">Marketing LLC (Pattern Power) </w:t>
      </w:r>
      <w:r w:rsidRPr="00C84C96">
        <w:rPr>
          <w:rFonts w:ascii="Arial" w:hAnsi="Arial" w:cs="Arial"/>
        </w:rPr>
        <w:t xml:space="preserve">submitted an application to the </w:t>
      </w:r>
      <w:r>
        <w:rPr>
          <w:rFonts w:ascii="Arial" w:hAnsi="Arial" w:cs="Arial"/>
        </w:rPr>
        <w:t>Federal Energy Regulatory Commission (FERC)</w:t>
      </w:r>
      <w:r w:rsidRPr="00C84C96">
        <w:rPr>
          <w:rFonts w:ascii="Arial" w:hAnsi="Arial" w:cs="Arial"/>
        </w:rPr>
        <w:t xml:space="preserve"> pursuant to sections 210, 211</w:t>
      </w:r>
      <w:r>
        <w:rPr>
          <w:rFonts w:ascii="Arial" w:hAnsi="Arial" w:cs="Arial"/>
        </w:rPr>
        <w:t xml:space="preserve"> </w:t>
      </w:r>
      <w:r w:rsidRPr="00C84C96">
        <w:rPr>
          <w:rFonts w:ascii="Arial" w:hAnsi="Arial" w:cs="Arial"/>
        </w:rPr>
        <w:t xml:space="preserve">and 212 of the </w:t>
      </w:r>
      <w:r>
        <w:rPr>
          <w:rFonts w:ascii="Arial" w:hAnsi="Arial" w:cs="Arial"/>
        </w:rPr>
        <w:t>Federal Power Act (</w:t>
      </w:r>
      <w:r w:rsidRPr="00C84C96">
        <w:rPr>
          <w:rFonts w:ascii="Arial" w:hAnsi="Arial" w:cs="Arial"/>
        </w:rPr>
        <w:t>FPA</w:t>
      </w:r>
      <w:r>
        <w:rPr>
          <w:rFonts w:ascii="Arial" w:hAnsi="Arial" w:cs="Arial"/>
        </w:rPr>
        <w:t>) (16 U.S.C. §§ 824i, j, k (2012))</w:t>
      </w:r>
      <w:r w:rsidRPr="00C84C96">
        <w:rPr>
          <w:rFonts w:ascii="Arial" w:hAnsi="Arial" w:cs="Arial"/>
        </w:rPr>
        <w:t xml:space="preserve">, which requested that </w:t>
      </w:r>
      <w:r>
        <w:rPr>
          <w:rFonts w:ascii="Arial" w:hAnsi="Arial" w:cs="Arial"/>
        </w:rPr>
        <w:t>FERC</w:t>
      </w:r>
      <w:r w:rsidRPr="00C84C96">
        <w:rPr>
          <w:rFonts w:ascii="Arial" w:hAnsi="Arial" w:cs="Arial"/>
        </w:rPr>
        <w:t xml:space="preserve"> issue an order requiring the</w:t>
      </w:r>
      <w:r>
        <w:rPr>
          <w:rFonts w:ascii="Arial" w:hAnsi="Arial" w:cs="Arial"/>
        </w:rPr>
        <w:t xml:space="preserve"> </w:t>
      </w:r>
      <w:r w:rsidRPr="00C84C96">
        <w:rPr>
          <w:rFonts w:ascii="Arial" w:hAnsi="Arial" w:cs="Arial"/>
        </w:rPr>
        <w:t xml:space="preserve">physical interconnection of </w:t>
      </w:r>
      <w:r>
        <w:rPr>
          <w:rFonts w:ascii="Arial" w:hAnsi="Arial" w:cs="Arial"/>
        </w:rPr>
        <w:t>new transmission facilities (</w:t>
      </w:r>
      <w:r w:rsidRPr="00C84C96">
        <w:rPr>
          <w:rFonts w:ascii="Arial" w:hAnsi="Arial" w:cs="Arial"/>
        </w:rPr>
        <w:t xml:space="preserve">the </w:t>
      </w:r>
      <w:r>
        <w:rPr>
          <w:rFonts w:ascii="Arial" w:hAnsi="Arial" w:cs="Arial"/>
        </w:rPr>
        <w:t xml:space="preserve">Southern Cross </w:t>
      </w:r>
      <w:r w:rsidRPr="00C84C96">
        <w:rPr>
          <w:rFonts w:ascii="Arial" w:hAnsi="Arial" w:cs="Arial"/>
        </w:rPr>
        <w:t>Project</w:t>
      </w:r>
      <w:r>
        <w:rPr>
          <w:rFonts w:ascii="Arial" w:hAnsi="Arial" w:cs="Arial"/>
        </w:rPr>
        <w:t>)</w:t>
      </w:r>
      <w:r w:rsidRPr="00C84C96">
        <w:rPr>
          <w:rFonts w:ascii="Arial" w:hAnsi="Arial" w:cs="Arial"/>
        </w:rPr>
        <w:t xml:space="preserve"> with transmission facilities </w:t>
      </w:r>
      <w:r w:rsidR="00526CB1">
        <w:rPr>
          <w:rFonts w:ascii="Arial" w:hAnsi="Arial" w:cs="Arial"/>
        </w:rPr>
        <w:t xml:space="preserve">owned by the City of </w:t>
      </w:r>
      <w:r w:rsidR="00526CB1" w:rsidRPr="00C84C96">
        <w:rPr>
          <w:rFonts w:ascii="Arial" w:hAnsi="Arial" w:cs="Arial"/>
        </w:rPr>
        <w:t>Garland</w:t>
      </w:r>
      <w:r w:rsidR="00526CB1">
        <w:rPr>
          <w:rFonts w:ascii="Arial" w:hAnsi="Arial" w:cs="Arial"/>
        </w:rPr>
        <w:t>, Texas (Garland)</w:t>
      </w:r>
      <w:r w:rsidR="00526CB1" w:rsidRPr="00C84C96">
        <w:rPr>
          <w:rFonts w:ascii="Arial" w:hAnsi="Arial" w:cs="Arial"/>
        </w:rPr>
        <w:t xml:space="preserve"> </w:t>
      </w:r>
      <w:r w:rsidRPr="00C84C96">
        <w:rPr>
          <w:rFonts w:ascii="Arial" w:hAnsi="Arial" w:cs="Arial"/>
        </w:rPr>
        <w:t>at a point</w:t>
      </w:r>
      <w:r>
        <w:rPr>
          <w:rFonts w:ascii="Arial" w:hAnsi="Arial" w:cs="Arial"/>
        </w:rPr>
        <w:t xml:space="preserve"> </w:t>
      </w:r>
      <w:r w:rsidRPr="00C84C96">
        <w:rPr>
          <w:rFonts w:ascii="Arial" w:hAnsi="Arial" w:cs="Arial"/>
        </w:rPr>
        <w:t>near the Texas/Louisiana border</w:t>
      </w:r>
      <w:r>
        <w:rPr>
          <w:rFonts w:ascii="Arial" w:hAnsi="Arial" w:cs="Arial"/>
        </w:rPr>
        <w:t xml:space="preserve"> and to </w:t>
      </w:r>
      <w:r w:rsidRPr="00C84C96">
        <w:rPr>
          <w:rFonts w:ascii="Arial" w:hAnsi="Arial" w:cs="Arial"/>
        </w:rPr>
        <w:t xml:space="preserve">direct Oncor </w:t>
      </w:r>
      <w:r>
        <w:rPr>
          <w:rFonts w:ascii="Arial" w:hAnsi="Arial" w:cs="Arial"/>
        </w:rPr>
        <w:t xml:space="preserve">Electric Delivery Company LLC (Oncor) </w:t>
      </w:r>
      <w:r w:rsidRPr="00C84C96">
        <w:rPr>
          <w:rFonts w:ascii="Arial" w:hAnsi="Arial" w:cs="Arial"/>
        </w:rPr>
        <w:t xml:space="preserve">and CenterPoint </w:t>
      </w:r>
      <w:r>
        <w:rPr>
          <w:rFonts w:ascii="Arial" w:hAnsi="Arial" w:cs="Arial"/>
        </w:rPr>
        <w:t xml:space="preserve">Energy Houston Electric, LLC (CenterPoint) </w:t>
      </w:r>
      <w:r w:rsidRPr="00C84C96">
        <w:rPr>
          <w:rFonts w:ascii="Arial" w:hAnsi="Arial" w:cs="Arial"/>
        </w:rPr>
        <w:t>to provide the transmission service</w:t>
      </w:r>
      <w:r>
        <w:rPr>
          <w:rFonts w:ascii="Arial" w:hAnsi="Arial" w:cs="Arial"/>
        </w:rPr>
        <w:t xml:space="preserve"> </w:t>
      </w:r>
      <w:r w:rsidRPr="00C84C96">
        <w:rPr>
          <w:rFonts w:ascii="Arial" w:hAnsi="Arial" w:cs="Arial"/>
        </w:rPr>
        <w:t>necessary for Pattern Power and other eligible customers to deliver energy over the</w:t>
      </w:r>
      <w:r>
        <w:rPr>
          <w:rFonts w:ascii="Arial" w:hAnsi="Arial" w:cs="Arial"/>
        </w:rPr>
        <w:t xml:space="preserve"> </w:t>
      </w:r>
      <w:r w:rsidRPr="00C84C96">
        <w:rPr>
          <w:rFonts w:ascii="Arial" w:hAnsi="Arial" w:cs="Arial"/>
        </w:rPr>
        <w:t>interconnection into and out of ERCOT.</w:t>
      </w:r>
      <w:r>
        <w:rPr>
          <w:rFonts w:ascii="Arial" w:hAnsi="Arial" w:cs="Arial"/>
        </w:rPr>
        <w:t xml:space="preserve"> </w:t>
      </w:r>
      <w:r w:rsidR="00170206">
        <w:rPr>
          <w:rFonts w:ascii="Arial" w:hAnsi="Arial" w:cs="Arial"/>
        </w:rPr>
        <w:lastRenderedPageBreak/>
        <w:t>The Southern Cross Project involves the creation of transmission facilities that will connect, via DC Ties, the ERCOT System and the Eastern Interconnection</w:t>
      </w:r>
      <w:r w:rsidR="00387CC4">
        <w:rPr>
          <w:rFonts w:ascii="Arial" w:hAnsi="Arial" w:cs="Arial"/>
        </w:rPr>
        <w:t>. SCT</w:t>
      </w:r>
      <w:r w:rsidR="0069796E">
        <w:rPr>
          <w:rFonts w:ascii="Arial" w:hAnsi="Arial" w:cs="Arial"/>
        </w:rPr>
        <w:t xml:space="preserve"> and Pattern Power</w:t>
      </w:r>
      <w:r w:rsidR="00CC7605">
        <w:rPr>
          <w:rFonts w:ascii="Arial" w:hAnsi="Arial" w:cs="Arial"/>
        </w:rPr>
        <w:t xml:space="preserve">’s application represents that </w:t>
      </w:r>
      <w:r w:rsidR="002931E1">
        <w:rPr>
          <w:rFonts w:ascii="Arial" w:hAnsi="Arial" w:cs="Arial"/>
        </w:rPr>
        <w:t>SCT</w:t>
      </w:r>
      <w:r w:rsidR="00387CC4">
        <w:rPr>
          <w:rFonts w:ascii="Arial" w:hAnsi="Arial" w:cs="Arial"/>
        </w:rPr>
        <w:t xml:space="preserve"> will develop, construct, own and operate a new, </w:t>
      </w:r>
      <w:r w:rsidR="00387CC4" w:rsidRPr="00387CC4">
        <w:rPr>
          <w:rFonts w:ascii="Arial" w:hAnsi="Arial" w:cs="Arial"/>
        </w:rPr>
        <w:t>400-mile high voltage direct current (HVDC) transmission line to provide</w:t>
      </w:r>
      <w:r w:rsidR="00387CC4">
        <w:rPr>
          <w:rFonts w:ascii="Arial" w:hAnsi="Arial" w:cs="Arial"/>
        </w:rPr>
        <w:t xml:space="preserve"> </w:t>
      </w:r>
      <w:r w:rsidR="00387CC4" w:rsidRPr="00387CC4">
        <w:rPr>
          <w:rFonts w:ascii="Arial" w:hAnsi="Arial" w:cs="Arial"/>
        </w:rPr>
        <w:t>incremental bi-directional transmission capacity of up to 3,000 MW of electric power</w:t>
      </w:r>
      <w:r w:rsidR="00387CC4">
        <w:rPr>
          <w:rFonts w:ascii="Arial" w:hAnsi="Arial" w:cs="Arial"/>
        </w:rPr>
        <w:t xml:space="preserve"> </w:t>
      </w:r>
      <w:r w:rsidR="00387CC4" w:rsidRPr="00387CC4">
        <w:rPr>
          <w:rFonts w:ascii="Arial" w:hAnsi="Arial" w:cs="Arial"/>
        </w:rPr>
        <w:t xml:space="preserve">into and out of </w:t>
      </w:r>
      <w:r w:rsidR="00387CC4">
        <w:rPr>
          <w:rFonts w:ascii="Arial" w:hAnsi="Arial" w:cs="Arial"/>
        </w:rPr>
        <w:t xml:space="preserve">the </w:t>
      </w:r>
      <w:r w:rsidR="00387CC4" w:rsidRPr="00387CC4">
        <w:rPr>
          <w:rFonts w:ascii="Arial" w:hAnsi="Arial" w:cs="Arial"/>
        </w:rPr>
        <w:t>ERCOT</w:t>
      </w:r>
      <w:r w:rsidR="00387CC4">
        <w:rPr>
          <w:rFonts w:ascii="Arial" w:hAnsi="Arial" w:cs="Arial"/>
        </w:rPr>
        <w:t xml:space="preserve"> System.</w:t>
      </w:r>
      <w:r w:rsidR="00CC7605">
        <w:rPr>
          <w:rStyle w:val="FootnoteReference"/>
          <w:rFonts w:ascii="Arial" w:hAnsi="Arial" w:cs="Arial"/>
        </w:rPr>
        <w:footnoteReference w:id="2"/>
      </w:r>
      <w:r w:rsidR="00387CC4">
        <w:rPr>
          <w:rFonts w:ascii="Arial" w:hAnsi="Arial" w:cs="Arial"/>
        </w:rPr>
        <w:t xml:space="preserve"> </w:t>
      </w:r>
      <w:r w:rsidRPr="00C84C96">
        <w:rPr>
          <w:rFonts w:ascii="Arial" w:hAnsi="Arial" w:cs="Arial"/>
        </w:rPr>
        <w:t xml:space="preserve">Pattern Power </w:t>
      </w:r>
      <w:r w:rsidR="00E44432">
        <w:rPr>
          <w:rFonts w:ascii="Arial" w:hAnsi="Arial" w:cs="Arial"/>
        </w:rPr>
        <w:t>or other eligible customers are</w:t>
      </w:r>
      <w:r w:rsidR="00E44432" w:rsidRPr="00C84C96">
        <w:rPr>
          <w:rFonts w:ascii="Arial" w:hAnsi="Arial" w:cs="Arial"/>
        </w:rPr>
        <w:t xml:space="preserve"> </w:t>
      </w:r>
      <w:r w:rsidRPr="00C84C96">
        <w:rPr>
          <w:rFonts w:ascii="Arial" w:hAnsi="Arial" w:cs="Arial"/>
        </w:rPr>
        <w:t>expected to utilize the</w:t>
      </w:r>
      <w:r>
        <w:rPr>
          <w:rFonts w:ascii="Arial" w:hAnsi="Arial" w:cs="Arial"/>
        </w:rPr>
        <w:t xml:space="preserve"> </w:t>
      </w:r>
      <w:r w:rsidRPr="00C84C96">
        <w:rPr>
          <w:rFonts w:ascii="Arial" w:hAnsi="Arial" w:cs="Arial"/>
        </w:rPr>
        <w:t xml:space="preserve">transmission capacity made available by the </w:t>
      </w:r>
      <w:r w:rsidR="005F7B0D">
        <w:rPr>
          <w:rFonts w:ascii="Arial" w:hAnsi="Arial" w:cs="Arial"/>
        </w:rPr>
        <w:t xml:space="preserve">Southern Cross </w:t>
      </w:r>
      <w:r w:rsidRPr="00C84C96">
        <w:rPr>
          <w:rFonts w:ascii="Arial" w:hAnsi="Arial" w:cs="Arial"/>
        </w:rPr>
        <w:t>Project to transact with load serving entities</w:t>
      </w:r>
      <w:r>
        <w:rPr>
          <w:rFonts w:ascii="Arial" w:hAnsi="Arial" w:cs="Arial"/>
        </w:rPr>
        <w:t xml:space="preserve"> </w:t>
      </w:r>
      <w:r w:rsidRPr="00C84C96">
        <w:rPr>
          <w:rFonts w:ascii="Arial" w:hAnsi="Arial" w:cs="Arial"/>
        </w:rPr>
        <w:t>within the SERC</w:t>
      </w:r>
      <w:r>
        <w:rPr>
          <w:rFonts w:ascii="Arial" w:hAnsi="Arial" w:cs="Arial"/>
        </w:rPr>
        <w:t xml:space="preserve"> Reliability Corporation (SERC) region</w:t>
      </w:r>
      <w:r w:rsidR="005F7B0D">
        <w:rPr>
          <w:rFonts w:ascii="Arial" w:hAnsi="Arial" w:cs="Arial"/>
        </w:rPr>
        <w:t xml:space="preserve">. </w:t>
      </w:r>
      <w:r w:rsidR="00387CC4">
        <w:rPr>
          <w:rFonts w:ascii="Arial" w:hAnsi="Arial" w:cs="Arial"/>
        </w:rPr>
        <w:t>On May 15, 2014, the FERC issued a Final Order</w:t>
      </w:r>
      <w:r w:rsidR="00526CB1">
        <w:rPr>
          <w:rStyle w:val="FootnoteReference"/>
          <w:rFonts w:ascii="Arial" w:hAnsi="Arial" w:cs="Arial"/>
        </w:rPr>
        <w:footnoteReference w:id="3"/>
      </w:r>
      <w:r w:rsidR="00387CC4">
        <w:rPr>
          <w:rFonts w:ascii="Arial" w:hAnsi="Arial" w:cs="Arial"/>
        </w:rPr>
        <w:t xml:space="preserve"> </w:t>
      </w:r>
      <w:r w:rsidR="005F7B0D">
        <w:rPr>
          <w:rFonts w:ascii="Arial" w:hAnsi="Arial" w:cs="Arial"/>
        </w:rPr>
        <w:t>directing the interconnection and provision of transmission service as requested in the application</w:t>
      </w:r>
      <w:r w:rsidR="00387CC4">
        <w:rPr>
          <w:rFonts w:ascii="Arial" w:hAnsi="Arial" w:cs="Arial"/>
        </w:rPr>
        <w:t>.</w:t>
      </w:r>
      <w:r w:rsidR="00526CB1">
        <w:rPr>
          <w:rFonts w:ascii="Arial" w:hAnsi="Arial" w:cs="Arial"/>
        </w:rPr>
        <w:t xml:space="preserve"> </w:t>
      </w:r>
    </w:p>
    <w:p w14:paraId="403CCACC" w14:textId="77777777" w:rsidR="005F7B0D" w:rsidRDefault="005F7B0D" w:rsidP="00387CC4">
      <w:pPr>
        <w:jc w:val="both"/>
        <w:rPr>
          <w:rFonts w:ascii="Arial" w:hAnsi="Arial" w:cs="Arial"/>
        </w:rPr>
      </w:pPr>
    </w:p>
    <w:p w14:paraId="773CC315" w14:textId="77E3E9AB" w:rsidR="005F7B0D" w:rsidRDefault="00526CB1" w:rsidP="00387CC4">
      <w:pPr>
        <w:jc w:val="both"/>
        <w:rPr>
          <w:rFonts w:ascii="Arial" w:hAnsi="Arial" w:cs="Arial"/>
        </w:rPr>
      </w:pPr>
      <w:r>
        <w:rPr>
          <w:rFonts w:ascii="Arial" w:hAnsi="Arial" w:cs="Arial"/>
        </w:rPr>
        <w:t xml:space="preserve">On February 25, 2016, Garland submitted an application to the PUCT for a certificate of convenience and necessity (CCN) for new transmission facilities necessary to interconnect </w:t>
      </w:r>
      <w:r w:rsidR="008141DD">
        <w:rPr>
          <w:rFonts w:ascii="Arial" w:hAnsi="Arial" w:cs="Arial"/>
        </w:rPr>
        <w:t xml:space="preserve">the </w:t>
      </w:r>
      <w:r>
        <w:rPr>
          <w:rFonts w:ascii="Arial" w:hAnsi="Arial" w:cs="Arial"/>
        </w:rPr>
        <w:t xml:space="preserve">Southern Cross Project with its existing transmission facilities, as required by FERC’s May 15, 2014 Final Order. On September 8, 2016, the PUCT issued </w:t>
      </w:r>
      <w:r w:rsidR="00AA1D88">
        <w:rPr>
          <w:rFonts w:ascii="Arial" w:hAnsi="Arial" w:cs="Arial"/>
        </w:rPr>
        <w:t>its first</w:t>
      </w:r>
      <w:r>
        <w:rPr>
          <w:rFonts w:ascii="Arial" w:hAnsi="Arial" w:cs="Arial"/>
        </w:rPr>
        <w:t xml:space="preserve"> Order approving the application</w:t>
      </w:r>
      <w:r w:rsidR="00AA1D88">
        <w:rPr>
          <w:rFonts w:ascii="Arial" w:hAnsi="Arial" w:cs="Arial"/>
        </w:rPr>
        <w:t>.</w:t>
      </w:r>
      <w:r w:rsidR="00AA1D88">
        <w:rPr>
          <w:rStyle w:val="FootnoteReference"/>
          <w:rFonts w:ascii="Arial" w:hAnsi="Arial" w:cs="Arial"/>
        </w:rPr>
        <w:footnoteReference w:id="4"/>
      </w:r>
      <w:r w:rsidR="00AA1D88">
        <w:rPr>
          <w:rFonts w:ascii="Arial" w:hAnsi="Arial" w:cs="Arial"/>
        </w:rPr>
        <w:t xml:space="preserve"> After granting SCT’s Motions for Rehearing, </w:t>
      </w:r>
      <w:r w:rsidR="002931E1">
        <w:rPr>
          <w:rFonts w:ascii="Arial" w:hAnsi="Arial" w:cs="Arial"/>
        </w:rPr>
        <w:t xml:space="preserve">the </w:t>
      </w:r>
      <w:r w:rsidR="00AA1D88">
        <w:rPr>
          <w:rFonts w:ascii="Arial" w:hAnsi="Arial" w:cs="Arial"/>
        </w:rPr>
        <w:t>PUCT issued its final Order approving the application on May 23, 2017</w:t>
      </w:r>
      <w:r w:rsidR="00193B95">
        <w:rPr>
          <w:rFonts w:ascii="Arial" w:hAnsi="Arial" w:cs="Arial"/>
        </w:rPr>
        <w:t>. Also on September 8, 2016, the PUCT issued an additional Order</w:t>
      </w:r>
      <w:r w:rsidR="00125AA2">
        <w:rPr>
          <w:rFonts w:ascii="Arial" w:hAnsi="Arial" w:cs="Arial"/>
        </w:rPr>
        <w:t xml:space="preserve"> in a separate but related docket</w:t>
      </w:r>
      <w:r w:rsidR="00193B95">
        <w:rPr>
          <w:rFonts w:ascii="Arial" w:hAnsi="Arial" w:cs="Arial"/>
        </w:rPr>
        <w:t xml:space="preserve">, </w:t>
      </w:r>
      <w:r w:rsidR="00125AA2">
        <w:rPr>
          <w:rFonts w:ascii="Arial" w:hAnsi="Arial" w:cs="Arial"/>
        </w:rPr>
        <w:t xml:space="preserve">which was </w:t>
      </w:r>
      <w:r w:rsidR="00193B95">
        <w:rPr>
          <w:rFonts w:ascii="Arial" w:hAnsi="Arial" w:cs="Arial"/>
        </w:rPr>
        <w:t xml:space="preserve">subsequently revised on May 23, 2017 (Revised Order), to create a new project to address certain issues that must be </w:t>
      </w:r>
      <w:r w:rsidR="00125AA2">
        <w:rPr>
          <w:rFonts w:ascii="Arial" w:hAnsi="Arial" w:cs="Arial"/>
        </w:rPr>
        <w:t xml:space="preserve">resolved </w:t>
      </w:r>
      <w:r w:rsidR="00193B95">
        <w:rPr>
          <w:rFonts w:ascii="Arial" w:hAnsi="Arial" w:cs="Arial"/>
        </w:rPr>
        <w:t>before Garland is permitted to energize the new transmission line.</w:t>
      </w:r>
      <w:r w:rsidR="00193B95">
        <w:rPr>
          <w:rStyle w:val="FootnoteReference"/>
          <w:rFonts w:ascii="Arial" w:hAnsi="Arial" w:cs="Arial"/>
        </w:rPr>
        <w:footnoteReference w:id="5"/>
      </w:r>
      <w:r w:rsidR="00193B95">
        <w:rPr>
          <w:rFonts w:ascii="Arial" w:hAnsi="Arial" w:cs="Arial"/>
        </w:rPr>
        <w:t xml:space="preserve"> The Revised Order includes several directives to ERCOT, including Directive #1, which, in pertinent part, requires ERCOT to “determine the appropriate market segment for [SCT] and any other entity.”</w:t>
      </w:r>
    </w:p>
    <w:p w14:paraId="7114E7B3" w14:textId="77777777" w:rsidR="00170206" w:rsidRDefault="00170206" w:rsidP="00FC5AC7">
      <w:pPr>
        <w:jc w:val="both"/>
        <w:rPr>
          <w:rFonts w:ascii="Arial" w:hAnsi="Arial" w:cs="Arial"/>
        </w:rPr>
      </w:pPr>
    </w:p>
    <w:p w14:paraId="4A09AD98" w14:textId="3464E3B7" w:rsidR="00B405DD" w:rsidRDefault="007F26A4" w:rsidP="00C00BC0">
      <w:pPr>
        <w:jc w:val="both"/>
        <w:rPr>
          <w:rFonts w:ascii="Arial" w:hAnsi="Arial" w:cs="Arial"/>
        </w:rPr>
      </w:pPr>
      <w:r>
        <w:rPr>
          <w:rFonts w:ascii="Arial" w:hAnsi="Arial" w:cs="Arial"/>
        </w:rPr>
        <w:t>O</w:t>
      </w:r>
      <w:r w:rsidRPr="00FC5AC7">
        <w:rPr>
          <w:rFonts w:ascii="Arial" w:hAnsi="Arial" w:cs="Arial"/>
        </w:rPr>
        <w:t>n September 7, 2017</w:t>
      </w:r>
      <w:r>
        <w:rPr>
          <w:rFonts w:ascii="Arial" w:hAnsi="Arial" w:cs="Arial"/>
        </w:rPr>
        <w:t xml:space="preserve">, </w:t>
      </w:r>
      <w:r w:rsidR="00FC5AC7" w:rsidRPr="00FC5AC7">
        <w:rPr>
          <w:rFonts w:ascii="Arial" w:hAnsi="Arial" w:cs="Arial"/>
        </w:rPr>
        <w:t xml:space="preserve">ERCOT </w:t>
      </w:r>
      <w:r>
        <w:rPr>
          <w:rFonts w:ascii="Arial" w:hAnsi="Arial" w:cs="Arial"/>
        </w:rPr>
        <w:t xml:space="preserve">conducted a </w:t>
      </w:r>
      <w:r w:rsidR="00FC5AC7" w:rsidRPr="00FC5AC7">
        <w:rPr>
          <w:rFonts w:ascii="Arial" w:hAnsi="Arial" w:cs="Arial"/>
        </w:rPr>
        <w:t>workshop regarding SCT’s</w:t>
      </w:r>
      <w:r>
        <w:rPr>
          <w:rFonts w:ascii="Arial" w:hAnsi="Arial" w:cs="Arial"/>
        </w:rPr>
        <w:t xml:space="preserve"> </w:t>
      </w:r>
      <w:r w:rsidR="00FC5AC7" w:rsidRPr="00FC5AC7">
        <w:rPr>
          <w:rFonts w:ascii="Arial" w:hAnsi="Arial" w:cs="Arial"/>
        </w:rPr>
        <w:t xml:space="preserve">registration </w:t>
      </w:r>
      <w:r>
        <w:rPr>
          <w:rFonts w:ascii="Arial" w:hAnsi="Arial" w:cs="Arial"/>
        </w:rPr>
        <w:t>with ERCOT</w:t>
      </w:r>
      <w:r w:rsidR="0045687B">
        <w:rPr>
          <w:rFonts w:ascii="Arial" w:hAnsi="Arial" w:cs="Arial"/>
        </w:rPr>
        <w:t xml:space="preserve">, which included discussion of the </w:t>
      </w:r>
      <w:r w:rsidR="00DC2C05">
        <w:rPr>
          <w:rFonts w:ascii="Arial" w:hAnsi="Arial" w:cs="Arial"/>
        </w:rPr>
        <w:t xml:space="preserve">most </w:t>
      </w:r>
      <w:r w:rsidR="0045687B">
        <w:rPr>
          <w:rFonts w:ascii="Arial" w:hAnsi="Arial" w:cs="Arial"/>
        </w:rPr>
        <w:t xml:space="preserve">appropriate </w:t>
      </w:r>
      <w:r w:rsidR="00DC2C05">
        <w:rPr>
          <w:rFonts w:ascii="Arial" w:hAnsi="Arial" w:cs="Arial"/>
        </w:rPr>
        <w:t xml:space="preserve">Segment for SCT. </w:t>
      </w:r>
      <w:r w:rsidR="00C927DA">
        <w:rPr>
          <w:rFonts w:ascii="Arial" w:hAnsi="Arial" w:cs="Arial"/>
        </w:rPr>
        <w:t>At the workshop, representatives for SCT proposed that SCT be assigned to the IOU Segment and provided additional language for the Bylaws to expand the definition of the IOU Segment.</w:t>
      </w:r>
      <w:r w:rsidR="00C927DA">
        <w:rPr>
          <w:rStyle w:val="FootnoteReference"/>
          <w:rFonts w:ascii="Arial" w:hAnsi="Arial" w:cs="Arial"/>
        </w:rPr>
        <w:footnoteReference w:id="6"/>
      </w:r>
      <w:r w:rsidR="00C927DA">
        <w:rPr>
          <w:rFonts w:ascii="Arial" w:hAnsi="Arial" w:cs="Arial"/>
        </w:rPr>
        <w:t xml:space="preserve"> </w:t>
      </w:r>
      <w:r w:rsidR="00820330">
        <w:rPr>
          <w:rFonts w:ascii="Arial" w:hAnsi="Arial" w:cs="Arial"/>
        </w:rPr>
        <w:t xml:space="preserve">Following the workshop, ERCOT solicited additional comments regarding this issue. </w:t>
      </w:r>
      <w:r w:rsidR="00C927DA">
        <w:rPr>
          <w:rFonts w:ascii="Arial" w:hAnsi="Arial" w:cs="Arial"/>
        </w:rPr>
        <w:t>The only other Entity to submit feedback regarding the appropriate Segment for SCT was Oncor Electric Delivery Company</w:t>
      </w:r>
      <w:r w:rsidR="003154FF">
        <w:rPr>
          <w:rFonts w:ascii="Arial" w:hAnsi="Arial" w:cs="Arial"/>
        </w:rPr>
        <w:t xml:space="preserve"> (Oncor)</w:t>
      </w:r>
      <w:r w:rsidR="00C927DA">
        <w:rPr>
          <w:rFonts w:ascii="Arial" w:hAnsi="Arial" w:cs="Arial"/>
        </w:rPr>
        <w:t xml:space="preserve">, a Member of the IOU Segment, which recommended that SCT be assigned to the Independent Power Marketer Segment, and provided additional language for the Bylaws to expand the definition of the </w:t>
      </w:r>
      <w:r w:rsidR="00820330">
        <w:rPr>
          <w:rFonts w:ascii="Arial" w:hAnsi="Arial" w:cs="Arial"/>
        </w:rPr>
        <w:t>Independent Power Marketer</w:t>
      </w:r>
      <w:r w:rsidR="00C927DA">
        <w:rPr>
          <w:rFonts w:ascii="Arial" w:hAnsi="Arial" w:cs="Arial"/>
        </w:rPr>
        <w:t xml:space="preserve"> </w:t>
      </w:r>
      <w:r w:rsidR="00C927DA">
        <w:rPr>
          <w:rFonts w:ascii="Arial" w:hAnsi="Arial" w:cs="Arial"/>
        </w:rPr>
        <w:lastRenderedPageBreak/>
        <w:t>Segment</w:t>
      </w:r>
      <w:r w:rsidR="00820330">
        <w:rPr>
          <w:rFonts w:ascii="Arial" w:hAnsi="Arial" w:cs="Arial"/>
        </w:rPr>
        <w:t xml:space="preserve"> accordingly</w:t>
      </w:r>
      <w:r w:rsidR="00C927DA">
        <w:rPr>
          <w:rFonts w:ascii="Arial" w:hAnsi="Arial" w:cs="Arial"/>
        </w:rPr>
        <w:t>.</w:t>
      </w:r>
      <w:r w:rsidR="00820330">
        <w:rPr>
          <w:rStyle w:val="FootnoteReference"/>
          <w:rFonts w:ascii="Arial" w:hAnsi="Arial" w:cs="Arial"/>
        </w:rPr>
        <w:footnoteReference w:id="7"/>
      </w:r>
      <w:r w:rsidR="00C927DA">
        <w:rPr>
          <w:rFonts w:ascii="Arial" w:hAnsi="Arial" w:cs="Arial"/>
        </w:rPr>
        <w:t xml:space="preserve"> </w:t>
      </w:r>
      <w:r w:rsidR="00DC2C05">
        <w:rPr>
          <w:rFonts w:ascii="Arial" w:hAnsi="Arial" w:cs="Arial"/>
        </w:rPr>
        <w:t xml:space="preserve">This issue was also </w:t>
      </w:r>
      <w:r w:rsidR="00820330">
        <w:rPr>
          <w:rFonts w:ascii="Arial" w:hAnsi="Arial" w:cs="Arial"/>
        </w:rPr>
        <w:t xml:space="preserve">briefly </w:t>
      </w:r>
      <w:r w:rsidR="00DC2C05">
        <w:rPr>
          <w:rFonts w:ascii="Arial" w:hAnsi="Arial" w:cs="Arial"/>
        </w:rPr>
        <w:t>discussed at the September 28, 2017 TAC meeting.</w:t>
      </w:r>
      <w:r w:rsidR="00854D2F">
        <w:rPr>
          <w:rFonts w:ascii="Arial" w:hAnsi="Arial" w:cs="Arial"/>
        </w:rPr>
        <w:t xml:space="preserve"> </w:t>
      </w:r>
      <w:r w:rsidR="00820330">
        <w:rPr>
          <w:rFonts w:ascii="Arial" w:hAnsi="Arial" w:cs="Arial"/>
        </w:rPr>
        <w:t>No further written comments were submitted regarding SCT’s Segment designation</w:t>
      </w:r>
      <w:r w:rsidR="00854D2F">
        <w:rPr>
          <w:rFonts w:ascii="Arial" w:hAnsi="Arial" w:cs="Arial"/>
        </w:rPr>
        <w:t>.</w:t>
      </w:r>
    </w:p>
    <w:p w14:paraId="70558BE3" w14:textId="77777777" w:rsidR="001510CE" w:rsidRDefault="001510CE" w:rsidP="00C00BC0">
      <w:pPr>
        <w:jc w:val="both"/>
        <w:rPr>
          <w:rFonts w:ascii="Arial" w:hAnsi="Arial" w:cs="Arial"/>
        </w:rPr>
      </w:pPr>
    </w:p>
    <w:p w14:paraId="1CE48458" w14:textId="77777777" w:rsidR="00DC2C05" w:rsidRPr="008A2B88" w:rsidRDefault="008A2B88" w:rsidP="0034556B">
      <w:pPr>
        <w:keepNext/>
        <w:keepLines/>
        <w:spacing w:after="240"/>
        <w:jc w:val="both"/>
        <w:rPr>
          <w:rFonts w:ascii="Arial" w:hAnsi="Arial" w:cs="Arial"/>
          <w:b/>
          <w:i/>
        </w:rPr>
      </w:pPr>
      <w:r w:rsidRPr="008A2B88">
        <w:rPr>
          <w:rFonts w:ascii="Arial" w:hAnsi="Arial" w:cs="Arial"/>
          <w:b/>
          <w:i/>
        </w:rPr>
        <w:t>ERCOT Membership and Segments</w:t>
      </w:r>
    </w:p>
    <w:p w14:paraId="05B5E7A2" w14:textId="0651091C" w:rsidR="008A2B88" w:rsidRDefault="008A2B88" w:rsidP="008A2B88">
      <w:pPr>
        <w:tabs>
          <w:tab w:val="num" w:pos="720"/>
        </w:tabs>
        <w:jc w:val="both"/>
        <w:rPr>
          <w:rFonts w:ascii="Arial" w:hAnsi="Arial" w:cs="Arial"/>
        </w:rPr>
      </w:pPr>
      <w:r>
        <w:rPr>
          <w:rFonts w:ascii="Arial" w:hAnsi="Arial" w:cs="Arial"/>
        </w:rPr>
        <w:t xml:space="preserve">ERCOT is a </w:t>
      </w:r>
      <w:r w:rsidRPr="008A2B88">
        <w:rPr>
          <w:rFonts w:ascii="Arial" w:hAnsi="Arial" w:cs="Arial"/>
          <w:bCs/>
        </w:rPr>
        <w:t>Texas 501(c</w:t>
      </w:r>
      <w:proofErr w:type="gramStart"/>
      <w:r w:rsidRPr="008A2B88">
        <w:rPr>
          <w:rFonts w:ascii="Arial" w:hAnsi="Arial" w:cs="Arial"/>
          <w:bCs/>
        </w:rPr>
        <w:t>)(</w:t>
      </w:r>
      <w:proofErr w:type="gramEnd"/>
      <w:r w:rsidRPr="008A2B88">
        <w:rPr>
          <w:rFonts w:ascii="Arial" w:hAnsi="Arial" w:cs="Arial"/>
          <w:bCs/>
        </w:rPr>
        <w:t>4)</w:t>
      </w:r>
      <w:r>
        <w:rPr>
          <w:rFonts w:ascii="Arial" w:hAnsi="Arial" w:cs="Arial"/>
          <w:bCs/>
        </w:rPr>
        <w:t xml:space="preserve"> </w:t>
      </w:r>
      <w:r w:rsidRPr="008A2B88">
        <w:rPr>
          <w:rFonts w:ascii="Arial" w:hAnsi="Arial" w:cs="Arial"/>
          <w:bCs/>
        </w:rPr>
        <w:t>non-profit corporation</w:t>
      </w:r>
      <w:r>
        <w:rPr>
          <w:rFonts w:ascii="Arial" w:hAnsi="Arial" w:cs="Arial"/>
          <w:bCs/>
        </w:rPr>
        <w:t xml:space="preserve">. </w:t>
      </w:r>
      <w:r w:rsidRPr="008A2B88">
        <w:rPr>
          <w:rFonts w:ascii="Arial" w:hAnsi="Arial" w:cs="Arial"/>
        </w:rPr>
        <w:t>Section 1.002(53</w:t>
      </w:r>
      <w:proofErr w:type="gramStart"/>
      <w:r w:rsidRPr="008A2B88">
        <w:rPr>
          <w:rFonts w:ascii="Arial" w:hAnsi="Arial" w:cs="Arial"/>
        </w:rPr>
        <w:t>)(</w:t>
      </w:r>
      <w:proofErr w:type="gramEnd"/>
      <w:r w:rsidRPr="008A2B88">
        <w:rPr>
          <w:rFonts w:ascii="Arial" w:hAnsi="Arial" w:cs="Arial"/>
        </w:rPr>
        <w:t>B) of the Texas Business Organizations Code defines a “</w:t>
      </w:r>
      <w:r w:rsidRPr="008A2B88">
        <w:rPr>
          <w:rFonts w:ascii="Arial" w:hAnsi="Arial" w:cs="Arial"/>
          <w:bCs/>
        </w:rPr>
        <w:t>member</w:t>
      </w:r>
      <w:r w:rsidRPr="008A2B88">
        <w:rPr>
          <w:rFonts w:ascii="Arial" w:hAnsi="Arial" w:cs="Arial"/>
        </w:rPr>
        <w:t>” of a non-profit corporation as “a person who has membership rights in the nonprofit corporation under its governing documents.”</w:t>
      </w:r>
      <w:r>
        <w:rPr>
          <w:rStyle w:val="FootnoteReference"/>
          <w:rFonts w:ascii="Arial" w:hAnsi="Arial" w:cs="Arial"/>
        </w:rPr>
        <w:footnoteReference w:id="8"/>
      </w:r>
      <w:r w:rsidR="00E51151">
        <w:rPr>
          <w:rFonts w:ascii="Arial" w:hAnsi="Arial" w:cs="Arial"/>
        </w:rPr>
        <w:t xml:space="preserve"> ERCOT’s membership is defined through the Bylaws. Article 2, Section 19 defines “Member” as “</w:t>
      </w:r>
      <w:r w:rsidR="00E51151" w:rsidRPr="00E51151">
        <w:rPr>
          <w:rFonts w:ascii="Arial" w:hAnsi="Arial" w:cs="Arial"/>
        </w:rPr>
        <w:t xml:space="preserve">A member of ERCOT, the Texas non-stock, non-profit corporation, which has been approved by ERCOT to meet the applicable membership qualifications described in Sections 3.1 and 3.2 of </w:t>
      </w:r>
      <w:r w:rsidR="00E51151">
        <w:rPr>
          <w:rFonts w:ascii="Arial" w:hAnsi="Arial" w:cs="Arial"/>
        </w:rPr>
        <w:t>[</w:t>
      </w:r>
      <w:r w:rsidR="00E51151" w:rsidRPr="00E51151">
        <w:rPr>
          <w:rFonts w:ascii="Arial" w:hAnsi="Arial" w:cs="Arial"/>
        </w:rPr>
        <w:t>the</w:t>
      </w:r>
      <w:r w:rsidR="00E51151">
        <w:rPr>
          <w:rFonts w:ascii="Arial" w:hAnsi="Arial" w:cs="Arial"/>
        </w:rPr>
        <w:t>]</w:t>
      </w:r>
      <w:r w:rsidR="00E51151" w:rsidRPr="00E51151">
        <w:rPr>
          <w:rFonts w:ascii="Arial" w:hAnsi="Arial" w:cs="Arial"/>
        </w:rPr>
        <w:t xml:space="preserve"> Bylaws, or the member’s appointed representative, as the context so requires.</w:t>
      </w:r>
      <w:r w:rsidR="00E51151">
        <w:rPr>
          <w:rFonts w:ascii="Arial" w:hAnsi="Arial" w:cs="Arial"/>
        </w:rPr>
        <w:t>” According to Section 3.1</w:t>
      </w:r>
      <w:r w:rsidR="00815850">
        <w:rPr>
          <w:rFonts w:ascii="Arial" w:hAnsi="Arial" w:cs="Arial"/>
        </w:rPr>
        <w:t>,</w:t>
      </w:r>
      <w:r w:rsidR="002E30D1">
        <w:rPr>
          <w:rStyle w:val="FootnoteReference"/>
          <w:rFonts w:ascii="Arial" w:hAnsi="Arial" w:cs="Arial"/>
        </w:rPr>
        <w:footnoteReference w:id="9"/>
      </w:r>
      <w:r w:rsidR="00E51151">
        <w:rPr>
          <w:rFonts w:ascii="Arial" w:hAnsi="Arial" w:cs="Arial"/>
        </w:rPr>
        <w:t xml:space="preserve"> Members must qualify in one of the following </w:t>
      </w:r>
      <w:r w:rsidR="00091F36">
        <w:rPr>
          <w:rFonts w:ascii="Arial" w:hAnsi="Arial" w:cs="Arial"/>
        </w:rPr>
        <w:t>S</w:t>
      </w:r>
      <w:r w:rsidR="00E51151">
        <w:rPr>
          <w:rFonts w:ascii="Arial" w:hAnsi="Arial" w:cs="Arial"/>
        </w:rPr>
        <w:t>egments as defined in Article 2:</w:t>
      </w:r>
    </w:p>
    <w:p w14:paraId="2E83E627" w14:textId="77777777" w:rsidR="00E51151" w:rsidRDefault="00E51151" w:rsidP="008A2B88">
      <w:pPr>
        <w:tabs>
          <w:tab w:val="num" w:pos="720"/>
        </w:tabs>
        <w:jc w:val="both"/>
        <w:rPr>
          <w:rFonts w:ascii="Arial" w:hAnsi="Arial" w:cs="Arial"/>
        </w:rPr>
      </w:pPr>
    </w:p>
    <w:p w14:paraId="152137C5" w14:textId="77777777" w:rsidR="00E51151" w:rsidRPr="00E51151" w:rsidRDefault="00E51151" w:rsidP="00E51151">
      <w:pPr>
        <w:tabs>
          <w:tab w:val="num" w:pos="720"/>
        </w:tabs>
        <w:ind w:left="720"/>
        <w:jc w:val="both"/>
        <w:rPr>
          <w:rFonts w:ascii="Arial" w:hAnsi="Arial" w:cs="Arial"/>
        </w:rPr>
      </w:pPr>
      <w:r w:rsidRPr="00E51151">
        <w:rPr>
          <w:rFonts w:ascii="Arial" w:hAnsi="Arial" w:cs="Arial"/>
        </w:rPr>
        <w:t>(1) Cooperative;</w:t>
      </w:r>
    </w:p>
    <w:p w14:paraId="36652CA0" w14:textId="77777777" w:rsidR="00E51151" w:rsidRPr="00E51151" w:rsidRDefault="00E51151" w:rsidP="00E51151">
      <w:pPr>
        <w:tabs>
          <w:tab w:val="num" w:pos="720"/>
        </w:tabs>
        <w:ind w:left="720"/>
        <w:jc w:val="both"/>
        <w:rPr>
          <w:rFonts w:ascii="Arial" w:hAnsi="Arial" w:cs="Arial"/>
        </w:rPr>
      </w:pPr>
      <w:r w:rsidRPr="00E51151">
        <w:rPr>
          <w:rFonts w:ascii="Arial" w:hAnsi="Arial" w:cs="Arial"/>
        </w:rPr>
        <w:t>(2) Independent Generator;</w:t>
      </w:r>
    </w:p>
    <w:p w14:paraId="626DC878" w14:textId="77777777" w:rsidR="00E51151" w:rsidRPr="00E51151" w:rsidRDefault="00E51151" w:rsidP="00E51151">
      <w:pPr>
        <w:tabs>
          <w:tab w:val="num" w:pos="720"/>
        </w:tabs>
        <w:ind w:left="720"/>
        <w:jc w:val="both"/>
        <w:rPr>
          <w:rFonts w:ascii="Arial" w:hAnsi="Arial" w:cs="Arial"/>
        </w:rPr>
      </w:pPr>
      <w:r w:rsidRPr="00E51151">
        <w:rPr>
          <w:rFonts w:ascii="Arial" w:hAnsi="Arial" w:cs="Arial"/>
        </w:rPr>
        <w:t>(3) Independent Power Marketer;</w:t>
      </w:r>
    </w:p>
    <w:p w14:paraId="28B09556" w14:textId="77777777" w:rsidR="00E51151" w:rsidRPr="00E51151" w:rsidRDefault="00E51151" w:rsidP="00E51151">
      <w:pPr>
        <w:tabs>
          <w:tab w:val="num" w:pos="720"/>
        </w:tabs>
        <w:ind w:left="720"/>
        <w:jc w:val="both"/>
        <w:rPr>
          <w:rFonts w:ascii="Arial" w:hAnsi="Arial" w:cs="Arial"/>
        </w:rPr>
      </w:pPr>
      <w:r w:rsidRPr="00E51151">
        <w:rPr>
          <w:rFonts w:ascii="Arial" w:hAnsi="Arial" w:cs="Arial"/>
        </w:rPr>
        <w:t>(4) Independent REP;</w:t>
      </w:r>
    </w:p>
    <w:p w14:paraId="195DD3BE" w14:textId="77777777" w:rsidR="00E51151" w:rsidRPr="00E51151" w:rsidRDefault="00E51151" w:rsidP="00E51151">
      <w:pPr>
        <w:tabs>
          <w:tab w:val="num" w:pos="720"/>
        </w:tabs>
        <w:ind w:left="720"/>
        <w:jc w:val="both"/>
        <w:rPr>
          <w:rFonts w:ascii="Arial" w:hAnsi="Arial" w:cs="Arial"/>
        </w:rPr>
      </w:pPr>
      <w:r w:rsidRPr="00E51151">
        <w:rPr>
          <w:rFonts w:ascii="Arial" w:hAnsi="Arial" w:cs="Arial"/>
        </w:rPr>
        <w:t>(5) Investor-Owned Utility;</w:t>
      </w:r>
    </w:p>
    <w:p w14:paraId="3F90EF26" w14:textId="77777777" w:rsidR="00E51151" w:rsidRPr="00E51151" w:rsidRDefault="00E51151" w:rsidP="00E51151">
      <w:pPr>
        <w:tabs>
          <w:tab w:val="num" w:pos="720"/>
        </w:tabs>
        <w:ind w:left="720"/>
        <w:jc w:val="both"/>
        <w:rPr>
          <w:rFonts w:ascii="Arial" w:hAnsi="Arial" w:cs="Arial"/>
        </w:rPr>
      </w:pPr>
      <w:r w:rsidRPr="00E51151">
        <w:rPr>
          <w:rFonts w:ascii="Arial" w:hAnsi="Arial" w:cs="Arial"/>
        </w:rPr>
        <w:t>(6) Municipal; or,</w:t>
      </w:r>
    </w:p>
    <w:p w14:paraId="36335774" w14:textId="77777777" w:rsidR="00E51151" w:rsidRDefault="00E51151" w:rsidP="00E51151">
      <w:pPr>
        <w:tabs>
          <w:tab w:val="num" w:pos="720"/>
        </w:tabs>
        <w:ind w:left="720"/>
        <w:jc w:val="both"/>
        <w:rPr>
          <w:rFonts w:ascii="Arial" w:hAnsi="Arial" w:cs="Arial"/>
        </w:rPr>
      </w:pPr>
      <w:r w:rsidRPr="00E51151">
        <w:rPr>
          <w:rFonts w:ascii="Arial" w:hAnsi="Arial" w:cs="Arial"/>
        </w:rPr>
        <w:t>(7) Consum</w:t>
      </w:r>
      <w:r>
        <w:rPr>
          <w:rFonts w:ascii="Arial" w:hAnsi="Arial" w:cs="Arial"/>
        </w:rPr>
        <w:t xml:space="preserve">er in one of three </w:t>
      </w:r>
      <w:proofErr w:type="spellStart"/>
      <w:r>
        <w:rPr>
          <w:rFonts w:ascii="Arial" w:hAnsi="Arial" w:cs="Arial"/>
        </w:rPr>
        <w:t>subsegments</w:t>
      </w:r>
      <w:proofErr w:type="spellEnd"/>
      <w:r>
        <w:rPr>
          <w:rFonts w:ascii="Arial" w:hAnsi="Arial" w:cs="Arial"/>
        </w:rPr>
        <w:t>:</w:t>
      </w:r>
    </w:p>
    <w:p w14:paraId="6AAEBE07" w14:textId="77777777" w:rsidR="00E51151" w:rsidRDefault="00E51151" w:rsidP="00E51151">
      <w:pPr>
        <w:tabs>
          <w:tab w:val="num" w:pos="720"/>
        </w:tabs>
        <w:ind w:left="1440"/>
        <w:jc w:val="both"/>
        <w:rPr>
          <w:rFonts w:ascii="Arial" w:hAnsi="Arial" w:cs="Arial"/>
        </w:rPr>
      </w:pPr>
      <w:r w:rsidRPr="00E51151">
        <w:rPr>
          <w:rFonts w:ascii="Arial" w:hAnsi="Arial" w:cs="Arial"/>
        </w:rPr>
        <w:t>(</w:t>
      </w:r>
      <w:proofErr w:type="spellStart"/>
      <w:r w:rsidRPr="00E51151">
        <w:rPr>
          <w:rFonts w:ascii="Arial" w:hAnsi="Arial" w:cs="Arial"/>
        </w:rPr>
        <w:t>i</w:t>
      </w:r>
      <w:proofErr w:type="spellEnd"/>
      <w:r w:rsidRPr="00E51151">
        <w:rPr>
          <w:rFonts w:ascii="Arial" w:hAnsi="Arial" w:cs="Arial"/>
        </w:rPr>
        <w:t>) Commercial (which is further divided into Large and Small Commercial Consumer);</w:t>
      </w:r>
    </w:p>
    <w:p w14:paraId="4CBCF7EC" w14:textId="77777777" w:rsidR="00E51151" w:rsidRDefault="00E51151" w:rsidP="00E51151">
      <w:pPr>
        <w:tabs>
          <w:tab w:val="num" w:pos="720"/>
        </w:tabs>
        <w:ind w:left="1440"/>
        <w:jc w:val="both"/>
        <w:rPr>
          <w:rFonts w:ascii="Arial" w:hAnsi="Arial" w:cs="Arial"/>
        </w:rPr>
      </w:pPr>
      <w:r w:rsidRPr="00E51151">
        <w:rPr>
          <w:rFonts w:ascii="Arial" w:hAnsi="Arial" w:cs="Arial"/>
        </w:rPr>
        <w:t>(ii) Industrial; and</w:t>
      </w:r>
    </w:p>
    <w:p w14:paraId="087FE95C" w14:textId="77777777" w:rsidR="00E51151" w:rsidRDefault="00E51151" w:rsidP="00E51151">
      <w:pPr>
        <w:tabs>
          <w:tab w:val="num" w:pos="720"/>
        </w:tabs>
        <w:ind w:left="1440"/>
        <w:jc w:val="both"/>
        <w:rPr>
          <w:rFonts w:ascii="Arial" w:hAnsi="Arial" w:cs="Arial"/>
        </w:rPr>
      </w:pPr>
      <w:r w:rsidRPr="00E51151">
        <w:rPr>
          <w:rFonts w:ascii="Arial" w:hAnsi="Arial" w:cs="Arial"/>
        </w:rPr>
        <w:t>(iii) Residential.</w:t>
      </w:r>
    </w:p>
    <w:p w14:paraId="2E2832FC" w14:textId="77777777" w:rsidR="00E51151" w:rsidRDefault="00E51151" w:rsidP="00E51151">
      <w:pPr>
        <w:tabs>
          <w:tab w:val="num" w:pos="720"/>
        </w:tabs>
        <w:jc w:val="both"/>
        <w:rPr>
          <w:rFonts w:ascii="Arial" w:hAnsi="Arial" w:cs="Arial"/>
        </w:rPr>
      </w:pPr>
    </w:p>
    <w:p w14:paraId="5738A8BD" w14:textId="77777777" w:rsidR="000015BE" w:rsidRDefault="00745C85" w:rsidP="002E30D1">
      <w:pPr>
        <w:tabs>
          <w:tab w:val="num" w:pos="720"/>
        </w:tabs>
        <w:jc w:val="both"/>
        <w:rPr>
          <w:rFonts w:ascii="Arial" w:hAnsi="Arial" w:cs="Arial"/>
        </w:rPr>
      </w:pPr>
      <w:r>
        <w:rPr>
          <w:rFonts w:ascii="Arial" w:hAnsi="Arial" w:cs="Arial"/>
        </w:rPr>
        <w:t>Section 3.2 of the Bylaws provides for three types of Members with different rights and dues: Corporate, Associate and Adjunct. Corporate Members have the right to vote on all matters submitted to the general Membership, such as the election of Directors, the election of TAC Representatives, and amendments to the Bylaws or ERCOT Articles of Incorporation. Associate and Adjunct Members do not have such voting rights. Corporate and Associate Members may be elected or appointed to the ERCOT Board</w:t>
      </w:r>
      <w:r w:rsidR="00F046DD">
        <w:rPr>
          <w:rFonts w:ascii="Arial" w:hAnsi="Arial" w:cs="Arial"/>
        </w:rPr>
        <w:t xml:space="preserve"> of Directors (Board)</w:t>
      </w:r>
      <w:r>
        <w:rPr>
          <w:rFonts w:ascii="Arial" w:hAnsi="Arial" w:cs="Arial"/>
        </w:rPr>
        <w:t xml:space="preserve">, TAC, or any subcommittee of the Board or TAC, but Adjunct Members may not. Given their voting </w:t>
      </w:r>
      <w:r>
        <w:rPr>
          <w:rFonts w:ascii="Arial" w:hAnsi="Arial" w:cs="Arial"/>
        </w:rPr>
        <w:lastRenderedPageBreak/>
        <w:t xml:space="preserve">rights, Corporate </w:t>
      </w:r>
      <w:r w:rsidR="000015BE">
        <w:rPr>
          <w:rFonts w:ascii="Arial" w:hAnsi="Arial" w:cs="Arial"/>
        </w:rPr>
        <w:t>Members of ERCOT play a critical role in the corporate governance of ERCOT.</w:t>
      </w:r>
      <w:r>
        <w:rPr>
          <w:rFonts w:ascii="Arial" w:hAnsi="Arial" w:cs="Arial"/>
        </w:rPr>
        <w:t xml:space="preserve"> </w:t>
      </w:r>
    </w:p>
    <w:p w14:paraId="33AE4788" w14:textId="77777777" w:rsidR="000015BE" w:rsidRDefault="000015BE" w:rsidP="002E30D1">
      <w:pPr>
        <w:tabs>
          <w:tab w:val="num" w:pos="720"/>
        </w:tabs>
        <w:jc w:val="both"/>
        <w:rPr>
          <w:rFonts w:ascii="Arial" w:hAnsi="Arial" w:cs="Arial"/>
        </w:rPr>
      </w:pPr>
    </w:p>
    <w:p w14:paraId="3FFB0353" w14:textId="77777777" w:rsidR="00E51151" w:rsidRDefault="000E7EDB" w:rsidP="002E30D1">
      <w:pPr>
        <w:tabs>
          <w:tab w:val="num" w:pos="720"/>
        </w:tabs>
        <w:jc w:val="both"/>
        <w:rPr>
          <w:rFonts w:ascii="Arial" w:hAnsi="Arial" w:cs="Arial"/>
        </w:rPr>
      </w:pPr>
      <w:r>
        <w:rPr>
          <w:rFonts w:ascii="Arial" w:hAnsi="Arial" w:cs="Arial"/>
        </w:rPr>
        <w:t>Being a Member of ERCOT is distinct from status as an ERCOT Market Participant. Section 2.1 of the ERCOT Protocols defines “Market Participant” as:</w:t>
      </w:r>
    </w:p>
    <w:p w14:paraId="1BBB559B" w14:textId="77777777" w:rsidR="000E7EDB" w:rsidRDefault="000E7EDB" w:rsidP="002E30D1">
      <w:pPr>
        <w:tabs>
          <w:tab w:val="num" w:pos="720"/>
        </w:tabs>
        <w:jc w:val="both"/>
        <w:rPr>
          <w:rFonts w:ascii="Arial" w:hAnsi="Arial" w:cs="Arial"/>
        </w:rPr>
      </w:pPr>
    </w:p>
    <w:p w14:paraId="7CCFD599" w14:textId="77777777" w:rsidR="000E7EDB" w:rsidRDefault="000E7EDB" w:rsidP="000E7EDB">
      <w:pPr>
        <w:ind w:left="720" w:right="720"/>
        <w:jc w:val="both"/>
        <w:rPr>
          <w:rFonts w:ascii="Arial" w:hAnsi="Arial" w:cs="Arial"/>
        </w:rPr>
      </w:pPr>
      <w:r w:rsidRPr="000E7EDB">
        <w:rPr>
          <w:rFonts w:ascii="Arial" w:hAnsi="Arial" w:cs="Arial"/>
        </w:rP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r>
        <w:rPr>
          <w:rFonts w:ascii="Arial" w:hAnsi="Arial" w:cs="Arial"/>
        </w:rPr>
        <w:t xml:space="preserve">[Load Serving Entity (LSE), Qualified Scheduling Entity (QSE), Congestion Revenue Right (CRR) Account Holder, Resource Entity, </w:t>
      </w:r>
      <w:r w:rsidRPr="000E7EDB">
        <w:rPr>
          <w:rFonts w:ascii="Arial" w:hAnsi="Arial" w:cs="Arial"/>
        </w:rPr>
        <w:t>Independent Market Information System Registered Entity (IMRE)</w:t>
      </w:r>
      <w:r>
        <w:rPr>
          <w:rFonts w:ascii="Arial" w:hAnsi="Arial" w:cs="Arial"/>
        </w:rPr>
        <w:t xml:space="preserve"> and Renewable Energy Credit (REC) </w:t>
      </w:r>
      <w:r w:rsidRPr="000E7EDB">
        <w:rPr>
          <w:rFonts w:ascii="Arial" w:hAnsi="Arial" w:cs="Arial"/>
        </w:rPr>
        <w:t>Account Holder</w:t>
      </w:r>
      <w:r>
        <w:rPr>
          <w:rFonts w:ascii="Arial" w:hAnsi="Arial" w:cs="Arial"/>
        </w:rPr>
        <w:t>]</w:t>
      </w:r>
      <w:r w:rsidRPr="000E7EDB">
        <w:rPr>
          <w:rFonts w:ascii="Arial" w:hAnsi="Arial" w:cs="Arial"/>
        </w:rPr>
        <w:t>.</w:t>
      </w:r>
    </w:p>
    <w:p w14:paraId="4C425AEC" w14:textId="77777777" w:rsidR="000E7EDB" w:rsidRDefault="000E7EDB" w:rsidP="002E30D1">
      <w:pPr>
        <w:tabs>
          <w:tab w:val="num" w:pos="720"/>
        </w:tabs>
        <w:jc w:val="both"/>
        <w:rPr>
          <w:rFonts w:ascii="Arial" w:hAnsi="Arial" w:cs="Arial"/>
        </w:rPr>
      </w:pPr>
    </w:p>
    <w:p w14:paraId="28A6F1D1" w14:textId="77777777" w:rsidR="000E7EDB" w:rsidRDefault="00745C85" w:rsidP="002E30D1">
      <w:pPr>
        <w:tabs>
          <w:tab w:val="num" w:pos="720"/>
        </w:tabs>
        <w:jc w:val="both"/>
        <w:rPr>
          <w:rFonts w:ascii="Arial" w:hAnsi="Arial" w:cs="Arial"/>
        </w:rPr>
      </w:pPr>
      <w:r>
        <w:rPr>
          <w:rFonts w:ascii="Arial" w:hAnsi="Arial" w:cs="Arial"/>
        </w:rPr>
        <w:t>Many Entities are Market Participants but not Members</w:t>
      </w:r>
      <w:r w:rsidR="00F046DD">
        <w:rPr>
          <w:rFonts w:ascii="Arial" w:hAnsi="Arial" w:cs="Arial"/>
        </w:rPr>
        <w:t xml:space="preserve">. </w:t>
      </w:r>
      <w:r w:rsidR="000015BE">
        <w:rPr>
          <w:rFonts w:ascii="Arial" w:hAnsi="Arial" w:cs="Arial"/>
        </w:rPr>
        <w:t xml:space="preserve">There are approximately 300 Members of ERCOT and approximately 1,700 Market Participants. </w:t>
      </w:r>
      <w:r w:rsidR="00F046DD">
        <w:rPr>
          <w:rFonts w:ascii="Arial" w:hAnsi="Arial" w:cs="Arial"/>
        </w:rPr>
        <w:t>Market Participants that are not Members do not have the rights afforded to Members as described above, such as the right to elect Directors or TAC Representatives.</w:t>
      </w:r>
      <w:r w:rsidR="00091F36">
        <w:rPr>
          <w:rFonts w:ascii="Arial" w:hAnsi="Arial" w:cs="Arial"/>
        </w:rPr>
        <w:t xml:space="preserve"> A Market Participant does not need to be a Member, and in fact some types of Market Participants would typically not </w:t>
      </w:r>
      <w:r w:rsidR="00E1741D">
        <w:rPr>
          <w:rFonts w:ascii="Arial" w:hAnsi="Arial" w:cs="Arial"/>
        </w:rPr>
        <w:t>satisfy</w:t>
      </w:r>
      <w:r w:rsidR="00091F36">
        <w:rPr>
          <w:rFonts w:ascii="Arial" w:hAnsi="Arial" w:cs="Arial"/>
        </w:rPr>
        <w:t xml:space="preserve"> any of the </w:t>
      </w:r>
      <w:r w:rsidR="00E1741D">
        <w:rPr>
          <w:rFonts w:ascii="Arial" w:hAnsi="Arial" w:cs="Arial"/>
        </w:rPr>
        <w:t xml:space="preserve">current </w:t>
      </w:r>
      <w:r w:rsidR="00091F36">
        <w:rPr>
          <w:rFonts w:ascii="Arial" w:hAnsi="Arial" w:cs="Arial"/>
        </w:rPr>
        <w:t>Segment</w:t>
      </w:r>
      <w:r w:rsidR="00E1741D">
        <w:rPr>
          <w:rFonts w:ascii="Arial" w:hAnsi="Arial" w:cs="Arial"/>
        </w:rPr>
        <w:t xml:space="preserve"> definition</w:t>
      </w:r>
      <w:r w:rsidR="00091F36">
        <w:rPr>
          <w:rFonts w:ascii="Arial" w:hAnsi="Arial" w:cs="Arial"/>
        </w:rPr>
        <w:t>s and thus would be ineligible to be a Member, such as IMREs, or CRR Account Holders and REC Account Holders that do not perform additional functions in the ERCOT markets.</w:t>
      </w:r>
    </w:p>
    <w:p w14:paraId="2797AFDA" w14:textId="77777777" w:rsidR="009E1CA5" w:rsidRDefault="009E1CA5" w:rsidP="002E30D1">
      <w:pPr>
        <w:tabs>
          <w:tab w:val="num" w:pos="720"/>
        </w:tabs>
        <w:jc w:val="both"/>
        <w:rPr>
          <w:rFonts w:ascii="Arial" w:hAnsi="Arial" w:cs="Arial"/>
        </w:rPr>
      </w:pPr>
    </w:p>
    <w:p w14:paraId="0141F845" w14:textId="77777777" w:rsidR="00091F36" w:rsidRDefault="009E1CA5" w:rsidP="002E30D1">
      <w:pPr>
        <w:tabs>
          <w:tab w:val="num" w:pos="720"/>
        </w:tabs>
        <w:jc w:val="both"/>
        <w:rPr>
          <w:rFonts w:ascii="Arial" w:hAnsi="Arial" w:cs="Arial"/>
        </w:rPr>
      </w:pPr>
      <w:r>
        <w:rPr>
          <w:rFonts w:ascii="Arial" w:hAnsi="Arial" w:cs="Arial"/>
        </w:rPr>
        <w:t xml:space="preserve">The existence of the Segments is established in the Bylaws. </w:t>
      </w:r>
      <w:r w:rsidR="00EA32F5">
        <w:rPr>
          <w:rFonts w:ascii="Arial" w:hAnsi="Arial" w:cs="Arial"/>
        </w:rPr>
        <w:t xml:space="preserve">Neither </w:t>
      </w:r>
      <w:r w:rsidR="0034556B">
        <w:rPr>
          <w:rFonts w:ascii="Arial" w:hAnsi="Arial" w:cs="Arial"/>
        </w:rPr>
        <w:t>the Public Utility Regulatory Act (</w:t>
      </w:r>
      <w:r w:rsidR="00EA32F5">
        <w:rPr>
          <w:rFonts w:ascii="Arial" w:hAnsi="Arial" w:cs="Arial"/>
        </w:rPr>
        <w:t>PURA</w:t>
      </w:r>
      <w:r w:rsidR="0034556B">
        <w:rPr>
          <w:rFonts w:ascii="Arial" w:hAnsi="Arial" w:cs="Arial"/>
        </w:rPr>
        <w:t>)</w:t>
      </w:r>
      <w:r w:rsidR="00EA32F5">
        <w:rPr>
          <w:rFonts w:ascii="Arial" w:hAnsi="Arial" w:cs="Arial"/>
        </w:rPr>
        <w:t xml:space="preserve"> nor the PUCT Substantive Rules specify the Segments that must exist</w:t>
      </w:r>
      <w:r w:rsidR="00700C63">
        <w:rPr>
          <w:rFonts w:ascii="Arial" w:hAnsi="Arial" w:cs="Arial"/>
        </w:rPr>
        <w:t xml:space="preserve">, </w:t>
      </w:r>
      <w:r w:rsidR="00E1741D">
        <w:rPr>
          <w:rFonts w:ascii="Arial" w:hAnsi="Arial" w:cs="Arial"/>
        </w:rPr>
        <w:t xml:space="preserve">although </w:t>
      </w:r>
      <w:r w:rsidR="00EA32F5">
        <w:rPr>
          <w:rFonts w:ascii="Arial" w:hAnsi="Arial" w:cs="Arial"/>
        </w:rPr>
        <w:t>PUCT Substantive Rule 25.362(g)(1)(A) states that ERCOT shall establish and implement criteria for an individual to serve on the Board, which shall include “[d]</w:t>
      </w:r>
      <w:proofErr w:type="spellStart"/>
      <w:r w:rsidR="00EA32F5">
        <w:rPr>
          <w:rFonts w:ascii="Arial" w:hAnsi="Arial" w:cs="Arial"/>
        </w:rPr>
        <w:t>efinitions</w:t>
      </w:r>
      <w:proofErr w:type="spellEnd"/>
      <w:r w:rsidR="00EA32F5">
        <w:rPr>
          <w:rFonts w:ascii="Arial" w:hAnsi="Arial" w:cs="Arial"/>
        </w:rPr>
        <w:t xml:space="preserve"> of the market sectors </w:t>
      </w:r>
      <w:r w:rsidR="00E1741D">
        <w:rPr>
          <w:rFonts w:ascii="Arial" w:hAnsi="Arial" w:cs="Arial"/>
        </w:rPr>
        <w:t xml:space="preserve">. . . </w:t>
      </w:r>
      <w:r w:rsidR="00EA32F5">
        <w:rPr>
          <w:rFonts w:ascii="Arial" w:hAnsi="Arial" w:cs="Arial"/>
        </w:rPr>
        <w:t>.” However, PURA § 39.151(g) states that the Board “must be composed” of certain specific members, including “six market participants elected by their respective market segments to serve one-year terms,” with one representing each of independent generators, investor-owned utilities, power marketers, retail electric providers, mu</w:t>
      </w:r>
      <w:r w:rsidR="00B576B5">
        <w:rPr>
          <w:rFonts w:ascii="Arial" w:hAnsi="Arial" w:cs="Arial"/>
        </w:rPr>
        <w:t>nicipally owned utilities and electric cooperatives, plus one member representing industrial consumers and one representing large commercial consumers.</w:t>
      </w:r>
      <w:r w:rsidR="00B576B5">
        <w:rPr>
          <w:rStyle w:val="FootnoteReference"/>
          <w:rFonts w:ascii="Arial" w:hAnsi="Arial" w:cs="Arial"/>
        </w:rPr>
        <w:footnoteReference w:id="10"/>
      </w:r>
      <w:r w:rsidR="00B576B5">
        <w:rPr>
          <w:rFonts w:ascii="Arial" w:hAnsi="Arial" w:cs="Arial"/>
        </w:rPr>
        <w:t xml:space="preserve"> Accordingly, while ERCOT could create one or more additional Segments beyond those in existence today, any such Segment would not be entitled to be represented on the Board without an amendment to PURA.</w:t>
      </w:r>
      <w:r w:rsidR="00E1741D">
        <w:rPr>
          <w:rStyle w:val="FootnoteReference"/>
          <w:rFonts w:ascii="Arial" w:hAnsi="Arial" w:cs="Arial"/>
        </w:rPr>
        <w:footnoteReference w:id="11"/>
      </w:r>
    </w:p>
    <w:p w14:paraId="5ADE19C6" w14:textId="77777777" w:rsidR="00E9560B" w:rsidRDefault="00E9560B" w:rsidP="0069796E">
      <w:pPr>
        <w:tabs>
          <w:tab w:val="num" w:pos="720"/>
        </w:tabs>
        <w:jc w:val="both"/>
        <w:rPr>
          <w:rFonts w:ascii="Arial" w:hAnsi="Arial" w:cs="Arial"/>
        </w:rPr>
      </w:pPr>
    </w:p>
    <w:p w14:paraId="158FAF4E" w14:textId="77777777" w:rsidR="00DC2C05" w:rsidRPr="00232978" w:rsidRDefault="00DC2C05" w:rsidP="0069796E">
      <w:pPr>
        <w:keepNext/>
        <w:keepLines/>
        <w:spacing w:after="240"/>
        <w:jc w:val="both"/>
        <w:rPr>
          <w:rFonts w:ascii="Arial" w:hAnsi="Arial" w:cs="Arial"/>
          <w:b/>
          <w:i/>
        </w:rPr>
      </w:pPr>
      <w:r w:rsidRPr="00232978">
        <w:rPr>
          <w:rFonts w:ascii="Arial" w:hAnsi="Arial" w:cs="Arial"/>
          <w:b/>
          <w:i/>
        </w:rPr>
        <w:lastRenderedPageBreak/>
        <w:t>Analysis</w:t>
      </w:r>
    </w:p>
    <w:p w14:paraId="23E8A4CE" w14:textId="57E2F77B" w:rsidR="00C6675E" w:rsidRDefault="00183E28" w:rsidP="00C00BC0">
      <w:pPr>
        <w:jc w:val="both"/>
        <w:rPr>
          <w:rFonts w:ascii="Arial" w:hAnsi="Arial" w:cs="Arial"/>
        </w:rPr>
      </w:pPr>
      <w:r>
        <w:rPr>
          <w:rFonts w:ascii="Arial" w:hAnsi="Arial" w:cs="Arial"/>
        </w:rPr>
        <w:t xml:space="preserve">Based on the role it </w:t>
      </w:r>
      <w:r w:rsidR="00E9560B">
        <w:rPr>
          <w:rFonts w:ascii="Arial" w:hAnsi="Arial" w:cs="Arial"/>
        </w:rPr>
        <w:t>is expected to</w:t>
      </w:r>
      <w:r>
        <w:rPr>
          <w:rFonts w:ascii="Arial" w:hAnsi="Arial" w:cs="Arial"/>
        </w:rPr>
        <w:t xml:space="preserve"> have in the ERCOT markets, SCT will be a Market Participant</w:t>
      </w:r>
      <w:r w:rsidR="001510CE">
        <w:rPr>
          <w:rFonts w:ascii="Arial" w:hAnsi="Arial" w:cs="Arial"/>
        </w:rPr>
        <w:t xml:space="preserve"> since it will engage in activities that are the subject of the Protocols</w:t>
      </w:r>
      <w:r>
        <w:rPr>
          <w:rFonts w:ascii="Arial" w:hAnsi="Arial" w:cs="Arial"/>
        </w:rPr>
        <w:t>.</w:t>
      </w:r>
      <w:r w:rsidR="00466C96">
        <w:rPr>
          <w:rStyle w:val="FootnoteReference"/>
          <w:rFonts w:ascii="Arial" w:hAnsi="Arial" w:cs="Arial"/>
        </w:rPr>
        <w:footnoteReference w:id="12"/>
      </w:r>
      <w:r>
        <w:rPr>
          <w:rFonts w:ascii="Arial" w:hAnsi="Arial" w:cs="Arial"/>
        </w:rPr>
        <w:t xml:space="preserve"> However, as noted above, Market Participants do not need to be Members, and in fact many are not. To be a Member, an Entity must meet at least one of the Segment definitions. </w:t>
      </w:r>
      <w:r w:rsidR="00091F36">
        <w:rPr>
          <w:rFonts w:ascii="Arial" w:hAnsi="Arial" w:cs="Arial"/>
        </w:rPr>
        <w:t>As described above, t</w:t>
      </w:r>
      <w:r w:rsidR="00DC2C05">
        <w:rPr>
          <w:rFonts w:ascii="Arial" w:hAnsi="Arial" w:cs="Arial"/>
        </w:rPr>
        <w:t xml:space="preserve">here are seven Segments defined in the Bylaws. As defined, none of the Segments include Entities that own or operate a DC Tie but do not own </w:t>
      </w:r>
      <w:r w:rsidR="008359A5">
        <w:rPr>
          <w:rFonts w:ascii="Arial" w:hAnsi="Arial" w:cs="Arial"/>
        </w:rPr>
        <w:t xml:space="preserve">other </w:t>
      </w:r>
      <w:r w:rsidR="00DC2C05">
        <w:rPr>
          <w:rFonts w:ascii="Arial" w:hAnsi="Arial" w:cs="Arial"/>
        </w:rPr>
        <w:t>facilities in the ERCOT Region. Accordingly, in order to accommodate SCT’s membership</w:t>
      </w:r>
      <w:r w:rsidR="002C0304">
        <w:rPr>
          <w:rFonts w:ascii="Arial" w:hAnsi="Arial" w:cs="Arial"/>
        </w:rPr>
        <w:t xml:space="preserve"> without creating a new Segment</w:t>
      </w:r>
      <w:r w:rsidR="00DC2C05">
        <w:rPr>
          <w:rFonts w:ascii="Arial" w:hAnsi="Arial" w:cs="Arial"/>
        </w:rPr>
        <w:t>, one of the existing Segments would need to be modified.</w:t>
      </w:r>
    </w:p>
    <w:p w14:paraId="2F074A47" w14:textId="77777777" w:rsidR="00C6675E" w:rsidRDefault="00C6675E" w:rsidP="00C00BC0">
      <w:pPr>
        <w:jc w:val="both"/>
        <w:rPr>
          <w:rFonts w:ascii="Arial" w:hAnsi="Arial" w:cs="Arial"/>
        </w:rPr>
      </w:pPr>
    </w:p>
    <w:p w14:paraId="45B95EA8" w14:textId="3007C8F2" w:rsidR="00DC2C05" w:rsidRDefault="00C6675E" w:rsidP="00C00BC0">
      <w:pPr>
        <w:jc w:val="both"/>
        <w:rPr>
          <w:rFonts w:ascii="Arial" w:hAnsi="Arial" w:cs="Arial"/>
        </w:rPr>
      </w:pPr>
      <w:r>
        <w:rPr>
          <w:rFonts w:ascii="Arial" w:hAnsi="Arial" w:cs="Arial"/>
        </w:rPr>
        <w:t xml:space="preserve">Most </w:t>
      </w:r>
      <w:r w:rsidR="00DC2C05">
        <w:rPr>
          <w:rFonts w:ascii="Arial" w:hAnsi="Arial" w:cs="Arial"/>
        </w:rPr>
        <w:t xml:space="preserve">of the Segments do not appear to be </w:t>
      </w:r>
      <w:r>
        <w:rPr>
          <w:rFonts w:ascii="Arial" w:hAnsi="Arial" w:cs="Arial"/>
        </w:rPr>
        <w:t xml:space="preserve">an </w:t>
      </w:r>
      <w:r w:rsidR="00DC2C05">
        <w:rPr>
          <w:rFonts w:ascii="Arial" w:hAnsi="Arial" w:cs="Arial"/>
        </w:rPr>
        <w:t xml:space="preserve">appropriate </w:t>
      </w:r>
      <w:r>
        <w:rPr>
          <w:rFonts w:ascii="Arial" w:hAnsi="Arial" w:cs="Arial"/>
        </w:rPr>
        <w:t xml:space="preserve">fit </w:t>
      </w:r>
      <w:r w:rsidR="00DC2C05">
        <w:rPr>
          <w:rFonts w:ascii="Arial" w:hAnsi="Arial" w:cs="Arial"/>
        </w:rPr>
        <w:t>for SCT</w:t>
      </w:r>
      <w:r>
        <w:rPr>
          <w:rFonts w:ascii="Arial" w:hAnsi="Arial" w:cs="Arial"/>
        </w:rPr>
        <w:t xml:space="preserve">. </w:t>
      </w:r>
      <w:r w:rsidR="00E44432">
        <w:rPr>
          <w:rFonts w:ascii="Arial" w:hAnsi="Arial" w:cs="Arial"/>
        </w:rPr>
        <w:t>Although SCT does not meet all of the requirements for any existing Segment, t</w:t>
      </w:r>
      <w:r>
        <w:rPr>
          <w:rFonts w:ascii="Arial" w:hAnsi="Arial" w:cs="Arial"/>
        </w:rPr>
        <w:t xml:space="preserve">he two Segments that most reasonably align with SCT’s structure and anticipated activities in the ERCOT markets are the </w:t>
      </w:r>
      <w:r w:rsidR="00EB4D7C">
        <w:rPr>
          <w:rFonts w:ascii="Arial" w:hAnsi="Arial" w:cs="Arial"/>
        </w:rPr>
        <w:t xml:space="preserve">IOU </w:t>
      </w:r>
      <w:r>
        <w:rPr>
          <w:rFonts w:ascii="Arial" w:hAnsi="Arial" w:cs="Arial"/>
        </w:rPr>
        <w:t>Segment and the Independent Power Marketer Segment</w:t>
      </w:r>
      <w:r w:rsidR="00DC2C05">
        <w:rPr>
          <w:rFonts w:ascii="Arial" w:hAnsi="Arial" w:cs="Arial"/>
        </w:rPr>
        <w:t>.</w:t>
      </w:r>
      <w:r w:rsidR="00E9560B">
        <w:rPr>
          <w:rFonts w:ascii="Arial" w:hAnsi="Arial" w:cs="Arial"/>
        </w:rPr>
        <w:t xml:space="preserve"> </w:t>
      </w:r>
    </w:p>
    <w:p w14:paraId="73713D34" w14:textId="77777777" w:rsidR="00DC2C05" w:rsidRDefault="00DC2C05" w:rsidP="00C00BC0">
      <w:pPr>
        <w:jc w:val="both"/>
        <w:rPr>
          <w:rFonts w:ascii="Arial" w:hAnsi="Arial" w:cs="Arial"/>
        </w:rPr>
      </w:pPr>
    </w:p>
    <w:p w14:paraId="5A45DC7D" w14:textId="77777777" w:rsidR="003A25E2" w:rsidRPr="00232978" w:rsidRDefault="003A25E2" w:rsidP="0069796E">
      <w:pPr>
        <w:keepNext/>
        <w:keepLines/>
        <w:spacing w:after="240"/>
        <w:ind w:left="720"/>
        <w:jc w:val="both"/>
        <w:rPr>
          <w:rFonts w:ascii="Arial" w:hAnsi="Arial" w:cs="Arial"/>
          <w:b/>
          <w:i/>
        </w:rPr>
      </w:pPr>
      <w:r>
        <w:rPr>
          <w:rFonts w:ascii="Arial" w:hAnsi="Arial" w:cs="Arial"/>
          <w:b/>
          <w:i/>
        </w:rPr>
        <w:t>1</w:t>
      </w:r>
      <w:r w:rsidRPr="00232978">
        <w:rPr>
          <w:rFonts w:ascii="Arial" w:hAnsi="Arial" w:cs="Arial"/>
          <w:b/>
          <w:i/>
        </w:rPr>
        <w:t>.</w:t>
      </w:r>
      <w:r w:rsidRPr="00232978">
        <w:rPr>
          <w:rFonts w:ascii="Arial" w:hAnsi="Arial" w:cs="Arial"/>
          <w:b/>
          <w:i/>
        </w:rPr>
        <w:tab/>
        <w:t>Investor-Owned Utility Segment</w:t>
      </w:r>
    </w:p>
    <w:p w14:paraId="413AA029" w14:textId="77777777" w:rsidR="003A25E2" w:rsidRDefault="003A25E2" w:rsidP="003A25E2">
      <w:pPr>
        <w:jc w:val="both"/>
        <w:rPr>
          <w:rFonts w:ascii="Arial" w:hAnsi="Arial" w:cs="Arial"/>
        </w:rPr>
      </w:pPr>
      <w:r>
        <w:rPr>
          <w:rFonts w:ascii="Arial" w:hAnsi="Arial" w:cs="Arial"/>
        </w:rPr>
        <w:t>Article 2, Section 15 of the Bylaws defines</w:t>
      </w:r>
      <w:r w:rsidRPr="00E91BD1">
        <w:rPr>
          <w:rFonts w:ascii="Arial" w:hAnsi="Arial" w:cs="Arial"/>
        </w:rPr>
        <w:t xml:space="preserve"> </w:t>
      </w:r>
      <w:r w:rsidR="00126440">
        <w:rPr>
          <w:rFonts w:ascii="Arial" w:hAnsi="Arial" w:cs="Arial"/>
        </w:rPr>
        <w:t xml:space="preserve">IOU </w:t>
      </w:r>
      <w:r>
        <w:rPr>
          <w:rFonts w:ascii="Arial" w:hAnsi="Arial" w:cs="Arial"/>
        </w:rPr>
        <w:t>as follows:</w:t>
      </w:r>
    </w:p>
    <w:p w14:paraId="011F1034" w14:textId="77777777" w:rsidR="003A25E2" w:rsidRDefault="003A25E2" w:rsidP="003A25E2">
      <w:pPr>
        <w:jc w:val="both"/>
        <w:rPr>
          <w:rFonts w:ascii="Arial" w:hAnsi="Arial" w:cs="Arial"/>
        </w:rPr>
      </w:pPr>
    </w:p>
    <w:p w14:paraId="1FBD3D0F" w14:textId="77777777" w:rsidR="003A25E2" w:rsidRDefault="003A25E2" w:rsidP="003A25E2">
      <w:pPr>
        <w:ind w:left="720" w:right="720"/>
        <w:jc w:val="both"/>
        <w:rPr>
          <w:rFonts w:ascii="Arial" w:hAnsi="Arial" w:cs="Arial"/>
        </w:rPr>
      </w:pPr>
      <w:r w:rsidRPr="00E91BD1">
        <w:rPr>
          <w:rFonts w:ascii="Arial" w:hAnsi="Arial" w:cs="Arial"/>
          <w:b/>
        </w:rPr>
        <w:t>Investor-Owned Utility (“IOU”)</w:t>
      </w:r>
      <w:r>
        <w:rPr>
          <w:rFonts w:ascii="Arial" w:hAnsi="Arial" w:cs="Arial"/>
        </w:rPr>
        <w:t>.</w:t>
      </w:r>
    </w:p>
    <w:p w14:paraId="39DC3BB2" w14:textId="77777777" w:rsidR="003A25E2" w:rsidRDefault="003A25E2" w:rsidP="003A25E2">
      <w:pPr>
        <w:ind w:left="720" w:right="720"/>
        <w:jc w:val="both"/>
        <w:rPr>
          <w:rFonts w:ascii="Arial" w:hAnsi="Arial" w:cs="Arial"/>
        </w:rPr>
      </w:pPr>
    </w:p>
    <w:p w14:paraId="50EAF970" w14:textId="77777777" w:rsidR="003A25E2" w:rsidRPr="00E91BD1" w:rsidRDefault="003A25E2" w:rsidP="003A25E2">
      <w:pPr>
        <w:ind w:left="720" w:right="720"/>
        <w:jc w:val="both"/>
        <w:rPr>
          <w:rFonts w:ascii="Arial" w:hAnsi="Arial" w:cs="Arial"/>
        </w:rPr>
      </w:pPr>
      <w:r w:rsidRPr="00E91BD1">
        <w:rPr>
          <w:rFonts w:ascii="Arial" w:hAnsi="Arial" w:cs="Arial"/>
        </w:rPr>
        <w:t xml:space="preserve">a. 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 </w:t>
      </w:r>
    </w:p>
    <w:p w14:paraId="617010B5" w14:textId="77777777" w:rsidR="003A25E2" w:rsidRPr="00E91BD1" w:rsidRDefault="003A25E2" w:rsidP="003A25E2">
      <w:pPr>
        <w:jc w:val="both"/>
        <w:rPr>
          <w:rFonts w:ascii="Arial" w:hAnsi="Arial" w:cs="Arial"/>
        </w:rPr>
      </w:pPr>
    </w:p>
    <w:p w14:paraId="233DD37C" w14:textId="77777777" w:rsidR="003A25E2" w:rsidRPr="00E91BD1" w:rsidRDefault="003A25E2" w:rsidP="003A25E2">
      <w:pPr>
        <w:ind w:left="720" w:right="720"/>
        <w:jc w:val="both"/>
        <w:rPr>
          <w:rFonts w:ascii="Arial" w:hAnsi="Arial" w:cs="Arial"/>
        </w:rPr>
      </w:pPr>
      <w:r w:rsidRPr="00E91BD1">
        <w:rPr>
          <w:rFonts w:ascii="Arial" w:hAnsi="Arial" w:cs="Arial"/>
        </w:rPr>
        <w:t xml:space="preserve">b. A public utility holding company of any such electric utility. </w:t>
      </w:r>
    </w:p>
    <w:p w14:paraId="15E70CD3" w14:textId="77777777" w:rsidR="003A25E2" w:rsidRDefault="003A25E2" w:rsidP="003A25E2">
      <w:pPr>
        <w:jc w:val="both"/>
        <w:rPr>
          <w:rFonts w:ascii="Arial" w:hAnsi="Arial" w:cs="Arial"/>
        </w:rPr>
      </w:pPr>
    </w:p>
    <w:p w14:paraId="5BE3A6C9" w14:textId="77777777" w:rsidR="003A25E2" w:rsidRDefault="003A25E2" w:rsidP="003A25E2">
      <w:pPr>
        <w:jc w:val="both"/>
        <w:rPr>
          <w:rFonts w:ascii="Arial" w:hAnsi="Arial" w:cs="Arial"/>
        </w:rPr>
      </w:pPr>
      <w:r>
        <w:rPr>
          <w:rFonts w:ascii="Arial" w:hAnsi="Arial" w:cs="Arial"/>
        </w:rPr>
        <w:t>The term “electric utility” is defined in PURA § 31.002(6) as follows:</w:t>
      </w:r>
    </w:p>
    <w:p w14:paraId="47824655" w14:textId="77777777" w:rsidR="003A25E2" w:rsidRDefault="003A25E2" w:rsidP="003A25E2">
      <w:pPr>
        <w:jc w:val="both"/>
        <w:rPr>
          <w:rFonts w:ascii="Arial" w:hAnsi="Arial" w:cs="Arial"/>
        </w:rPr>
      </w:pPr>
    </w:p>
    <w:p w14:paraId="6BD1187F" w14:textId="77777777" w:rsidR="003A25E2" w:rsidRPr="00734DD0" w:rsidRDefault="003A25E2" w:rsidP="003A25E2">
      <w:pPr>
        <w:ind w:left="720" w:right="720"/>
        <w:jc w:val="both"/>
        <w:rPr>
          <w:rFonts w:ascii="Arial" w:hAnsi="Arial" w:cs="Arial"/>
        </w:rPr>
      </w:pPr>
      <w:r w:rsidRPr="00734DD0">
        <w:rPr>
          <w:rFonts w:ascii="Arial" w:hAnsi="Arial" w:cs="Arial"/>
        </w:rPr>
        <w:t xml:space="preserve">"Electric utility" means a person or river authority that owns or operates for compensation in this state equipment or facilities to produce, generate, transmit, distribute, sell, or furnish electricity in this state. The term includes a lessee, trustee, or receiver of an electric utility and a recreational vehicle park owner who does not comply with Subchapter C, Chapter 184, with regard to the metered sale of electricity at the recreational vehicle park. The term does not include: </w:t>
      </w:r>
    </w:p>
    <w:p w14:paraId="4FA5B65F" w14:textId="77777777" w:rsidR="003A25E2" w:rsidRPr="00734DD0" w:rsidRDefault="003A25E2" w:rsidP="003A25E2">
      <w:pPr>
        <w:ind w:left="720" w:right="720"/>
        <w:jc w:val="both"/>
        <w:rPr>
          <w:rFonts w:ascii="Arial" w:hAnsi="Arial" w:cs="Arial"/>
        </w:rPr>
      </w:pPr>
      <w:r w:rsidRPr="00734DD0">
        <w:rPr>
          <w:rFonts w:ascii="Arial" w:hAnsi="Arial" w:cs="Arial"/>
        </w:rPr>
        <w:lastRenderedPageBreak/>
        <w:t xml:space="preserve">(A) </w:t>
      </w:r>
      <w:proofErr w:type="gramStart"/>
      <w:r w:rsidRPr="00734DD0">
        <w:rPr>
          <w:rFonts w:ascii="Arial" w:hAnsi="Arial" w:cs="Arial"/>
        </w:rPr>
        <w:t>a</w:t>
      </w:r>
      <w:proofErr w:type="gramEnd"/>
      <w:r w:rsidRPr="00734DD0">
        <w:rPr>
          <w:rFonts w:ascii="Arial" w:hAnsi="Arial" w:cs="Arial"/>
        </w:rPr>
        <w:t xml:space="preserve"> municipal corporation; </w:t>
      </w:r>
    </w:p>
    <w:p w14:paraId="23524CA1" w14:textId="77777777" w:rsidR="003A25E2" w:rsidRPr="00734DD0" w:rsidRDefault="003A25E2" w:rsidP="003A25E2">
      <w:pPr>
        <w:ind w:left="720" w:right="720"/>
        <w:jc w:val="both"/>
        <w:rPr>
          <w:rFonts w:ascii="Arial" w:hAnsi="Arial" w:cs="Arial"/>
        </w:rPr>
      </w:pPr>
      <w:r w:rsidRPr="00734DD0">
        <w:rPr>
          <w:rFonts w:ascii="Arial" w:hAnsi="Arial" w:cs="Arial"/>
        </w:rPr>
        <w:t xml:space="preserve">(B) </w:t>
      </w:r>
      <w:proofErr w:type="gramStart"/>
      <w:r w:rsidRPr="00734DD0">
        <w:rPr>
          <w:rFonts w:ascii="Arial" w:hAnsi="Arial" w:cs="Arial"/>
        </w:rPr>
        <w:t>a</w:t>
      </w:r>
      <w:proofErr w:type="gramEnd"/>
      <w:r w:rsidRPr="00734DD0">
        <w:rPr>
          <w:rFonts w:ascii="Arial" w:hAnsi="Arial" w:cs="Arial"/>
        </w:rPr>
        <w:t xml:space="preserve"> qualifying facility; </w:t>
      </w:r>
    </w:p>
    <w:p w14:paraId="27528878" w14:textId="77777777" w:rsidR="003A25E2" w:rsidRPr="00734DD0" w:rsidRDefault="003A25E2" w:rsidP="003A25E2">
      <w:pPr>
        <w:ind w:left="720" w:right="720"/>
        <w:jc w:val="both"/>
        <w:rPr>
          <w:rFonts w:ascii="Arial" w:hAnsi="Arial" w:cs="Arial"/>
        </w:rPr>
      </w:pPr>
      <w:r w:rsidRPr="00734DD0">
        <w:rPr>
          <w:rFonts w:ascii="Arial" w:hAnsi="Arial" w:cs="Arial"/>
        </w:rPr>
        <w:t xml:space="preserve">(C) </w:t>
      </w:r>
      <w:proofErr w:type="gramStart"/>
      <w:r w:rsidRPr="00734DD0">
        <w:rPr>
          <w:rFonts w:ascii="Arial" w:hAnsi="Arial" w:cs="Arial"/>
        </w:rPr>
        <w:t>a</w:t>
      </w:r>
      <w:proofErr w:type="gramEnd"/>
      <w:r w:rsidRPr="00734DD0">
        <w:rPr>
          <w:rFonts w:ascii="Arial" w:hAnsi="Arial" w:cs="Arial"/>
        </w:rPr>
        <w:t xml:space="preserve"> power generation company; </w:t>
      </w:r>
    </w:p>
    <w:p w14:paraId="244A1E1D" w14:textId="77777777" w:rsidR="003A25E2" w:rsidRPr="00734DD0" w:rsidRDefault="003A25E2" w:rsidP="003A25E2">
      <w:pPr>
        <w:ind w:left="720" w:right="720"/>
        <w:jc w:val="both"/>
        <w:rPr>
          <w:rFonts w:ascii="Arial" w:hAnsi="Arial" w:cs="Arial"/>
        </w:rPr>
      </w:pPr>
      <w:r w:rsidRPr="00734DD0">
        <w:rPr>
          <w:rFonts w:ascii="Arial" w:hAnsi="Arial" w:cs="Arial"/>
        </w:rPr>
        <w:t xml:space="preserve">(D) </w:t>
      </w:r>
      <w:proofErr w:type="gramStart"/>
      <w:r w:rsidRPr="00734DD0">
        <w:rPr>
          <w:rFonts w:ascii="Arial" w:hAnsi="Arial" w:cs="Arial"/>
        </w:rPr>
        <w:t>an</w:t>
      </w:r>
      <w:proofErr w:type="gramEnd"/>
      <w:r w:rsidRPr="00734DD0">
        <w:rPr>
          <w:rFonts w:ascii="Arial" w:hAnsi="Arial" w:cs="Arial"/>
        </w:rPr>
        <w:t xml:space="preserve"> exempt wholesale generator; </w:t>
      </w:r>
    </w:p>
    <w:p w14:paraId="4A72130E" w14:textId="77777777" w:rsidR="003A25E2" w:rsidRPr="00734DD0" w:rsidRDefault="003A25E2" w:rsidP="003A25E2">
      <w:pPr>
        <w:ind w:left="720" w:right="720"/>
        <w:jc w:val="both"/>
        <w:rPr>
          <w:rFonts w:ascii="Arial" w:hAnsi="Arial" w:cs="Arial"/>
        </w:rPr>
      </w:pPr>
      <w:r w:rsidRPr="00734DD0">
        <w:rPr>
          <w:rFonts w:ascii="Arial" w:hAnsi="Arial" w:cs="Arial"/>
        </w:rPr>
        <w:t xml:space="preserve">(E) </w:t>
      </w:r>
      <w:proofErr w:type="gramStart"/>
      <w:r w:rsidRPr="00734DD0">
        <w:rPr>
          <w:rFonts w:ascii="Arial" w:hAnsi="Arial" w:cs="Arial"/>
        </w:rPr>
        <w:t>a</w:t>
      </w:r>
      <w:proofErr w:type="gramEnd"/>
      <w:r w:rsidRPr="00734DD0">
        <w:rPr>
          <w:rFonts w:ascii="Arial" w:hAnsi="Arial" w:cs="Arial"/>
        </w:rPr>
        <w:t xml:space="preserve"> power marketer; </w:t>
      </w:r>
    </w:p>
    <w:p w14:paraId="1551D5BB" w14:textId="77777777" w:rsidR="003A25E2" w:rsidRPr="00734DD0" w:rsidRDefault="003A25E2" w:rsidP="003A25E2">
      <w:pPr>
        <w:ind w:left="720" w:right="720"/>
        <w:jc w:val="both"/>
        <w:rPr>
          <w:rFonts w:ascii="Arial" w:hAnsi="Arial" w:cs="Arial"/>
        </w:rPr>
      </w:pPr>
      <w:r w:rsidRPr="00734DD0">
        <w:rPr>
          <w:rFonts w:ascii="Arial" w:hAnsi="Arial" w:cs="Arial"/>
        </w:rPr>
        <w:t xml:space="preserve">(F) </w:t>
      </w:r>
      <w:proofErr w:type="gramStart"/>
      <w:r w:rsidRPr="00734DD0">
        <w:rPr>
          <w:rFonts w:ascii="Arial" w:hAnsi="Arial" w:cs="Arial"/>
        </w:rPr>
        <w:t>a</w:t>
      </w:r>
      <w:proofErr w:type="gramEnd"/>
      <w:r w:rsidRPr="00734DD0">
        <w:rPr>
          <w:rFonts w:ascii="Arial" w:hAnsi="Arial" w:cs="Arial"/>
        </w:rPr>
        <w:t xml:space="preserve"> corporation described by Section 32.053 to the extent the corporation sells electricity exclusively at wholesale and not to the ultimate consumer; </w:t>
      </w:r>
    </w:p>
    <w:p w14:paraId="7F813202" w14:textId="77777777" w:rsidR="003A25E2" w:rsidRPr="00734DD0" w:rsidRDefault="003A25E2" w:rsidP="003A25E2">
      <w:pPr>
        <w:ind w:left="720" w:right="720"/>
        <w:jc w:val="both"/>
        <w:rPr>
          <w:rFonts w:ascii="Arial" w:hAnsi="Arial" w:cs="Arial"/>
        </w:rPr>
      </w:pPr>
      <w:r w:rsidRPr="00734DD0">
        <w:rPr>
          <w:rFonts w:ascii="Arial" w:hAnsi="Arial" w:cs="Arial"/>
        </w:rPr>
        <w:t xml:space="preserve">(G) </w:t>
      </w:r>
      <w:proofErr w:type="gramStart"/>
      <w:r w:rsidRPr="00734DD0">
        <w:rPr>
          <w:rFonts w:ascii="Arial" w:hAnsi="Arial" w:cs="Arial"/>
        </w:rPr>
        <w:t>an</w:t>
      </w:r>
      <w:proofErr w:type="gramEnd"/>
      <w:r w:rsidRPr="00734DD0">
        <w:rPr>
          <w:rFonts w:ascii="Arial" w:hAnsi="Arial" w:cs="Arial"/>
        </w:rPr>
        <w:t xml:space="preserve"> electric cooperative; </w:t>
      </w:r>
    </w:p>
    <w:p w14:paraId="1A687715" w14:textId="77777777" w:rsidR="003A25E2" w:rsidRPr="00734DD0" w:rsidRDefault="003A25E2" w:rsidP="003A25E2">
      <w:pPr>
        <w:ind w:left="720" w:right="720"/>
        <w:jc w:val="both"/>
        <w:rPr>
          <w:rFonts w:ascii="Arial" w:hAnsi="Arial" w:cs="Arial"/>
        </w:rPr>
      </w:pPr>
      <w:r w:rsidRPr="00734DD0">
        <w:rPr>
          <w:rFonts w:ascii="Arial" w:hAnsi="Arial" w:cs="Arial"/>
        </w:rPr>
        <w:t xml:space="preserve">(H) </w:t>
      </w:r>
      <w:proofErr w:type="gramStart"/>
      <w:r w:rsidRPr="00734DD0">
        <w:rPr>
          <w:rFonts w:ascii="Arial" w:hAnsi="Arial" w:cs="Arial"/>
        </w:rPr>
        <w:t>a</w:t>
      </w:r>
      <w:proofErr w:type="gramEnd"/>
      <w:r w:rsidRPr="00734DD0">
        <w:rPr>
          <w:rFonts w:ascii="Arial" w:hAnsi="Arial" w:cs="Arial"/>
        </w:rPr>
        <w:t xml:space="preserve"> retail electric provider; </w:t>
      </w:r>
    </w:p>
    <w:p w14:paraId="34AD19F3" w14:textId="77777777" w:rsidR="003A25E2" w:rsidRPr="00734DD0" w:rsidRDefault="003A25E2" w:rsidP="003A25E2">
      <w:pPr>
        <w:ind w:left="720" w:right="720"/>
        <w:jc w:val="both"/>
        <w:rPr>
          <w:rFonts w:ascii="Arial" w:hAnsi="Arial" w:cs="Arial"/>
        </w:rPr>
      </w:pPr>
      <w:r w:rsidRPr="00734DD0">
        <w:rPr>
          <w:rFonts w:ascii="Arial" w:hAnsi="Arial" w:cs="Arial"/>
        </w:rPr>
        <w:t xml:space="preserve">(I) this state or an agency of this state; or </w:t>
      </w:r>
    </w:p>
    <w:p w14:paraId="6FC95764" w14:textId="77777777" w:rsidR="003A25E2" w:rsidRPr="00734DD0" w:rsidRDefault="003A25E2" w:rsidP="003A25E2">
      <w:pPr>
        <w:ind w:left="720" w:right="720"/>
        <w:jc w:val="both"/>
        <w:rPr>
          <w:rFonts w:ascii="Arial" w:hAnsi="Arial" w:cs="Arial"/>
        </w:rPr>
      </w:pPr>
      <w:r w:rsidRPr="00734DD0">
        <w:rPr>
          <w:rFonts w:ascii="Arial" w:hAnsi="Arial" w:cs="Arial"/>
        </w:rPr>
        <w:t xml:space="preserve">(J) </w:t>
      </w:r>
      <w:proofErr w:type="gramStart"/>
      <w:r w:rsidRPr="00734DD0">
        <w:rPr>
          <w:rFonts w:ascii="Arial" w:hAnsi="Arial" w:cs="Arial"/>
        </w:rPr>
        <w:t>a</w:t>
      </w:r>
      <w:proofErr w:type="gramEnd"/>
      <w:r w:rsidRPr="00734DD0">
        <w:rPr>
          <w:rFonts w:ascii="Arial" w:hAnsi="Arial" w:cs="Arial"/>
        </w:rPr>
        <w:t xml:space="preserve"> person not otherwise an electric utility who: </w:t>
      </w:r>
    </w:p>
    <w:p w14:paraId="1A2A888C" w14:textId="77777777" w:rsidR="003A25E2" w:rsidRPr="00734DD0" w:rsidRDefault="003A25E2" w:rsidP="003A25E2">
      <w:pPr>
        <w:ind w:left="1440" w:right="720"/>
        <w:jc w:val="both"/>
        <w:rPr>
          <w:rFonts w:ascii="Arial" w:hAnsi="Arial" w:cs="Arial"/>
        </w:rPr>
      </w:pPr>
      <w:r w:rsidRPr="00734DD0">
        <w:rPr>
          <w:rFonts w:ascii="Arial" w:hAnsi="Arial" w:cs="Arial"/>
        </w:rPr>
        <w:t>(</w:t>
      </w:r>
      <w:proofErr w:type="spellStart"/>
      <w:r w:rsidRPr="00734DD0">
        <w:rPr>
          <w:rFonts w:ascii="Arial" w:hAnsi="Arial" w:cs="Arial"/>
        </w:rPr>
        <w:t>i</w:t>
      </w:r>
      <w:proofErr w:type="spellEnd"/>
      <w:r w:rsidRPr="00734DD0">
        <w:rPr>
          <w:rFonts w:ascii="Arial" w:hAnsi="Arial" w:cs="Arial"/>
        </w:rPr>
        <w:t xml:space="preserve">) furnishes an electric service or commodity only to itself, its employees, or its tenants as an incident of employment or tenancy, if that service or commodity is not resold to or used by others; </w:t>
      </w:r>
    </w:p>
    <w:p w14:paraId="6CC52804" w14:textId="77777777" w:rsidR="003A25E2" w:rsidRPr="00734DD0" w:rsidRDefault="003A25E2" w:rsidP="003A25E2">
      <w:pPr>
        <w:ind w:left="1440" w:right="720"/>
        <w:jc w:val="both"/>
        <w:rPr>
          <w:rFonts w:ascii="Arial" w:hAnsi="Arial" w:cs="Arial"/>
        </w:rPr>
      </w:pPr>
      <w:r w:rsidRPr="00734DD0">
        <w:rPr>
          <w:rFonts w:ascii="Arial" w:hAnsi="Arial" w:cs="Arial"/>
        </w:rPr>
        <w:t xml:space="preserve">(ii) owns or operates in this state equipment or facilities to produce, generate, transmit, distribute, sell, or furnish electric energy to an electric utility, if the equipment or facilities are used primarily to produce and generate electric energy for consumption by that person; or </w:t>
      </w:r>
    </w:p>
    <w:p w14:paraId="629D1464" w14:textId="77777777" w:rsidR="003A25E2" w:rsidRDefault="003A25E2" w:rsidP="003A25E2">
      <w:pPr>
        <w:ind w:left="1440" w:right="720"/>
        <w:jc w:val="both"/>
        <w:rPr>
          <w:rFonts w:ascii="Arial" w:hAnsi="Arial" w:cs="Arial"/>
        </w:rPr>
      </w:pPr>
      <w:r w:rsidRPr="00734DD0">
        <w:rPr>
          <w:rFonts w:ascii="Arial" w:hAnsi="Arial" w:cs="Arial"/>
        </w:rPr>
        <w:t xml:space="preserve">(iii) </w:t>
      </w:r>
      <w:proofErr w:type="gramStart"/>
      <w:r w:rsidRPr="00734DD0">
        <w:rPr>
          <w:rFonts w:ascii="Arial" w:hAnsi="Arial" w:cs="Arial"/>
        </w:rPr>
        <w:t>owns</w:t>
      </w:r>
      <w:proofErr w:type="gramEnd"/>
      <w:r w:rsidRPr="00734DD0">
        <w:rPr>
          <w:rFonts w:ascii="Arial" w:hAnsi="Arial" w:cs="Arial"/>
        </w:rPr>
        <w:t xml:space="preserve"> or operates in this state a recreational vehicle park that provides metered electric service in accordance with Subchapter C, Chapter 184.</w:t>
      </w:r>
    </w:p>
    <w:p w14:paraId="3F2432BE" w14:textId="77777777" w:rsidR="003A25E2" w:rsidRDefault="003A25E2" w:rsidP="003A25E2">
      <w:pPr>
        <w:jc w:val="both"/>
        <w:rPr>
          <w:rFonts w:ascii="Arial" w:hAnsi="Arial" w:cs="Arial"/>
        </w:rPr>
      </w:pPr>
    </w:p>
    <w:p w14:paraId="6ABB8ADF" w14:textId="04A6DE8A" w:rsidR="003A25E2" w:rsidRDefault="003A25E2" w:rsidP="003A25E2">
      <w:pPr>
        <w:jc w:val="both"/>
        <w:rPr>
          <w:rFonts w:ascii="Arial" w:hAnsi="Arial" w:cs="Arial"/>
        </w:rPr>
      </w:pPr>
      <w:r>
        <w:rPr>
          <w:rFonts w:ascii="Arial" w:hAnsi="Arial" w:cs="Arial"/>
        </w:rPr>
        <w:t>SCT is not an “electric utility” as defined above</w:t>
      </w:r>
      <w:r w:rsidR="00675BB3">
        <w:rPr>
          <w:rFonts w:ascii="Arial" w:hAnsi="Arial" w:cs="Arial"/>
        </w:rPr>
        <w:t xml:space="preserve"> because i</w:t>
      </w:r>
      <w:r>
        <w:rPr>
          <w:rFonts w:ascii="Arial" w:hAnsi="Arial" w:cs="Arial"/>
        </w:rPr>
        <w:t xml:space="preserve">t will not own facilities within the State of Texas. However, SCT does share several characteristics with </w:t>
      </w:r>
      <w:r w:rsidR="00EB4D7C">
        <w:rPr>
          <w:rFonts w:ascii="Arial" w:hAnsi="Arial" w:cs="Arial"/>
        </w:rPr>
        <w:t>current IOU</w:t>
      </w:r>
      <w:r>
        <w:rPr>
          <w:rFonts w:ascii="Arial" w:hAnsi="Arial" w:cs="Arial"/>
        </w:rPr>
        <w:t xml:space="preserve"> Segment Members. SCT is investor-owned. While not an “electric utility” and therefore not a “public utility” under PURA, SCT is a “public utility” as defined in the FPA.</w:t>
      </w:r>
      <w:r>
        <w:rPr>
          <w:rStyle w:val="FootnoteReference"/>
          <w:rFonts w:ascii="Arial" w:hAnsi="Arial" w:cs="Arial"/>
        </w:rPr>
        <w:footnoteReference w:id="13"/>
      </w:r>
      <w:r>
        <w:rPr>
          <w:rFonts w:ascii="Arial" w:hAnsi="Arial" w:cs="Arial"/>
        </w:rPr>
        <w:t xml:space="preserve"> The primary function of SCT’s business in the ERCOT Region is the operation of high-voltage transmission facilities</w:t>
      </w:r>
      <w:r w:rsidR="00126440">
        <w:rPr>
          <w:rFonts w:ascii="Arial" w:hAnsi="Arial" w:cs="Arial"/>
        </w:rPr>
        <w:t>,</w:t>
      </w:r>
      <w:r>
        <w:rPr>
          <w:rFonts w:ascii="Arial" w:hAnsi="Arial" w:cs="Arial"/>
        </w:rPr>
        <w:t xml:space="preserve"> albeit facilities that</w:t>
      </w:r>
      <w:r w:rsidR="00675BB3">
        <w:rPr>
          <w:rFonts w:ascii="Arial" w:hAnsi="Arial" w:cs="Arial"/>
        </w:rPr>
        <w:t>, as proposed,</w:t>
      </w:r>
      <w:r>
        <w:rPr>
          <w:rFonts w:ascii="Arial" w:hAnsi="Arial" w:cs="Arial"/>
        </w:rPr>
        <w:t xml:space="preserve"> </w:t>
      </w:r>
      <w:r w:rsidR="00675BB3">
        <w:rPr>
          <w:rFonts w:ascii="Arial" w:hAnsi="Arial" w:cs="Arial"/>
        </w:rPr>
        <w:t xml:space="preserve">would </w:t>
      </w:r>
      <w:r>
        <w:rPr>
          <w:rFonts w:ascii="Arial" w:hAnsi="Arial" w:cs="Arial"/>
        </w:rPr>
        <w:t xml:space="preserve">not lie within </w:t>
      </w:r>
      <w:r w:rsidR="00126440">
        <w:rPr>
          <w:rFonts w:ascii="Arial" w:hAnsi="Arial" w:cs="Arial"/>
        </w:rPr>
        <w:t xml:space="preserve">the </w:t>
      </w:r>
      <w:r w:rsidR="00675BB3">
        <w:rPr>
          <w:rFonts w:ascii="Arial" w:hAnsi="Arial" w:cs="Arial"/>
        </w:rPr>
        <w:t>State of Texas</w:t>
      </w:r>
      <w:r>
        <w:rPr>
          <w:rFonts w:ascii="Arial" w:hAnsi="Arial" w:cs="Arial"/>
        </w:rPr>
        <w:t xml:space="preserve">. SCT will also be engaged in “transmission service” as that term is defined in the </w:t>
      </w:r>
      <w:r w:rsidR="00EB4D7C">
        <w:rPr>
          <w:rFonts w:ascii="Arial" w:hAnsi="Arial" w:cs="Arial"/>
        </w:rPr>
        <w:t xml:space="preserve">PUCT </w:t>
      </w:r>
      <w:r>
        <w:rPr>
          <w:rFonts w:ascii="Arial" w:hAnsi="Arial" w:cs="Arial"/>
        </w:rPr>
        <w:t>Substantive Rules.</w:t>
      </w:r>
      <w:r>
        <w:rPr>
          <w:rStyle w:val="FootnoteReference"/>
          <w:rFonts w:ascii="Arial" w:hAnsi="Arial" w:cs="Arial"/>
        </w:rPr>
        <w:footnoteReference w:id="14"/>
      </w:r>
    </w:p>
    <w:p w14:paraId="37CB83C6" w14:textId="77777777" w:rsidR="003A25E2" w:rsidRDefault="003A25E2" w:rsidP="003A25E2">
      <w:pPr>
        <w:jc w:val="both"/>
        <w:rPr>
          <w:rFonts w:ascii="Arial" w:hAnsi="Arial" w:cs="Arial"/>
        </w:rPr>
      </w:pPr>
    </w:p>
    <w:p w14:paraId="158B18F3" w14:textId="4CA30D2B" w:rsidR="00791ECD" w:rsidRDefault="003A25E2" w:rsidP="003A25E2">
      <w:pPr>
        <w:jc w:val="both"/>
        <w:rPr>
          <w:rFonts w:ascii="Arial" w:hAnsi="Arial" w:cs="Arial"/>
        </w:rPr>
      </w:pPr>
      <w:r>
        <w:rPr>
          <w:rFonts w:ascii="Arial" w:hAnsi="Arial" w:cs="Arial"/>
        </w:rPr>
        <w:t xml:space="preserve">On the other hand, there are also </w:t>
      </w:r>
      <w:r w:rsidR="00E9560B">
        <w:rPr>
          <w:rFonts w:ascii="Arial" w:hAnsi="Arial" w:cs="Arial"/>
        </w:rPr>
        <w:t xml:space="preserve">key </w:t>
      </w:r>
      <w:r>
        <w:rPr>
          <w:rFonts w:ascii="Arial" w:hAnsi="Arial" w:cs="Arial"/>
        </w:rPr>
        <w:t>differences between SCT and</w:t>
      </w:r>
      <w:r w:rsidR="00EB4D7C">
        <w:rPr>
          <w:rFonts w:ascii="Arial" w:hAnsi="Arial" w:cs="Arial"/>
        </w:rPr>
        <w:t xml:space="preserve"> current</w:t>
      </w:r>
      <w:r>
        <w:rPr>
          <w:rFonts w:ascii="Arial" w:hAnsi="Arial" w:cs="Arial"/>
        </w:rPr>
        <w:t xml:space="preserve"> </w:t>
      </w:r>
      <w:r w:rsidR="00EB4D7C">
        <w:rPr>
          <w:rFonts w:ascii="Arial" w:hAnsi="Arial" w:cs="Arial"/>
        </w:rPr>
        <w:t>IOU</w:t>
      </w:r>
      <w:r>
        <w:rPr>
          <w:rFonts w:ascii="Arial" w:hAnsi="Arial" w:cs="Arial"/>
        </w:rPr>
        <w:t xml:space="preserve"> Segment Members. </w:t>
      </w:r>
      <w:r w:rsidR="00791ECD">
        <w:rPr>
          <w:rFonts w:ascii="Arial" w:hAnsi="Arial" w:cs="Arial"/>
        </w:rPr>
        <w:t xml:space="preserve">Unlike other IOUs, SCT is not subject to the ratemaking jurisdiction of </w:t>
      </w:r>
      <w:r w:rsidR="00791ECD" w:rsidRPr="00791ECD">
        <w:rPr>
          <w:rFonts w:ascii="Arial" w:hAnsi="Arial" w:cs="Arial"/>
        </w:rPr>
        <w:t>the PUCT</w:t>
      </w:r>
      <w:r w:rsidR="00791ECD">
        <w:rPr>
          <w:rFonts w:ascii="Arial" w:hAnsi="Arial" w:cs="Arial"/>
        </w:rPr>
        <w:t xml:space="preserve">. SCT </w:t>
      </w:r>
      <w:r w:rsidR="00791ECD" w:rsidRPr="00791ECD">
        <w:rPr>
          <w:rFonts w:ascii="Arial" w:hAnsi="Arial" w:cs="Arial"/>
        </w:rPr>
        <w:t>will not have a Texas tariff or charge or collect transmission rates in the ERCOT Region</w:t>
      </w:r>
      <w:r w:rsidR="00791ECD">
        <w:rPr>
          <w:rFonts w:ascii="Arial" w:hAnsi="Arial" w:cs="Arial"/>
        </w:rPr>
        <w:t xml:space="preserve">. Another difference from other IOUs is that </w:t>
      </w:r>
      <w:r w:rsidR="00126440">
        <w:rPr>
          <w:rFonts w:ascii="Arial" w:hAnsi="Arial" w:cs="Arial"/>
        </w:rPr>
        <w:t xml:space="preserve">the facilities </w:t>
      </w:r>
      <w:r w:rsidR="00791ECD">
        <w:rPr>
          <w:rFonts w:ascii="Arial" w:hAnsi="Arial" w:cs="Arial"/>
        </w:rPr>
        <w:t xml:space="preserve">SCT </w:t>
      </w:r>
      <w:r w:rsidR="00791ECD" w:rsidRPr="00791ECD">
        <w:rPr>
          <w:rFonts w:ascii="Arial" w:hAnsi="Arial" w:cs="Arial"/>
        </w:rPr>
        <w:t xml:space="preserve">will </w:t>
      </w:r>
      <w:r w:rsidR="00126440">
        <w:rPr>
          <w:rFonts w:ascii="Arial" w:hAnsi="Arial" w:cs="Arial"/>
        </w:rPr>
        <w:t xml:space="preserve">operate </w:t>
      </w:r>
      <w:r w:rsidR="00E81045">
        <w:rPr>
          <w:rFonts w:ascii="Arial" w:hAnsi="Arial" w:cs="Arial"/>
        </w:rPr>
        <w:t>essentially constitute only a single point of injection and withdrawal on the ERCOT System over which power may be transferred to another system as part of a wholesale transaction</w:t>
      </w:r>
      <w:r w:rsidR="00126440">
        <w:rPr>
          <w:rFonts w:ascii="Arial" w:hAnsi="Arial" w:cs="Arial"/>
        </w:rPr>
        <w:t xml:space="preserve">, whereas other IOUs operate </w:t>
      </w:r>
      <w:r w:rsidR="00791ECD" w:rsidRPr="00791ECD">
        <w:rPr>
          <w:rFonts w:ascii="Arial" w:hAnsi="Arial" w:cs="Arial"/>
        </w:rPr>
        <w:t xml:space="preserve">transmission </w:t>
      </w:r>
      <w:r w:rsidR="00E81045">
        <w:rPr>
          <w:rFonts w:ascii="Arial" w:hAnsi="Arial" w:cs="Arial"/>
        </w:rPr>
        <w:t xml:space="preserve">networks </w:t>
      </w:r>
      <w:r w:rsidR="00791ECD" w:rsidRPr="00791ECD">
        <w:rPr>
          <w:rFonts w:ascii="Arial" w:hAnsi="Arial" w:cs="Arial"/>
        </w:rPr>
        <w:t>in the ERCOT Region</w:t>
      </w:r>
      <w:r w:rsidR="00E81045">
        <w:rPr>
          <w:rFonts w:ascii="Arial" w:hAnsi="Arial" w:cs="Arial"/>
        </w:rPr>
        <w:t xml:space="preserve"> that ultimately serve retail consumer load</w:t>
      </w:r>
      <w:r w:rsidR="00E44432">
        <w:rPr>
          <w:rFonts w:ascii="Arial" w:hAnsi="Arial" w:cs="Arial"/>
        </w:rPr>
        <w:t xml:space="preserve"> in ERCOT</w:t>
      </w:r>
      <w:r w:rsidR="00126440">
        <w:rPr>
          <w:rFonts w:ascii="Arial" w:hAnsi="Arial" w:cs="Arial"/>
        </w:rPr>
        <w:t xml:space="preserve">. Further, unlike other IOUs, SCT is likely to engage in relatively limited information exchange and coordination with </w:t>
      </w:r>
      <w:r w:rsidR="00791ECD" w:rsidRPr="00791ECD">
        <w:rPr>
          <w:rFonts w:ascii="Arial" w:hAnsi="Arial" w:cs="Arial"/>
        </w:rPr>
        <w:t>ERCOT and other T</w:t>
      </w:r>
      <w:r w:rsidR="00791ECD">
        <w:rPr>
          <w:rFonts w:ascii="Arial" w:hAnsi="Arial" w:cs="Arial"/>
        </w:rPr>
        <w:t xml:space="preserve">ransmission </w:t>
      </w:r>
      <w:r w:rsidR="00791ECD" w:rsidRPr="00791ECD">
        <w:rPr>
          <w:rFonts w:ascii="Arial" w:hAnsi="Arial" w:cs="Arial"/>
        </w:rPr>
        <w:t>O</w:t>
      </w:r>
      <w:r w:rsidR="00791ECD">
        <w:rPr>
          <w:rFonts w:ascii="Arial" w:hAnsi="Arial" w:cs="Arial"/>
        </w:rPr>
        <w:t>perator</w:t>
      </w:r>
      <w:r w:rsidR="00791ECD" w:rsidRPr="00791ECD">
        <w:rPr>
          <w:rFonts w:ascii="Arial" w:hAnsi="Arial" w:cs="Arial"/>
        </w:rPr>
        <w:t>s</w:t>
      </w:r>
      <w:r w:rsidR="00791ECD">
        <w:rPr>
          <w:rFonts w:ascii="Arial" w:hAnsi="Arial" w:cs="Arial"/>
        </w:rPr>
        <w:t>.</w:t>
      </w:r>
    </w:p>
    <w:p w14:paraId="1448E9D6" w14:textId="77777777" w:rsidR="000E4616" w:rsidRDefault="000E4616" w:rsidP="003A25E2">
      <w:pPr>
        <w:jc w:val="both"/>
        <w:rPr>
          <w:rFonts w:ascii="Arial" w:hAnsi="Arial" w:cs="Arial"/>
        </w:rPr>
      </w:pPr>
    </w:p>
    <w:p w14:paraId="4C3F7C20" w14:textId="77777777" w:rsidR="000E4616" w:rsidRDefault="000E4616" w:rsidP="000E4616">
      <w:pPr>
        <w:jc w:val="both"/>
        <w:rPr>
          <w:rFonts w:ascii="Arial" w:hAnsi="Arial" w:cs="Arial"/>
        </w:rPr>
      </w:pPr>
      <w:r>
        <w:rPr>
          <w:rFonts w:ascii="Arial" w:hAnsi="Arial" w:cs="Arial"/>
        </w:rPr>
        <w:lastRenderedPageBreak/>
        <w:t>In its presentation at the September 7, 2017 workshop, SCT proposed the following Bylaws revisions to accommodate SCT’s membership within the IOU Segment:</w:t>
      </w:r>
    </w:p>
    <w:p w14:paraId="3A89B91B" w14:textId="77777777" w:rsidR="000E4616" w:rsidRDefault="000E4616" w:rsidP="000E4616">
      <w:pPr>
        <w:jc w:val="both"/>
        <w:rPr>
          <w:rFonts w:ascii="Arial" w:hAnsi="Arial" w:cs="Arial"/>
        </w:rPr>
      </w:pPr>
    </w:p>
    <w:p w14:paraId="508F26B6" w14:textId="77777777" w:rsidR="000E4616" w:rsidRDefault="000E4616" w:rsidP="00622A1E">
      <w:pPr>
        <w:ind w:left="720" w:right="720"/>
        <w:jc w:val="both"/>
        <w:rPr>
          <w:rFonts w:ascii="Arial" w:hAnsi="Arial" w:cs="Arial"/>
        </w:rPr>
      </w:pPr>
      <w:r>
        <w:rPr>
          <w:rFonts w:ascii="Arial" w:hAnsi="Arial" w:cs="Arial"/>
        </w:rPr>
        <w:t>(</w:t>
      </w:r>
      <w:r w:rsidRPr="00C4791C">
        <w:rPr>
          <w:rFonts w:ascii="Arial" w:hAnsi="Arial" w:cs="Arial"/>
        </w:rPr>
        <w:t>1</w:t>
      </w:r>
      <w:r>
        <w:rPr>
          <w:rFonts w:ascii="Arial" w:hAnsi="Arial" w:cs="Arial"/>
        </w:rPr>
        <w:t>)</w:t>
      </w:r>
      <w:r w:rsidRPr="00C4791C">
        <w:rPr>
          <w:rFonts w:ascii="Arial" w:hAnsi="Arial" w:cs="Arial"/>
        </w:rPr>
        <w:t xml:space="preserve"> Insert </w:t>
      </w:r>
      <w:r>
        <w:rPr>
          <w:rFonts w:ascii="Arial" w:hAnsi="Arial" w:cs="Arial"/>
        </w:rPr>
        <w:t xml:space="preserve">a </w:t>
      </w:r>
      <w:r w:rsidRPr="00C4791C">
        <w:rPr>
          <w:rFonts w:ascii="Arial" w:hAnsi="Arial" w:cs="Arial"/>
        </w:rPr>
        <w:t xml:space="preserve">new </w:t>
      </w:r>
      <w:r>
        <w:rPr>
          <w:rFonts w:ascii="Arial" w:hAnsi="Arial" w:cs="Arial"/>
        </w:rPr>
        <w:t xml:space="preserve">Section </w:t>
      </w:r>
      <w:r w:rsidRPr="00C4791C">
        <w:rPr>
          <w:rFonts w:ascii="Arial" w:hAnsi="Arial" w:cs="Arial"/>
        </w:rPr>
        <w:t xml:space="preserve">11 </w:t>
      </w:r>
      <w:r>
        <w:rPr>
          <w:rFonts w:ascii="Arial" w:hAnsi="Arial" w:cs="Arial"/>
        </w:rPr>
        <w:t xml:space="preserve">in Article 2, </w:t>
      </w:r>
      <w:r w:rsidRPr="00C4791C">
        <w:rPr>
          <w:rFonts w:ascii="Arial" w:hAnsi="Arial" w:cs="Arial"/>
        </w:rPr>
        <w:t>to read as follows:</w:t>
      </w:r>
    </w:p>
    <w:p w14:paraId="1ECCEF28" w14:textId="77777777" w:rsidR="000E4616" w:rsidRPr="00C4791C" w:rsidRDefault="000E4616" w:rsidP="00622A1E">
      <w:pPr>
        <w:ind w:left="720" w:right="720"/>
        <w:jc w:val="both"/>
        <w:rPr>
          <w:rFonts w:ascii="Arial" w:hAnsi="Arial" w:cs="Arial"/>
        </w:rPr>
      </w:pPr>
    </w:p>
    <w:p w14:paraId="36FF9F9B" w14:textId="77777777" w:rsidR="000E4616" w:rsidRPr="000E4616" w:rsidRDefault="000E4616" w:rsidP="00622A1E">
      <w:pPr>
        <w:ind w:left="720" w:right="720"/>
        <w:jc w:val="both"/>
        <w:rPr>
          <w:rFonts w:ascii="Arial" w:hAnsi="Arial" w:cs="Arial"/>
          <w:color w:val="FF0000"/>
          <w:u w:val="single"/>
        </w:rPr>
      </w:pPr>
      <w:r w:rsidRPr="000E4616">
        <w:rPr>
          <w:rFonts w:ascii="Arial" w:hAnsi="Arial" w:cs="Arial"/>
          <w:b/>
          <w:color w:val="FF0000"/>
          <w:u w:val="single"/>
        </w:rPr>
        <w:t>Independent DC Tie Operator.</w:t>
      </w:r>
      <w:r w:rsidRPr="000E4616">
        <w:rPr>
          <w:rFonts w:ascii="Arial" w:hAnsi="Arial" w:cs="Arial"/>
          <w:color w:val="FF0000"/>
          <w:u w:val="single"/>
        </w:rPr>
        <w:t xml:space="preserve"> Any entity which is not a Transmission and Distribution (“T&amp;D”) Entity or Affiliate of a T&amp;D Entity and that (</w:t>
      </w:r>
      <w:proofErr w:type="spellStart"/>
      <w:r w:rsidRPr="000E4616">
        <w:rPr>
          <w:rFonts w:ascii="Arial" w:hAnsi="Arial" w:cs="Arial"/>
          <w:color w:val="FF0000"/>
          <w:u w:val="single"/>
        </w:rPr>
        <w:t>i</w:t>
      </w:r>
      <w:proofErr w:type="spellEnd"/>
      <w:r w:rsidRPr="000E4616">
        <w:rPr>
          <w:rFonts w:ascii="Arial" w:hAnsi="Arial" w:cs="Arial"/>
          <w:color w:val="FF0000"/>
          <w:u w:val="single"/>
        </w:rPr>
        <w:t xml:space="preserve">) owns or operates a Direct Current Tie (“DC Tie”) interconnected to the ERCOT Transmission Grid, or (ii) is preparing to own or operate a DC Tie to be interconnected to the ERCOT Transmission Grid. </w:t>
      </w:r>
    </w:p>
    <w:p w14:paraId="079AE17E" w14:textId="77777777" w:rsidR="000E4616" w:rsidRDefault="000E4616" w:rsidP="00622A1E">
      <w:pPr>
        <w:ind w:left="720" w:right="720"/>
        <w:jc w:val="both"/>
        <w:rPr>
          <w:rFonts w:ascii="Arial" w:hAnsi="Arial" w:cs="Arial"/>
        </w:rPr>
      </w:pPr>
    </w:p>
    <w:p w14:paraId="5BC94CA1" w14:textId="77777777" w:rsidR="000E4616" w:rsidRPr="00C4791C" w:rsidRDefault="000E4616" w:rsidP="00622A1E">
      <w:pPr>
        <w:ind w:left="720" w:right="720"/>
        <w:jc w:val="both"/>
        <w:rPr>
          <w:rFonts w:ascii="Arial" w:hAnsi="Arial" w:cs="Arial"/>
        </w:rPr>
      </w:pPr>
      <w:r>
        <w:rPr>
          <w:rFonts w:ascii="Arial" w:hAnsi="Arial" w:cs="Arial"/>
        </w:rPr>
        <w:t>(2)</w:t>
      </w:r>
      <w:r w:rsidRPr="00C4791C">
        <w:rPr>
          <w:rFonts w:ascii="Arial" w:hAnsi="Arial" w:cs="Arial"/>
        </w:rPr>
        <w:t xml:space="preserve"> Amend </w:t>
      </w:r>
      <w:r>
        <w:rPr>
          <w:rFonts w:ascii="Arial" w:hAnsi="Arial" w:cs="Arial"/>
        </w:rPr>
        <w:t>Article 2, Section</w:t>
      </w:r>
      <w:r w:rsidRPr="00C4791C">
        <w:rPr>
          <w:rFonts w:ascii="Arial" w:hAnsi="Arial" w:cs="Arial"/>
        </w:rPr>
        <w:t xml:space="preserve"> 15 to read as follows:</w:t>
      </w:r>
    </w:p>
    <w:p w14:paraId="548D9C9F" w14:textId="77777777" w:rsidR="000E4616" w:rsidRDefault="000E4616" w:rsidP="00622A1E">
      <w:pPr>
        <w:ind w:left="720" w:right="720"/>
        <w:jc w:val="both"/>
        <w:rPr>
          <w:rFonts w:ascii="Arial" w:hAnsi="Arial" w:cs="Arial"/>
          <w:b/>
        </w:rPr>
      </w:pPr>
    </w:p>
    <w:p w14:paraId="57BE5B53" w14:textId="77777777" w:rsidR="000E4616" w:rsidRDefault="000E4616" w:rsidP="00622A1E">
      <w:pPr>
        <w:ind w:left="720" w:right="720"/>
        <w:jc w:val="both"/>
        <w:rPr>
          <w:rFonts w:ascii="Arial" w:hAnsi="Arial" w:cs="Arial"/>
          <w:b/>
        </w:rPr>
      </w:pPr>
      <w:r w:rsidRPr="00C4791C">
        <w:rPr>
          <w:rFonts w:ascii="Arial" w:hAnsi="Arial" w:cs="Arial"/>
          <w:b/>
        </w:rPr>
        <w:t>Investor-Owned Utility (“IOU”)</w:t>
      </w:r>
      <w:r>
        <w:rPr>
          <w:rFonts w:ascii="Arial" w:hAnsi="Arial" w:cs="Arial"/>
          <w:b/>
        </w:rPr>
        <w:t>.</w:t>
      </w:r>
    </w:p>
    <w:p w14:paraId="3CC257A5" w14:textId="77777777" w:rsidR="000E4616" w:rsidRDefault="000E4616" w:rsidP="00622A1E">
      <w:pPr>
        <w:ind w:left="720" w:right="720"/>
        <w:jc w:val="both"/>
        <w:rPr>
          <w:rFonts w:ascii="Arial" w:hAnsi="Arial" w:cs="Arial"/>
        </w:rPr>
      </w:pPr>
    </w:p>
    <w:p w14:paraId="06A91C47" w14:textId="77777777" w:rsidR="000E4616" w:rsidRPr="00C4791C" w:rsidRDefault="000E4616" w:rsidP="00622A1E">
      <w:pPr>
        <w:ind w:left="720" w:right="720"/>
        <w:jc w:val="both"/>
        <w:rPr>
          <w:rFonts w:ascii="Arial" w:hAnsi="Arial" w:cs="Arial"/>
        </w:rPr>
      </w:pPr>
      <w:r w:rsidRPr="00C4791C">
        <w:rPr>
          <w:rFonts w:ascii="Arial" w:hAnsi="Arial" w:cs="Arial"/>
        </w:rPr>
        <w:t>a. An investor-held, for-profit “electric utility” as defined in PURA §31.002(6) that (a) operates</w:t>
      </w:r>
      <w:r>
        <w:rPr>
          <w:rFonts w:ascii="Arial" w:hAnsi="Arial" w:cs="Arial"/>
        </w:rPr>
        <w:t xml:space="preserve"> </w:t>
      </w:r>
      <w:r w:rsidRPr="00C4791C">
        <w:rPr>
          <w:rFonts w:ascii="Arial" w:hAnsi="Arial" w:cs="Arial"/>
        </w:rPr>
        <w:t>within the ERCOT Region, (b) owns 345 KV interconnected transmission facilities in the</w:t>
      </w:r>
      <w:r>
        <w:rPr>
          <w:rFonts w:ascii="Arial" w:hAnsi="Arial" w:cs="Arial"/>
        </w:rPr>
        <w:t xml:space="preserve"> </w:t>
      </w:r>
      <w:r w:rsidRPr="00C4791C">
        <w:rPr>
          <w:rFonts w:ascii="Arial" w:hAnsi="Arial" w:cs="Arial"/>
        </w:rPr>
        <w:t>ERCOT Region, (c) owns more than 500 pole miles of transmission facilities in the</w:t>
      </w:r>
      <w:r>
        <w:rPr>
          <w:rFonts w:ascii="Arial" w:hAnsi="Arial" w:cs="Arial"/>
        </w:rPr>
        <w:t xml:space="preserve"> </w:t>
      </w:r>
      <w:r w:rsidRPr="00C4791C">
        <w:rPr>
          <w:rFonts w:ascii="Arial" w:hAnsi="Arial" w:cs="Arial"/>
        </w:rPr>
        <w:t>ERCOT Region, or (d) is an Affiliate of an entity described in (a), (b), or (c);</w:t>
      </w:r>
    </w:p>
    <w:p w14:paraId="20AE8046" w14:textId="77777777" w:rsidR="000E4616" w:rsidRDefault="000E4616" w:rsidP="00622A1E">
      <w:pPr>
        <w:ind w:left="720" w:right="720"/>
        <w:jc w:val="both"/>
        <w:rPr>
          <w:rFonts w:ascii="Arial" w:hAnsi="Arial" w:cs="Arial"/>
        </w:rPr>
      </w:pPr>
    </w:p>
    <w:p w14:paraId="617BC4E9" w14:textId="77777777" w:rsidR="000E4616" w:rsidRPr="000E4616" w:rsidRDefault="000E4616" w:rsidP="00622A1E">
      <w:pPr>
        <w:ind w:left="720" w:right="720"/>
        <w:jc w:val="both"/>
        <w:rPr>
          <w:rFonts w:ascii="Arial" w:hAnsi="Arial" w:cs="Arial"/>
          <w:color w:val="FF0000"/>
          <w:u w:val="single"/>
        </w:rPr>
      </w:pPr>
      <w:r w:rsidRPr="00C4791C">
        <w:rPr>
          <w:rFonts w:ascii="Arial" w:hAnsi="Arial" w:cs="Arial"/>
        </w:rPr>
        <w:t>b. A public holding company of any such electric utility</w:t>
      </w:r>
      <w:r w:rsidRPr="000E4616">
        <w:rPr>
          <w:rFonts w:ascii="Arial" w:hAnsi="Arial" w:cs="Arial"/>
          <w:color w:val="FF0000"/>
          <w:u w:val="single"/>
        </w:rPr>
        <w:t>; or</w:t>
      </w:r>
    </w:p>
    <w:p w14:paraId="643E036C" w14:textId="77777777" w:rsidR="000E4616" w:rsidRDefault="000E4616" w:rsidP="00622A1E">
      <w:pPr>
        <w:ind w:left="720" w:right="720"/>
        <w:jc w:val="both"/>
        <w:rPr>
          <w:rFonts w:ascii="Arial" w:hAnsi="Arial" w:cs="Arial"/>
          <w:color w:val="FF0000"/>
          <w:u w:val="single"/>
        </w:rPr>
      </w:pPr>
    </w:p>
    <w:p w14:paraId="3A162BD6" w14:textId="77777777" w:rsidR="000E4616" w:rsidRDefault="000E4616" w:rsidP="00622A1E">
      <w:pPr>
        <w:ind w:left="720" w:right="720"/>
        <w:jc w:val="both"/>
        <w:rPr>
          <w:rFonts w:ascii="Arial" w:hAnsi="Arial" w:cs="Arial"/>
        </w:rPr>
      </w:pPr>
      <w:r w:rsidRPr="000E4616">
        <w:rPr>
          <w:rFonts w:ascii="Arial" w:hAnsi="Arial" w:cs="Arial"/>
          <w:color w:val="FF0000"/>
          <w:u w:val="single"/>
        </w:rPr>
        <w:t>c. An Independent DC Tie Operator</w:t>
      </w:r>
      <w:r>
        <w:rPr>
          <w:rFonts w:ascii="Arial" w:hAnsi="Arial" w:cs="Arial"/>
        </w:rPr>
        <w:t>.</w:t>
      </w:r>
    </w:p>
    <w:p w14:paraId="7F9C9644" w14:textId="77777777" w:rsidR="001510CE" w:rsidRDefault="001510CE" w:rsidP="0069796E">
      <w:pPr>
        <w:ind w:left="720" w:right="720"/>
        <w:jc w:val="both"/>
        <w:rPr>
          <w:rFonts w:ascii="Arial" w:hAnsi="Arial" w:cs="Arial"/>
        </w:rPr>
      </w:pPr>
    </w:p>
    <w:p w14:paraId="353DB3A0" w14:textId="71D17229" w:rsidR="006D3008" w:rsidRDefault="001510CE" w:rsidP="006D3008">
      <w:pPr>
        <w:ind w:right="720"/>
        <w:jc w:val="both"/>
        <w:rPr>
          <w:rFonts w:ascii="Arial" w:hAnsi="Arial" w:cs="Arial"/>
        </w:rPr>
      </w:pPr>
      <w:r>
        <w:rPr>
          <w:rFonts w:ascii="Arial" w:hAnsi="Arial" w:cs="Arial"/>
        </w:rPr>
        <w:t xml:space="preserve">The language above would generally be sufficient to </w:t>
      </w:r>
      <w:r w:rsidR="00FC47C7">
        <w:rPr>
          <w:rFonts w:ascii="Arial" w:hAnsi="Arial" w:cs="Arial"/>
        </w:rPr>
        <w:t xml:space="preserve">expand the definition of IOU to include Entities such as SCT. </w:t>
      </w:r>
      <w:r w:rsidR="00E81045">
        <w:rPr>
          <w:rFonts w:ascii="Arial" w:hAnsi="Arial" w:cs="Arial"/>
        </w:rPr>
        <w:t xml:space="preserve">If this language were conceptually acceptable, ERCOT would </w:t>
      </w:r>
      <w:r w:rsidR="00FC47C7">
        <w:rPr>
          <w:rFonts w:ascii="Arial" w:hAnsi="Arial" w:cs="Arial"/>
        </w:rPr>
        <w:t xml:space="preserve">recommend that references to the ERCOT Transmission Grid be replaced with </w:t>
      </w:r>
      <w:r w:rsidR="00E60F19">
        <w:rPr>
          <w:rFonts w:ascii="Arial" w:hAnsi="Arial" w:cs="Arial"/>
        </w:rPr>
        <w:t>“</w:t>
      </w:r>
      <w:r w:rsidR="00FC47C7">
        <w:rPr>
          <w:rFonts w:ascii="Arial" w:hAnsi="Arial" w:cs="Arial"/>
        </w:rPr>
        <w:t>ERCOT System,</w:t>
      </w:r>
      <w:r w:rsidR="00E60F19">
        <w:rPr>
          <w:rFonts w:ascii="Arial" w:hAnsi="Arial" w:cs="Arial"/>
        </w:rPr>
        <w:t>”</w:t>
      </w:r>
      <w:r w:rsidR="00FC47C7">
        <w:rPr>
          <w:rFonts w:ascii="Arial" w:hAnsi="Arial" w:cs="Arial"/>
        </w:rPr>
        <w:t xml:space="preserve"> consistent with the definition of “Direct Current Tie Operator (DCTO)” proposed in NPRR857.</w:t>
      </w:r>
      <w:r w:rsidR="006D3008">
        <w:rPr>
          <w:rFonts w:ascii="Arial" w:hAnsi="Arial" w:cs="Arial"/>
        </w:rPr>
        <w:t xml:space="preserve">  </w:t>
      </w:r>
      <w:r w:rsidR="006D3008" w:rsidRPr="006D3008">
        <w:rPr>
          <w:rFonts w:ascii="Arial" w:hAnsi="Arial" w:cs="Arial"/>
        </w:rPr>
        <w:cr/>
      </w:r>
    </w:p>
    <w:p w14:paraId="1B20E3F5" w14:textId="3A0A25D9" w:rsidR="001510CE" w:rsidRDefault="006D3008" w:rsidP="006D3008">
      <w:pPr>
        <w:ind w:right="720"/>
        <w:jc w:val="both"/>
        <w:rPr>
          <w:rFonts w:ascii="Arial" w:hAnsi="Arial" w:cs="Arial"/>
        </w:rPr>
      </w:pPr>
      <w:r>
        <w:rPr>
          <w:rFonts w:ascii="Arial" w:hAnsi="Arial" w:cs="Arial"/>
        </w:rPr>
        <w:t>Furthermore, allowing entities who are merely “</w:t>
      </w:r>
      <w:r w:rsidRPr="006D3008">
        <w:rPr>
          <w:rFonts w:ascii="Arial" w:hAnsi="Arial" w:cs="Arial"/>
          <w:i/>
        </w:rPr>
        <w:t>preparing to</w:t>
      </w:r>
      <w:r>
        <w:rPr>
          <w:rFonts w:ascii="Arial" w:hAnsi="Arial" w:cs="Arial"/>
        </w:rPr>
        <w:t xml:space="preserve"> own or operate a DCT Tie” to be ERCOT Members without demonstrating any further qualification would be inconsistent with the standards for member</w:t>
      </w:r>
      <w:r w:rsidR="0069796E">
        <w:rPr>
          <w:rFonts w:ascii="Arial" w:hAnsi="Arial" w:cs="Arial"/>
        </w:rPr>
        <w:t xml:space="preserve">ship in other Segments. </w:t>
      </w:r>
      <w:r>
        <w:rPr>
          <w:rFonts w:ascii="Arial" w:hAnsi="Arial" w:cs="Arial"/>
        </w:rPr>
        <w:t>Most of the Segment definitions require the participant to</w:t>
      </w:r>
      <w:r w:rsidR="0070388D">
        <w:rPr>
          <w:rFonts w:ascii="Arial" w:hAnsi="Arial" w:cs="Arial"/>
        </w:rPr>
        <w:t xml:space="preserve"> be actively</w:t>
      </w:r>
      <w:r>
        <w:rPr>
          <w:rFonts w:ascii="Arial" w:hAnsi="Arial" w:cs="Arial"/>
        </w:rPr>
        <w:t xml:space="preserve"> engage</w:t>
      </w:r>
      <w:r w:rsidR="0070388D">
        <w:rPr>
          <w:rFonts w:ascii="Arial" w:hAnsi="Arial" w:cs="Arial"/>
        </w:rPr>
        <w:t>d</w:t>
      </w:r>
      <w:r>
        <w:rPr>
          <w:rFonts w:ascii="Arial" w:hAnsi="Arial" w:cs="Arial"/>
        </w:rPr>
        <w:t xml:space="preserve"> in the market activity that defines the segment. </w:t>
      </w:r>
      <w:r w:rsidR="00E44432">
        <w:rPr>
          <w:rFonts w:ascii="Arial" w:hAnsi="Arial" w:cs="Arial"/>
        </w:rPr>
        <w:t>T</w:t>
      </w:r>
      <w:r>
        <w:rPr>
          <w:rFonts w:ascii="Arial" w:hAnsi="Arial" w:cs="Arial"/>
        </w:rPr>
        <w:t>he definition of “Independent Generator</w:t>
      </w:r>
      <w:r w:rsidR="00E44432">
        <w:rPr>
          <w:rFonts w:ascii="Arial" w:hAnsi="Arial" w:cs="Arial"/>
        </w:rPr>
        <w:t>,</w:t>
      </w:r>
      <w:r>
        <w:rPr>
          <w:rFonts w:ascii="Arial" w:hAnsi="Arial" w:cs="Arial"/>
        </w:rPr>
        <w:t>”</w:t>
      </w:r>
      <w:r w:rsidR="00E44432">
        <w:rPr>
          <w:rFonts w:ascii="Arial" w:hAnsi="Arial" w:cs="Arial"/>
        </w:rPr>
        <w:t xml:space="preserve"> by contrast,</w:t>
      </w:r>
      <w:r>
        <w:rPr>
          <w:rFonts w:ascii="Arial" w:hAnsi="Arial" w:cs="Arial"/>
        </w:rPr>
        <w:t xml:space="preserve"> includes a proviso that includes entities “preparing to operate” generation assets</w:t>
      </w:r>
      <w:r w:rsidR="00E44432">
        <w:rPr>
          <w:rFonts w:ascii="Arial" w:hAnsi="Arial" w:cs="Arial"/>
        </w:rPr>
        <w:t>;</w:t>
      </w:r>
      <w:r>
        <w:rPr>
          <w:rFonts w:ascii="Arial" w:hAnsi="Arial" w:cs="Arial"/>
        </w:rPr>
        <w:t xml:space="preserve"> </w:t>
      </w:r>
      <w:r w:rsidR="00E44432">
        <w:rPr>
          <w:rFonts w:ascii="Arial" w:hAnsi="Arial" w:cs="Arial"/>
        </w:rPr>
        <w:t>however,</w:t>
      </w:r>
      <w:r>
        <w:rPr>
          <w:rFonts w:ascii="Arial" w:hAnsi="Arial" w:cs="Arial"/>
        </w:rPr>
        <w:t xml:space="preserve"> it </w:t>
      </w:r>
      <w:r w:rsidR="00E44432">
        <w:rPr>
          <w:rFonts w:ascii="Arial" w:hAnsi="Arial" w:cs="Arial"/>
        </w:rPr>
        <w:t>includes several important</w:t>
      </w:r>
      <w:r>
        <w:rPr>
          <w:rFonts w:ascii="Arial" w:hAnsi="Arial" w:cs="Arial"/>
        </w:rPr>
        <w:t xml:space="preserve"> restrictions </w:t>
      </w:r>
      <w:r w:rsidR="00E44432">
        <w:rPr>
          <w:rFonts w:ascii="Arial" w:hAnsi="Arial" w:cs="Arial"/>
        </w:rPr>
        <w:t xml:space="preserve">to ensure the definition includes only those entities </w:t>
      </w:r>
      <w:r>
        <w:rPr>
          <w:rFonts w:ascii="Arial" w:hAnsi="Arial" w:cs="Arial"/>
        </w:rPr>
        <w:t xml:space="preserve">that have taken steps demonstrating </w:t>
      </w:r>
      <w:r w:rsidR="00E44432">
        <w:rPr>
          <w:rFonts w:ascii="Arial" w:hAnsi="Arial" w:cs="Arial"/>
        </w:rPr>
        <w:t>a significant likelihood that the entity will operate one or more generation assets</w:t>
      </w:r>
      <w:r>
        <w:rPr>
          <w:rFonts w:ascii="Arial" w:hAnsi="Arial" w:cs="Arial"/>
        </w:rPr>
        <w:t>. Specifically, any entity that “</w:t>
      </w:r>
      <w:r w:rsidRPr="006D3008">
        <w:rPr>
          <w:rFonts w:ascii="Arial" w:hAnsi="Arial" w:cs="Arial"/>
        </w:rPr>
        <w:t>is preparing to operate</w:t>
      </w:r>
      <w:r>
        <w:rPr>
          <w:rFonts w:ascii="Arial" w:hAnsi="Arial" w:cs="Arial"/>
        </w:rPr>
        <w:t xml:space="preserve"> </w:t>
      </w:r>
      <w:r w:rsidRPr="006D3008">
        <w:rPr>
          <w:rFonts w:ascii="Arial" w:hAnsi="Arial" w:cs="Arial"/>
        </w:rPr>
        <w:t>and control generation of at least 10 MW, in the ERCOT Region, and has approval of the</w:t>
      </w:r>
      <w:r>
        <w:rPr>
          <w:rFonts w:ascii="Arial" w:hAnsi="Arial" w:cs="Arial"/>
        </w:rPr>
        <w:t xml:space="preserve"> </w:t>
      </w:r>
      <w:r w:rsidRPr="006D3008">
        <w:rPr>
          <w:rFonts w:ascii="Arial" w:hAnsi="Arial" w:cs="Arial"/>
        </w:rPr>
        <w:t>appropriate governmental authority, has any necessary real property rights, has given the</w:t>
      </w:r>
      <w:r>
        <w:rPr>
          <w:rFonts w:ascii="Arial" w:hAnsi="Arial" w:cs="Arial"/>
        </w:rPr>
        <w:t xml:space="preserve"> </w:t>
      </w:r>
      <w:r w:rsidRPr="006D3008">
        <w:rPr>
          <w:rFonts w:ascii="Arial" w:hAnsi="Arial" w:cs="Arial"/>
        </w:rPr>
        <w:t>connecting transmission provider written authorization to proceed with construction and</w:t>
      </w:r>
      <w:r>
        <w:rPr>
          <w:rFonts w:ascii="Arial" w:hAnsi="Arial" w:cs="Arial"/>
        </w:rPr>
        <w:t xml:space="preserve"> </w:t>
      </w:r>
      <w:r w:rsidRPr="006D3008">
        <w:rPr>
          <w:rFonts w:ascii="Arial" w:hAnsi="Arial" w:cs="Arial"/>
        </w:rPr>
        <w:t>has provided security to the connecting transmission provider</w:t>
      </w:r>
      <w:r>
        <w:rPr>
          <w:rFonts w:ascii="Arial" w:hAnsi="Arial" w:cs="Arial"/>
        </w:rPr>
        <w:t xml:space="preserve">” may become a Member of the Independent </w:t>
      </w:r>
      <w:r>
        <w:rPr>
          <w:rFonts w:ascii="Arial" w:hAnsi="Arial" w:cs="Arial"/>
        </w:rPr>
        <w:lastRenderedPageBreak/>
        <w:t xml:space="preserve">Generator </w:t>
      </w:r>
      <w:r w:rsidR="0069796E">
        <w:rPr>
          <w:rFonts w:ascii="Arial" w:hAnsi="Arial" w:cs="Arial"/>
        </w:rPr>
        <w:t>S</w:t>
      </w:r>
      <w:r>
        <w:rPr>
          <w:rFonts w:ascii="Arial" w:hAnsi="Arial" w:cs="Arial"/>
        </w:rPr>
        <w:t>egment</w:t>
      </w:r>
      <w:r w:rsidRPr="006D3008">
        <w:rPr>
          <w:rFonts w:ascii="Arial" w:hAnsi="Arial" w:cs="Arial"/>
        </w:rPr>
        <w:t>.</w:t>
      </w:r>
      <w:r>
        <w:rPr>
          <w:rFonts w:ascii="Arial" w:hAnsi="Arial" w:cs="Arial"/>
        </w:rPr>
        <w:t xml:space="preserve"> Similar </w:t>
      </w:r>
      <w:r w:rsidR="00E44432">
        <w:rPr>
          <w:rFonts w:ascii="Arial" w:hAnsi="Arial" w:cs="Arial"/>
        </w:rPr>
        <w:t xml:space="preserve">requirements </w:t>
      </w:r>
      <w:r>
        <w:rPr>
          <w:rFonts w:ascii="Arial" w:hAnsi="Arial" w:cs="Arial"/>
        </w:rPr>
        <w:t xml:space="preserve">may be appropriate </w:t>
      </w:r>
      <w:r w:rsidR="00E44432">
        <w:rPr>
          <w:rFonts w:ascii="Arial" w:hAnsi="Arial" w:cs="Arial"/>
        </w:rPr>
        <w:t xml:space="preserve">to allow entities preparing to operate as </w:t>
      </w:r>
      <w:r>
        <w:rPr>
          <w:rFonts w:ascii="Arial" w:hAnsi="Arial" w:cs="Arial"/>
        </w:rPr>
        <w:t>an “Independent DC Tie Operator”</w:t>
      </w:r>
      <w:r w:rsidR="00274ABF">
        <w:rPr>
          <w:rFonts w:ascii="Arial" w:hAnsi="Arial" w:cs="Arial"/>
        </w:rPr>
        <w:t xml:space="preserve"> to qualify as such</w:t>
      </w:r>
      <w:r>
        <w:rPr>
          <w:rFonts w:ascii="Arial" w:hAnsi="Arial" w:cs="Arial"/>
        </w:rPr>
        <w:t xml:space="preserve"> if the definition proposed by SCT is otherwise acceptable. </w:t>
      </w:r>
      <w:r w:rsidR="00E81045">
        <w:rPr>
          <w:rFonts w:ascii="Arial" w:hAnsi="Arial" w:cs="Arial"/>
        </w:rPr>
        <w:t xml:space="preserve"> </w:t>
      </w:r>
    </w:p>
    <w:p w14:paraId="57D5F7E2" w14:textId="77777777" w:rsidR="003A25E2" w:rsidRDefault="003A25E2" w:rsidP="003A25E2">
      <w:pPr>
        <w:jc w:val="both"/>
        <w:rPr>
          <w:rFonts w:ascii="Arial" w:hAnsi="Arial" w:cs="Arial"/>
        </w:rPr>
      </w:pPr>
    </w:p>
    <w:p w14:paraId="469376B0" w14:textId="77777777" w:rsidR="002C0304" w:rsidRPr="00232978" w:rsidRDefault="002C0304" w:rsidP="0069796E">
      <w:pPr>
        <w:keepNext/>
        <w:keepLines/>
        <w:spacing w:after="240"/>
        <w:ind w:left="720"/>
        <w:jc w:val="both"/>
        <w:rPr>
          <w:rFonts w:ascii="Arial" w:hAnsi="Arial" w:cs="Arial"/>
          <w:b/>
          <w:i/>
        </w:rPr>
      </w:pPr>
      <w:r>
        <w:rPr>
          <w:rFonts w:ascii="Arial" w:hAnsi="Arial" w:cs="Arial"/>
          <w:b/>
          <w:i/>
        </w:rPr>
        <w:t>2</w:t>
      </w:r>
      <w:r w:rsidRPr="00232978">
        <w:rPr>
          <w:rFonts w:ascii="Arial" w:hAnsi="Arial" w:cs="Arial"/>
          <w:b/>
          <w:i/>
        </w:rPr>
        <w:t>.</w:t>
      </w:r>
      <w:r w:rsidRPr="00232978">
        <w:rPr>
          <w:rFonts w:ascii="Arial" w:hAnsi="Arial" w:cs="Arial"/>
          <w:b/>
          <w:i/>
        </w:rPr>
        <w:tab/>
        <w:t>Independent Power Marketer Segment</w:t>
      </w:r>
    </w:p>
    <w:p w14:paraId="1C0567A2" w14:textId="77777777" w:rsidR="002C0304" w:rsidRDefault="002C0304" w:rsidP="002C0304">
      <w:pPr>
        <w:jc w:val="both"/>
        <w:rPr>
          <w:rFonts w:ascii="Arial" w:hAnsi="Arial" w:cs="Arial"/>
        </w:rPr>
      </w:pPr>
      <w:r>
        <w:rPr>
          <w:rFonts w:ascii="Arial" w:hAnsi="Arial" w:cs="Arial"/>
        </w:rPr>
        <w:t>Article 2, Section 11 of the Bylaws defines Independent Power Marketer as follows:</w:t>
      </w:r>
    </w:p>
    <w:p w14:paraId="16656C73" w14:textId="77777777" w:rsidR="002C0304" w:rsidRDefault="002C0304" w:rsidP="002C0304">
      <w:pPr>
        <w:jc w:val="both"/>
        <w:rPr>
          <w:rFonts w:ascii="Arial" w:hAnsi="Arial" w:cs="Arial"/>
        </w:rPr>
      </w:pPr>
    </w:p>
    <w:p w14:paraId="4BFE2CE7" w14:textId="77777777" w:rsidR="002C0304" w:rsidRDefault="002C0304" w:rsidP="002C0304">
      <w:pPr>
        <w:ind w:left="720" w:right="720"/>
        <w:jc w:val="both"/>
        <w:rPr>
          <w:rFonts w:ascii="Arial" w:hAnsi="Arial" w:cs="Arial"/>
        </w:rPr>
      </w:pPr>
      <w:r w:rsidRPr="00A31074">
        <w:rPr>
          <w:rFonts w:ascii="Arial" w:hAnsi="Arial" w:cs="Arial"/>
          <w:b/>
          <w:bCs/>
        </w:rPr>
        <w:t>Independent</w:t>
      </w:r>
      <w:r>
        <w:rPr>
          <w:rFonts w:ascii="Arial" w:hAnsi="Arial" w:cs="Arial"/>
        </w:rPr>
        <w:t xml:space="preserve"> </w:t>
      </w:r>
      <w:r w:rsidRPr="00A31074">
        <w:rPr>
          <w:rFonts w:ascii="Arial" w:hAnsi="Arial" w:cs="Arial"/>
          <w:b/>
        </w:rPr>
        <w:t>Power Marketer</w:t>
      </w:r>
      <w:r>
        <w:rPr>
          <w:rFonts w:ascii="Arial" w:hAnsi="Arial" w:cs="Arial"/>
        </w:rPr>
        <w:t>. A</w:t>
      </w:r>
      <w:r w:rsidRPr="00C046FB">
        <w:rPr>
          <w:rFonts w:ascii="Arial" w:hAnsi="Arial" w:cs="Arial"/>
        </w:rPr>
        <w:t>ny entity that is not a T&amp;D Entity or Affiliate of a T&amp;D Entity and is registered at the PUCT as a Power Marketer to serve in the ERCOT Region.</w:t>
      </w:r>
    </w:p>
    <w:p w14:paraId="710D6B70" w14:textId="77777777" w:rsidR="002C0304" w:rsidRDefault="002C0304" w:rsidP="002C0304">
      <w:pPr>
        <w:jc w:val="both"/>
        <w:rPr>
          <w:rFonts w:ascii="Arial" w:hAnsi="Arial" w:cs="Arial"/>
        </w:rPr>
      </w:pPr>
    </w:p>
    <w:p w14:paraId="2ADF9981" w14:textId="77777777" w:rsidR="002C0304" w:rsidRDefault="002C0304" w:rsidP="002C0304">
      <w:pPr>
        <w:jc w:val="both"/>
        <w:rPr>
          <w:rFonts w:ascii="Arial" w:hAnsi="Arial" w:cs="Arial"/>
        </w:rPr>
      </w:pPr>
      <w:r>
        <w:rPr>
          <w:rFonts w:ascii="Arial" w:hAnsi="Arial" w:cs="Arial"/>
        </w:rPr>
        <w:t>“Power marketer” is defined in the PUCT Substantive Rule 25.5(83) as follows:</w:t>
      </w:r>
    </w:p>
    <w:p w14:paraId="5F10C067" w14:textId="77777777" w:rsidR="002C0304" w:rsidRDefault="002C0304" w:rsidP="002C0304">
      <w:pPr>
        <w:jc w:val="both"/>
        <w:rPr>
          <w:rFonts w:ascii="Arial" w:hAnsi="Arial" w:cs="Arial"/>
        </w:rPr>
      </w:pPr>
    </w:p>
    <w:p w14:paraId="20B227C1" w14:textId="77777777" w:rsidR="002C0304" w:rsidRDefault="002C0304" w:rsidP="002C0304">
      <w:pPr>
        <w:ind w:left="720" w:right="720"/>
        <w:jc w:val="both"/>
        <w:rPr>
          <w:rFonts w:ascii="Arial" w:hAnsi="Arial" w:cs="Arial"/>
        </w:rPr>
      </w:pPr>
      <w:r w:rsidRPr="00AE65D8">
        <w:rPr>
          <w:rFonts w:ascii="Arial" w:hAnsi="Arial" w:cs="Arial"/>
          <w:b/>
          <w:bCs/>
        </w:rPr>
        <w:t xml:space="preserve">Power marketer </w:t>
      </w:r>
      <w:r w:rsidRPr="00AE65D8">
        <w:rPr>
          <w:rFonts w:ascii="Arial" w:hAnsi="Arial" w:cs="Arial"/>
        </w:rPr>
        <w:t>— A person who becomes an owner of electric energy in this state for the purpose of selling the electric energy at wholesale; does not own generation, transmission, or distribution facilities in this state; does not have a certificated service area; and who is in compliance with the registration requirements of §25.105 of this title (relating to Registration and Reporting by Power Marketers).</w:t>
      </w:r>
    </w:p>
    <w:p w14:paraId="6DABE603" w14:textId="77777777" w:rsidR="002C0304" w:rsidRDefault="002C0304" w:rsidP="002C0304">
      <w:pPr>
        <w:jc w:val="both"/>
        <w:rPr>
          <w:rFonts w:ascii="Arial" w:hAnsi="Arial" w:cs="Arial"/>
        </w:rPr>
      </w:pPr>
    </w:p>
    <w:p w14:paraId="76A3E531" w14:textId="77777777" w:rsidR="003154FF" w:rsidRDefault="007A55D6" w:rsidP="002C0304">
      <w:pPr>
        <w:jc w:val="both"/>
        <w:rPr>
          <w:rFonts w:ascii="Arial" w:hAnsi="Arial" w:cs="Arial"/>
        </w:rPr>
      </w:pPr>
      <w:r>
        <w:rPr>
          <w:rFonts w:ascii="Arial" w:hAnsi="Arial" w:cs="Arial"/>
        </w:rPr>
        <w:t xml:space="preserve">SCT does satisfy the </w:t>
      </w:r>
      <w:r w:rsidR="002C0304">
        <w:rPr>
          <w:rFonts w:ascii="Arial" w:hAnsi="Arial" w:cs="Arial"/>
        </w:rPr>
        <w:t xml:space="preserve">second </w:t>
      </w:r>
      <w:r>
        <w:rPr>
          <w:rFonts w:ascii="Arial" w:hAnsi="Arial" w:cs="Arial"/>
        </w:rPr>
        <w:t xml:space="preserve">and third </w:t>
      </w:r>
      <w:r w:rsidR="002C0304">
        <w:rPr>
          <w:rFonts w:ascii="Arial" w:hAnsi="Arial" w:cs="Arial"/>
        </w:rPr>
        <w:t>part</w:t>
      </w:r>
      <w:r>
        <w:rPr>
          <w:rFonts w:ascii="Arial" w:hAnsi="Arial" w:cs="Arial"/>
        </w:rPr>
        <w:t>s</w:t>
      </w:r>
      <w:r w:rsidR="002C0304">
        <w:rPr>
          <w:rFonts w:ascii="Arial" w:hAnsi="Arial" w:cs="Arial"/>
        </w:rPr>
        <w:t xml:space="preserve"> </w:t>
      </w:r>
      <w:r>
        <w:rPr>
          <w:rFonts w:ascii="Arial" w:hAnsi="Arial" w:cs="Arial"/>
        </w:rPr>
        <w:t xml:space="preserve">of the PUCT definition </w:t>
      </w:r>
      <w:r w:rsidR="002C0304">
        <w:rPr>
          <w:rFonts w:ascii="Arial" w:hAnsi="Arial" w:cs="Arial"/>
        </w:rPr>
        <w:t>– i.e., SCT does</w:t>
      </w:r>
      <w:r w:rsidR="0070388D">
        <w:rPr>
          <w:rFonts w:ascii="Arial" w:hAnsi="Arial" w:cs="Arial"/>
        </w:rPr>
        <w:t xml:space="preserve"> not</w:t>
      </w:r>
      <w:r w:rsidR="002C0304">
        <w:rPr>
          <w:rFonts w:ascii="Arial" w:hAnsi="Arial" w:cs="Arial"/>
        </w:rPr>
        <w:t xml:space="preserve"> and will not own </w:t>
      </w:r>
      <w:r w:rsidR="002C0304" w:rsidRPr="00AE65D8">
        <w:rPr>
          <w:rFonts w:ascii="Arial" w:hAnsi="Arial" w:cs="Arial"/>
        </w:rPr>
        <w:t>generation, transmission or distribution facilities in</w:t>
      </w:r>
      <w:r>
        <w:rPr>
          <w:rFonts w:ascii="Arial" w:hAnsi="Arial" w:cs="Arial"/>
        </w:rPr>
        <w:t xml:space="preserve"> the State of Texas, and </w:t>
      </w:r>
      <w:r w:rsidRPr="00AE65D8">
        <w:rPr>
          <w:rFonts w:ascii="Arial" w:hAnsi="Arial" w:cs="Arial"/>
        </w:rPr>
        <w:t xml:space="preserve">does </w:t>
      </w:r>
      <w:r>
        <w:rPr>
          <w:rFonts w:ascii="Arial" w:hAnsi="Arial" w:cs="Arial"/>
        </w:rPr>
        <w:t xml:space="preserve">not and will </w:t>
      </w:r>
      <w:r w:rsidRPr="00AE65D8">
        <w:rPr>
          <w:rFonts w:ascii="Arial" w:hAnsi="Arial" w:cs="Arial"/>
        </w:rPr>
        <w:t>not have a certificated service area</w:t>
      </w:r>
      <w:r>
        <w:rPr>
          <w:rFonts w:ascii="Arial" w:hAnsi="Arial" w:cs="Arial"/>
        </w:rPr>
        <w:t xml:space="preserve">. </w:t>
      </w:r>
      <w:r w:rsidR="003154FF">
        <w:rPr>
          <w:rFonts w:ascii="Arial" w:hAnsi="Arial" w:cs="Arial"/>
        </w:rPr>
        <w:t xml:space="preserve">In addition, as noted in the September 22, 2017 </w:t>
      </w:r>
      <w:r w:rsidR="003154FF" w:rsidRPr="003154FF">
        <w:rPr>
          <w:rFonts w:ascii="Arial" w:hAnsi="Arial" w:cs="Arial"/>
        </w:rPr>
        <w:t>Oncor Comments</w:t>
      </w:r>
      <w:r w:rsidR="003154FF">
        <w:rPr>
          <w:rFonts w:ascii="Arial" w:hAnsi="Arial" w:cs="Arial"/>
        </w:rPr>
        <w:t>, classifying DC Tie Operators as Independent Power Marketers would parallel the classification of aggregators as Independent Retail Electric Providers.</w:t>
      </w:r>
      <w:r w:rsidR="003154FF">
        <w:rPr>
          <w:rStyle w:val="FootnoteReference"/>
          <w:rFonts w:ascii="Arial" w:hAnsi="Arial" w:cs="Arial"/>
        </w:rPr>
        <w:footnoteReference w:id="15"/>
      </w:r>
    </w:p>
    <w:p w14:paraId="089C7C6B" w14:textId="77777777" w:rsidR="003154FF" w:rsidRDefault="003154FF" w:rsidP="002C0304">
      <w:pPr>
        <w:jc w:val="both"/>
        <w:rPr>
          <w:rFonts w:ascii="Arial" w:hAnsi="Arial" w:cs="Arial"/>
        </w:rPr>
      </w:pPr>
    </w:p>
    <w:p w14:paraId="765DD2D5" w14:textId="77777777" w:rsidR="002C0304" w:rsidRDefault="007A55D6" w:rsidP="002C0304">
      <w:pPr>
        <w:jc w:val="both"/>
        <w:rPr>
          <w:rFonts w:ascii="Arial" w:hAnsi="Arial" w:cs="Arial"/>
        </w:rPr>
      </w:pPr>
      <w:r>
        <w:rPr>
          <w:rFonts w:ascii="Arial" w:hAnsi="Arial" w:cs="Arial"/>
        </w:rPr>
        <w:t>However</w:t>
      </w:r>
      <w:r w:rsidR="002C0304">
        <w:rPr>
          <w:rFonts w:ascii="Arial" w:hAnsi="Arial" w:cs="Arial"/>
        </w:rPr>
        <w:t xml:space="preserve">, </w:t>
      </w:r>
      <w:r>
        <w:rPr>
          <w:rFonts w:ascii="Arial" w:hAnsi="Arial" w:cs="Arial"/>
        </w:rPr>
        <w:t xml:space="preserve">SCT will not buy, sell or take title to electric energy in the State of Texas, so it does not fall within the PUCT definition of </w:t>
      </w:r>
      <w:r w:rsidR="002A0C4C">
        <w:rPr>
          <w:rFonts w:ascii="Arial" w:hAnsi="Arial" w:cs="Arial"/>
        </w:rPr>
        <w:t>“</w:t>
      </w:r>
      <w:r>
        <w:rPr>
          <w:rFonts w:ascii="Arial" w:hAnsi="Arial" w:cs="Arial"/>
        </w:rPr>
        <w:t>power marketer</w:t>
      </w:r>
      <w:r w:rsidR="002A0C4C">
        <w:rPr>
          <w:rFonts w:ascii="Arial" w:hAnsi="Arial" w:cs="Arial"/>
        </w:rPr>
        <w:t>”</w:t>
      </w:r>
      <w:r>
        <w:rPr>
          <w:rFonts w:ascii="Arial" w:hAnsi="Arial" w:cs="Arial"/>
        </w:rPr>
        <w:t xml:space="preserve"> and therefore also does not meet the ERCOT definition of Independent Power Marketer.</w:t>
      </w:r>
    </w:p>
    <w:p w14:paraId="086E3DE7" w14:textId="77777777" w:rsidR="000E4616" w:rsidRDefault="000E4616" w:rsidP="002C0304">
      <w:pPr>
        <w:jc w:val="both"/>
        <w:rPr>
          <w:rFonts w:ascii="Arial" w:hAnsi="Arial" w:cs="Arial"/>
        </w:rPr>
      </w:pPr>
    </w:p>
    <w:p w14:paraId="08497899" w14:textId="77777777" w:rsidR="000E4616" w:rsidRDefault="000E4616" w:rsidP="000E4616">
      <w:pPr>
        <w:jc w:val="both"/>
        <w:rPr>
          <w:rFonts w:ascii="Arial" w:hAnsi="Arial" w:cs="Arial"/>
        </w:rPr>
      </w:pPr>
      <w:r>
        <w:rPr>
          <w:rFonts w:ascii="Arial" w:hAnsi="Arial" w:cs="Arial"/>
        </w:rPr>
        <w:t xml:space="preserve">The September 22, 2017 </w:t>
      </w:r>
      <w:r w:rsidRPr="003154FF">
        <w:rPr>
          <w:rFonts w:ascii="Arial" w:hAnsi="Arial" w:cs="Arial"/>
        </w:rPr>
        <w:t>Oncor Comments</w:t>
      </w:r>
      <w:r>
        <w:rPr>
          <w:rFonts w:ascii="Arial" w:hAnsi="Arial" w:cs="Arial"/>
        </w:rPr>
        <w:t xml:space="preserve"> proposed the following revisions to Article 2, Section 13 of the Bylaws to accommodate SCT’s membership within the Independent Power Marketer Segment: </w:t>
      </w:r>
    </w:p>
    <w:p w14:paraId="05A44979" w14:textId="77777777" w:rsidR="000E4616" w:rsidRDefault="000E4616" w:rsidP="000E4616">
      <w:pPr>
        <w:ind w:left="720"/>
        <w:jc w:val="both"/>
        <w:rPr>
          <w:rFonts w:ascii="Arial" w:hAnsi="Arial" w:cs="Arial"/>
        </w:rPr>
      </w:pPr>
    </w:p>
    <w:p w14:paraId="0AA349CD" w14:textId="77777777" w:rsidR="000E4616" w:rsidRDefault="000E4616" w:rsidP="00622A1E">
      <w:pPr>
        <w:ind w:left="720" w:right="720"/>
        <w:jc w:val="both"/>
        <w:rPr>
          <w:rFonts w:ascii="Arial" w:hAnsi="Arial" w:cs="Arial"/>
        </w:rPr>
      </w:pPr>
      <w:r w:rsidRPr="000E4616">
        <w:rPr>
          <w:rFonts w:ascii="Arial" w:hAnsi="Arial" w:cs="Arial"/>
          <w:b/>
        </w:rPr>
        <w:t>Independent Power Marketer.</w:t>
      </w:r>
      <w:r w:rsidRPr="00456230">
        <w:rPr>
          <w:rFonts w:ascii="Arial" w:hAnsi="Arial" w:cs="Arial"/>
        </w:rPr>
        <w:t xml:space="preserve"> Any entity that is not a T&amp;D Entity or Affiliate of a T&amp;D Entity and is registered at the PUCT as a Power Marketer to serve in the ERCOT Region.</w:t>
      </w:r>
      <w:r w:rsidRPr="000E4616">
        <w:rPr>
          <w:rFonts w:ascii="Arial" w:hAnsi="Arial" w:cs="Arial"/>
          <w:color w:val="FF0000"/>
          <w:u w:val="single"/>
        </w:rPr>
        <w:t xml:space="preserve"> For the purposes of Segment classification, a DC Tie Operator, if such Member does not fit in any other classification, shall participate as an Independent Power Marketer.</w:t>
      </w:r>
    </w:p>
    <w:p w14:paraId="355302B5" w14:textId="77777777" w:rsidR="00C4791C" w:rsidRDefault="00C4791C" w:rsidP="002C0304">
      <w:pPr>
        <w:jc w:val="both"/>
        <w:rPr>
          <w:rFonts w:ascii="Arial" w:hAnsi="Arial" w:cs="Arial"/>
        </w:rPr>
      </w:pPr>
    </w:p>
    <w:p w14:paraId="4C9BAD4C" w14:textId="5546D676" w:rsidR="00FC47C7" w:rsidRDefault="00FC47C7" w:rsidP="002C0304">
      <w:pPr>
        <w:jc w:val="both"/>
        <w:rPr>
          <w:rFonts w:ascii="Arial" w:hAnsi="Arial" w:cs="Arial"/>
        </w:rPr>
      </w:pPr>
      <w:r>
        <w:rPr>
          <w:rFonts w:ascii="Arial" w:hAnsi="Arial" w:cs="Arial"/>
        </w:rPr>
        <w:lastRenderedPageBreak/>
        <w:t xml:space="preserve">The language above would be sufficient to expand the definition of IOU to include Entities such as SCT, although </w:t>
      </w:r>
      <w:r w:rsidR="00D5268F">
        <w:rPr>
          <w:rFonts w:ascii="Arial" w:hAnsi="Arial" w:cs="Arial"/>
        </w:rPr>
        <w:t>the Bylaws would have to be further revised to</w:t>
      </w:r>
      <w:r>
        <w:rPr>
          <w:rFonts w:ascii="Arial" w:hAnsi="Arial" w:cs="Arial"/>
        </w:rPr>
        <w:t xml:space="preserve"> include a new definition for “DC Tie Operator” such as that proposed in part 2 above.</w:t>
      </w:r>
    </w:p>
    <w:p w14:paraId="0B542AC2" w14:textId="77777777" w:rsidR="00FC47C7" w:rsidRDefault="00FC47C7" w:rsidP="002C0304">
      <w:pPr>
        <w:jc w:val="both"/>
        <w:rPr>
          <w:rFonts w:ascii="Arial" w:hAnsi="Arial" w:cs="Arial"/>
        </w:rPr>
      </w:pPr>
    </w:p>
    <w:p w14:paraId="36F90867" w14:textId="0876E0F3" w:rsidR="00854D2F" w:rsidRDefault="00854D2F" w:rsidP="0069796E">
      <w:pPr>
        <w:keepNext/>
        <w:keepLines/>
        <w:spacing w:after="240"/>
        <w:ind w:left="720"/>
        <w:jc w:val="both"/>
        <w:rPr>
          <w:rFonts w:ascii="Arial" w:hAnsi="Arial" w:cs="Arial"/>
          <w:b/>
          <w:i/>
        </w:rPr>
      </w:pPr>
      <w:r>
        <w:rPr>
          <w:rFonts w:ascii="Arial" w:hAnsi="Arial" w:cs="Arial"/>
          <w:b/>
          <w:i/>
        </w:rPr>
        <w:t>3.</w:t>
      </w:r>
      <w:r>
        <w:rPr>
          <w:rFonts w:ascii="Arial" w:hAnsi="Arial" w:cs="Arial"/>
          <w:b/>
          <w:i/>
        </w:rPr>
        <w:tab/>
        <w:t xml:space="preserve">Remaining Segments:  Consumer, </w:t>
      </w:r>
      <w:r w:rsidRPr="00232978">
        <w:rPr>
          <w:rFonts w:ascii="Arial" w:hAnsi="Arial" w:cs="Arial"/>
          <w:b/>
          <w:i/>
        </w:rPr>
        <w:t>Cooperative</w:t>
      </w:r>
      <w:r>
        <w:rPr>
          <w:rFonts w:ascii="Arial" w:hAnsi="Arial" w:cs="Arial"/>
          <w:b/>
          <w:i/>
        </w:rPr>
        <w:t xml:space="preserve">, Independent Generator, Independent </w:t>
      </w:r>
      <w:r w:rsidR="0069796E" w:rsidRPr="0069796E">
        <w:rPr>
          <w:rFonts w:ascii="Arial" w:hAnsi="Arial" w:cs="Arial"/>
          <w:b/>
          <w:i/>
        </w:rPr>
        <w:t>Retail Electric Provider</w:t>
      </w:r>
      <w:r>
        <w:rPr>
          <w:rFonts w:ascii="Arial" w:hAnsi="Arial" w:cs="Arial"/>
          <w:b/>
          <w:i/>
        </w:rPr>
        <w:t>, Municipal</w:t>
      </w:r>
    </w:p>
    <w:p w14:paraId="22ED6ACC" w14:textId="199FEF77" w:rsidR="00854D2F" w:rsidRPr="00F756D8" w:rsidRDefault="000E4616" w:rsidP="00854D2F">
      <w:pPr>
        <w:jc w:val="both"/>
        <w:rPr>
          <w:rFonts w:ascii="Arial" w:hAnsi="Arial" w:cs="Arial"/>
        </w:rPr>
      </w:pPr>
      <w:r>
        <w:rPr>
          <w:rFonts w:ascii="Arial" w:hAnsi="Arial" w:cs="Arial"/>
        </w:rPr>
        <w:t>There are no clear points in favor of assigning SCT to one</w:t>
      </w:r>
      <w:r w:rsidR="00854D2F" w:rsidRPr="00F756D8">
        <w:rPr>
          <w:rFonts w:ascii="Arial" w:hAnsi="Arial" w:cs="Arial"/>
        </w:rPr>
        <w:t xml:space="preserve"> </w:t>
      </w:r>
      <w:r>
        <w:rPr>
          <w:rFonts w:ascii="Arial" w:hAnsi="Arial" w:cs="Arial"/>
        </w:rPr>
        <w:t xml:space="preserve">of the five </w:t>
      </w:r>
      <w:r w:rsidR="00764C51">
        <w:rPr>
          <w:rFonts w:ascii="Arial" w:hAnsi="Arial" w:cs="Arial"/>
        </w:rPr>
        <w:t xml:space="preserve">remaining </w:t>
      </w:r>
      <w:r>
        <w:rPr>
          <w:rFonts w:ascii="Arial" w:hAnsi="Arial" w:cs="Arial"/>
        </w:rPr>
        <w:t xml:space="preserve">Segments: </w:t>
      </w:r>
      <w:r w:rsidRPr="000E4616">
        <w:rPr>
          <w:rFonts w:ascii="Arial" w:hAnsi="Arial" w:cs="Arial"/>
        </w:rPr>
        <w:t xml:space="preserve">Consumer, Cooperative, Independent Generator, Independent </w:t>
      </w:r>
      <w:r w:rsidR="00274ABF">
        <w:rPr>
          <w:rFonts w:ascii="Arial" w:hAnsi="Arial" w:cs="Arial"/>
        </w:rPr>
        <w:t>R</w:t>
      </w:r>
      <w:r w:rsidR="0069796E">
        <w:rPr>
          <w:rFonts w:ascii="Arial" w:hAnsi="Arial" w:cs="Arial"/>
        </w:rPr>
        <w:t xml:space="preserve">etail </w:t>
      </w:r>
      <w:r w:rsidR="00274ABF">
        <w:rPr>
          <w:rFonts w:ascii="Arial" w:hAnsi="Arial" w:cs="Arial"/>
        </w:rPr>
        <w:t>E</w:t>
      </w:r>
      <w:r w:rsidR="0069796E">
        <w:rPr>
          <w:rFonts w:ascii="Arial" w:hAnsi="Arial" w:cs="Arial"/>
        </w:rPr>
        <w:t xml:space="preserve">lectric </w:t>
      </w:r>
      <w:r w:rsidR="00274ABF">
        <w:rPr>
          <w:rFonts w:ascii="Arial" w:hAnsi="Arial" w:cs="Arial"/>
        </w:rPr>
        <w:t>P</w:t>
      </w:r>
      <w:r w:rsidR="0069796E">
        <w:rPr>
          <w:rFonts w:ascii="Arial" w:hAnsi="Arial" w:cs="Arial"/>
        </w:rPr>
        <w:t>rovider</w:t>
      </w:r>
      <w:r>
        <w:rPr>
          <w:rFonts w:ascii="Arial" w:hAnsi="Arial" w:cs="Arial"/>
        </w:rPr>
        <w:t xml:space="preserve"> and</w:t>
      </w:r>
      <w:r w:rsidRPr="000E4616">
        <w:rPr>
          <w:rFonts w:ascii="Arial" w:hAnsi="Arial" w:cs="Arial"/>
        </w:rPr>
        <w:t xml:space="preserve"> Municipal</w:t>
      </w:r>
      <w:r>
        <w:rPr>
          <w:rFonts w:ascii="Arial" w:hAnsi="Arial" w:cs="Arial"/>
        </w:rPr>
        <w:t>. No comments have been received suggesting that SCT be assigned to any of these five Segments.</w:t>
      </w:r>
    </w:p>
    <w:p w14:paraId="0926E496" w14:textId="77777777" w:rsidR="00D37C60" w:rsidRDefault="00D37C60" w:rsidP="00D37C60">
      <w:pPr>
        <w:jc w:val="both"/>
        <w:rPr>
          <w:rFonts w:ascii="Arial" w:hAnsi="Arial" w:cs="Arial"/>
        </w:rPr>
      </w:pPr>
    </w:p>
    <w:p w14:paraId="341C051E" w14:textId="77777777" w:rsidR="00D37C60" w:rsidRDefault="00D37C60" w:rsidP="00D37C60">
      <w:pPr>
        <w:jc w:val="both"/>
        <w:rPr>
          <w:rFonts w:ascii="Arial" w:hAnsi="Arial" w:cs="Arial"/>
        </w:rPr>
      </w:pPr>
      <w:r>
        <w:rPr>
          <w:rFonts w:ascii="Arial" w:hAnsi="Arial" w:cs="Arial"/>
        </w:rPr>
        <w:t>Article 2</w:t>
      </w:r>
      <w:r w:rsidR="00732F15">
        <w:rPr>
          <w:rFonts w:ascii="Arial" w:hAnsi="Arial" w:cs="Arial"/>
        </w:rPr>
        <w:t>, Section 2</w:t>
      </w:r>
      <w:r>
        <w:rPr>
          <w:rFonts w:ascii="Arial" w:hAnsi="Arial" w:cs="Arial"/>
        </w:rPr>
        <w:t xml:space="preserve"> of the Bylaws defines Consumers as “</w:t>
      </w:r>
      <w:r w:rsidRPr="00D37C60">
        <w:rPr>
          <w:rFonts w:ascii="Arial" w:hAnsi="Arial" w:cs="Arial"/>
        </w:rPr>
        <w:t>Any entity meeting the definition for Residential Consumers, Commercial</w:t>
      </w:r>
      <w:r>
        <w:rPr>
          <w:rFonts w:ascii="Arial" w:hAnsi="Arial" w:cs="Arial"/>
        </w:rPr>
        <w:t xml:space="preserve"> </w:t>
      </w:r>
      <w:r w:rsidRPr="00D37C60">
        <w:rPr>
          <w:rFonts w:ascii="Arial" w:hAnsi="Arial" w:cs="Arial"/>
        </w:rPr>
        <w:t>Consumers or Industrial Consumers as set forth in this Article.</w:t>
      </w:r>
      <w:r>
        <w:rPr>
          <w:rFonts w:ascii="Arial" w:hAnsi="Arial" w:cs="Arial"/>
        </w:rPr>
        <w:t xml:space="preserve">” </w:t>
      </w:r>
      <w:r w:rsidRPr="00D37C60">
        <w:rPr>
          <w:rFonts w:ascii="Arial" w:hAnsi="Arial" w:cs="Arial"/>
        </w:rPr>
        <w:t>Residential Consumers, Commercial</w:t>
      </w:r>
      <w:r>
        <w:rPr>
          <w:rFonts w:ascii="Arial" w:hAnsi="Arial" w:cs="Arial"/>
        </w:rPr>
        <w:t xml:space="preserve"> </w:t>
      </w:r>
      <w:r w:rsidRPr="00D37C60">
        <w:rPr>
          <w:rFonts w:ascii="Arial" w:hAnsi="Arial" w:cs="Arial"/>
        </w:rPr>
        <w:t xml:space="preserve">Consumers </w:t>
      </w:r>
      <w:r>
        <w:rPr>
          <w:rFonts w:ascii="Arial" w:hAnsi="Arial" w:cs="Arial"/>
        </w:rPr>
        <w:t>and</w:t>
      </w:r>
      <w:r w:rsidRPr="00D37C60">
        <w:rPr>
          <w:rFonts w:ascii="Arial" w:hAnsi="Arial" w:cs="Arial"/>
        </w:rPr>
        <w:t xml:space="preserve"> Industrial Consumers</w:t>
      </w:r>
      <w:r>
        <w:rPr>
          <w:rFonts w:ascii="Arial" w:hAnsi="Arial" w:cs="Arial"/>
        </w:rPr>
        <w:t xml:space="preserve"> are further defined as follows:</w:t>
      </w:r>
    </w:p>
    <w:p w14:paraId="31FD1356" w14:textId="77777777" w:rsidR="00D37C60" w:rsidRDefault="00D37C60" w:rsidP="00D37C60">
      <w:pPr>
        <w:jc w:val="both"/>
        <w:rPr>
          <w:rFonts w:ascii="Arial" w:hAnsi="Arial" w:cs="Arial"/>
        </w:rPr>
      </w:pPr>
    </w:p>
    <w:p w14:paraId="54DB9000" w14:textId="77777777" w:rsidR="00D37C60" w:rsidRDefault="00D37C60" w:rsidP="00D37C60">
      <w:pPr>
        <w:ind w:left="720" w:right="720"/>
        <w:jc w:val="both"/>
        <w:rPr>
          <w:rFonts w:ascii="Arial" w:hAnsi="Arial" w:cs="Arial"/>
        </w:rPr>
      </w:pPr>
      <w:r w:rsidRPr="00D37C60">
        <w:rPr>
          <w:rFonts w:ascii="Arial" w:hAnsi="Arial" w:cs="Arial"/>
          <w:b/>
          <w:bCs/>
        </w:rPr>
        <w:t>Commercial Consumers</w:t>
      </w:r>
      <w:r w:rsidRPr="00D37C60">
        <w:rPr>
          <w:rFonts w:ascii="Arial" w:hAnsi="Arial" w:cs="Arial"/>
        </w:rPr>
        <w:t xml:space="preserve">. A commercial consumer in the ERCOT Region: (a) </w:t>
      </w:r>
      <w:r w:rsidRPr="00D37C60">
        <w:rPr>
          <w:rFonts w:ascii="Arial" w:hAnsi="Arial" w:cs="Arial"/>
          <w:b/>
          <w:bCs/>
        </w:rPr>
        <w:t xml:space="preserve">Small Commercial Consumer </w:t>
      </w:r>
      <w:r w:rsidRPr="00D37C60">
        <w:rPr>
          <w:rFonts w:ascii="Arial" w:hAnsi="Arial" w:cs="Arial"/>
        </w:rPr>
        <w:t xml:space="preserve">– A commercial consumer having a peak demand of 1000 kilowatts or less (or an organization representing such consumers); (b) </w:t>
      </w:r>
      <w:r w:rsidRPr="00D37C60">
        <w:rPr>
          <w:rFonts w:ascii="Arial" w:hAnsi="Arial" w:cs="Arial"/>
          <w:b/>
          <w:bCs/>
        </w:rPr>
        <w:t xml:space="preserve">Large Commercial Consumer </w:t>
      </w:r>
      <w:r w:rsidRPr="00D37C60">
        <w:rPr>
          <w:rFonts w:ascii="Arial" w:hAnsi="Arial" w:cs="Arial"/>
        </w:rPr>
        <w:t>–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w:t>
      </w:r>
      <w:r>
        <w:rPr>
          <w:rFonts w:ascii="Arial" w:hAnsi="Arial" w:cs="Arial"/>
        </w:rPr>
        <w:t xml:space="preserve"> </w:t>
      </w:r>
      <w:r w:rsidRPr="00D37C60">
        <w:rPr>
          <w:rFonts w:ascii="Arial" w:hAnsi="Arial" w:cs="Arial"/>
        </w:rPr>
        <w:t>represents the interests of another entity that has interests in the electric industry in any</w:t>
      </w:r>
      <w:r>
        <w:rPr>
          <w:rFonts w:ascii="Arial" w:hAnsi="Arial" w:cs="Arial"/>
        </w:rPr>
        <w:t xml:space="preserve"> </w:t>
      </w:r>
      <w:r w:rsidRPr="00D37C60">
        <w:rPr>
          <w:rFonts w:ascii="Arial" w:hAnsi="Arial" w:cs="Arial"/>
        </w:rPr>
        <w:t>other capacity than as an end-use consumer, such as but not limited to, aggregators,</w:t>
      </w:r>
      <w:r>
        <w:rPr>
          <w:rFonts w:ascii="Arial" w:hAnsi="Arial" w:cs="Arial"/>
        </w:rPr>
        <w:t xml:space="preserve"> </w:t>
      </w:r>
      <w:r w:rsidRPr="00D37C60">
        <w:rPr>
          <w:rFonts w:ascii="Arial" w:hAnsi="Arial" w:cs="Arial"/>
        </w:rPr>
        <w:t>power marketers, retail electric providers, transmission or distribution companies,</w:t>
      </w:r>
      <w:r>
        <w:rPr>
          <w:rFonts w:ascii="Arial" w:hAnsi="Arial" w:cs="Arial"/>
        </w:rPr>
        <w:t xml:space="preserve"> </w:t>
      </w:r>
      <w:r w:rsidRPr="00D37C60">
        <w:rPr>
          <w:rFonts w:ascii="Arial" w:hAnsi="Arial" w:cs="Arial"/>
        </w:rPr>
        <w:t>cooperatives, municipals, or generators and the interest is of such an extent or nature that</w:t>
      </w:r>
      <w:r>
        <w:rPr>
          <w:rFonts w:ascii="Arial" w:hAnsi="Arial" w:cs="Arial"/>
        </w:rPr>
        <w:t xml:space="preserve"> </w:t>
      </w:r>
      <w:r w:rsidRPr="00D37C60">
        <w:rPr>
          <w:rFonts w:ascii="Arial" w:hAnsi="Arial" w:cs="Arial"/>
        </w:rPr>
        <w:t>its decisions might be affected or determined by it. The three Consumer Directors have</w:t>
      </w:r>
      <w:r>
        <w:rPr>
          <w:rFonts w:ascii="Arial" w:hAnsi="Arial" w:cs="Arial"/>
        </w:rPr>
        <w:t xml:space="preserve"> </w:t>
      </w:r>
      <w:r w:rsidRPr="00D37C60">
        <w:rPr>
          <w:rFonts w:ascii="Arial" w:hAnsi="Arial" w:cs="Arial"/>
        </w:rPr>
        <w:t>the right to determine by majority vote of the Consumer Directors whether any applicant</w:t>
      </w:r>
      <w:r>
        <w:rPr>
          <w:rFonts w:ascii="Arial" w:hAnsi="Arial" w:cs="Arial"/>
        </w:rPr>
        <w:t xml:space="preserve"> </w:t>
      </w:r>
      <w:r w:rsidRPr="00D37C60">
        <w:rPr>
          <w:rFonts w:ascii="Arial" w:hAnsi="Arial" w:cs="Arial"/>
        </w:rPr>
        <w:t>or member is ineligible, as described above, to become or remain a member of the</w:t>
      </w:r>
      <w:r>
        <w:rPr>
          <w:rFonts w:ascii="Arial" w:hAnsi="Arial" w:cs="Arial"/>
        </w:rPr>
        <w:t xml:space="preserve"> </w:t>
      </w:r>
      <w:r w:rsidRPr="00D37C60">
        <w:rPr>
          <w:rFonts w:ascii="Arial" w:hAnsi="Arial" w:cs="Arial"/>
        </w:rPr>
        <w:t>Consumer Segment.</w:t>
      </w:r>
    </w:p>
    <w:p w14:paraId="06302DF7" w14:textId="77777777" w:rsidR="00D37C60" w:rsidRDefault="00D37C60" w:rsidP="00D37C60">
      <w:pPr>
        <w:ind w:left="720" w:right="720"/>
        <w:jc w:val="both"/>
        <w:rPr>
          <w:rFonts w:ascii="Arial" w:hAnsi="Arial" w:cs="Arial"/>
        </w:rPr>
      </w:pPr>
    </w:p>
    <w:p w14:paraId="016007AB" w14:textId="77777777" w:rsidR="00D37C60" w:rsidRPr="00D37C60" w:rsidRDefault="00D37C60" w:rsidP="00D37C60">
      <w:pPr>
        <w:ind w:left="720" w:right="720"/>
        <w:jc w:val="both"/>
        <w:rPr>
          <w:rFonts w:ascii="Arial" w:hAnsi="Arial" w:cs="Arial"/>
        </w:rPr>
      </w:pPr>
      <w:r w:rsidRPr="00D37C60">
        <w:rPr>
          <w:rFonts w:ascii="Arial" w:hAnsi="Arial" w:cs="Arial"/>
          <w:b/>
          <w:bCs/>
        </w:rPr>
        <w:t>Industrial Consumers</w:t>
      </w:r>
      <w:r w:rsidRPr="00D37C60">
        <w:rPr>
          <w:rFonts w:ascii="Arial" w:hAnsi="Arial" w:cs="Arial"/>
        </w:rPr>
        <w:t xml:space="preserve">. An industrial consumer is a consumer with at least one meter with average monthly demand greater than 1 megawatt consumed within the ERCOT Region engaged in an industrial process. </w:t>
      </w:r>
    </w:p>
    <w:p w14:paraId="5C12E1AB" w14:textId="77777777" w:rsidR="00D37C60" w:rsidRPr="00D37C60" w:rsidRDefault="00D37C60" w:rsidP="00D37C60">
      <w:pPr>
        <w:ind w:left="720" w:right="720"/>
        <w:jc w:val="both"/>
        <w:rPr>
          <w:rFonts w:ascii="Arial" w:hAnsi="Arial" w:cs="Arial"/>
        </w:rPr>
      </w:pPr>
    </w:p>
    <w:p w14:paraId="5B683FF4" w14:textId="77777777" w:rsidR="00D37C60" w:rsidRPr="00D37C60" w:rsidRDefault="00D37C60" w:rsidP="00D37C60">
      <w:pPr>
        <w:ind w:left="720" w:right="720"/>
        <w:jc w:val="both"/>
        <w:rPr>
          <w:rFonts w:ascii="Arial" w:hAnsi="Arial" w:cs="Arial"/>
        </w:rPr>
      </w:pPr>
      <w:r w:rsidRPr="00D37C60">
        <w:rPr>
          <w:rFonts w:ascii="Arial" w:hAnsi="Arial" w:cs="Arial"/>
          <w:b/>
          <w:bCs/>
        </w:rPr>
        <w:t>Residential Consumers</w:t>
      </w:r>
      <w:r w:rsidRPr="00D37C60">
        <w:rPr>
          <w:rFonts w:ascii="Arial" w:hAnsi="Arial" w:cs="Arial"/>
        </w:rPr>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w:t>
      </w:r>
      <w:r w:rsidRPr="00D37C60">
        <w:rPr>
          <w:rFonts w:ascii="Arial" w:hAnsi="Arial" w:cs="Arial"/>
        </w:rPr>
        <w:lastRenderedPageBreak/>
        <w:t xml:space="preserve">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Consumer Directors whether any applicant or member is ineligible, as described above, to become or remain a member of the Consumer Segment. </w:t>
      </w:r>
    </w:p>
    <w:p w14:paraId="496A48FC" w14:textId="77777777" w:rsidR="00D37C60" w:rsidRDefault="00D37C60" w:rsidP="00D37C60">
      <w:pPr>
        <w:jc w:val="both"/>
        <w:rPr>
          <w:rFonts w:ascii="Arial" w:hAnsi="Arial" w:cs="Arial"/>
        </w:rPr>
      </w:pPr>
    </w:p>
    <w:p w14:paraId="0D7EC11E" w14:textId="77777777" w:rsidR="00D37C60" w:rsidRDefault="00D37C60" w:rsidP="00C00BC0">
      <w:pPr>
        <w:jc w:val="both"/>
        <w:rPr>
          <w:rFonts w:ascii="Arial" w:hAnsi="Arial" w:cs="Arial"/>
        </w:rPr>
      </w:pPr>
      <w:r>
        <w:rPr>
          <w:rFonts w:ascii="Arial" w:hAnsi="Arial" w:cs="Arial"/>
        </w:rPr>
        <w:t>(Bylaws Article 2, Sections 3, 14 and 22.)</w:t>
      </w:r>
    </w:p>
    <w:p w14:paraId="52C36002" w14:textId="77777777" w:rsidR="00D37C60" w:rsidRDefault="00D37C60" w:rsidP="00C00BC0">
      <w:pPr>
        <w:jc w:val="both"/>
        <w:rPr>
          <w:rFonts w:ascii="Arial" w:hAnsi="Arial" w:cs="Arial"/>
        </w:rPr>
      </w:pPr>
    </w:p>
    <w:p w14:paraId="2C470AD7" w14:textId="22C581DB" w:rsidR="00D37C60" w:rsidRDefault="00D37C60" w:rsidP="00C00BC0">
      <w:pPr>
        <w:jc w:val="both"/>
        <w:rPr>
          <w:rFonts w:ascii="Arial" w:hAnsi="Arial" w:cs="Arial"/>
        </w:rPr>
      </w:pPr>
      <w:r>
        <w:rPr>
          <w:rFonts w:ascii="Arial" w:hAnsi="Arial" w:cs="Arial"/>
        </w:rPr>
        <w:t>SCT will not consume energy in the ER</w:t>
      </w:r>
      <w:r w:rsidR="00732F15">
        <w:rPr>
          <w:rFonts w:ascii="Arial" w:hAnsi="Arial" w:cs="Arial"/>
        </w:rPr>
        <w:t xml:space="preserve">COT Region. </w:t>
      </w:r>
      <w:r w:rsidR="007A55D6">
        <w:rPr>
          <w:rFonts w:ascii="Arial" w:hAnsi="Arial" w:cs="Arial"/>
        </w:rPr>
        <w:t>SCT will, however, have</w:t>
      </w:r>
      <w:r w:rsidR="007A55D6" w:rsidRPr="00D37C60">
        <w:rPr>
          <w:rFonts w:ascii="Arial" w:hAnsi="Arial" w:cs="Arial"/>
        </w:rPr>
        <w:t xml:space="preserve"> interests in the electric industry in a capacity </w:t>
      </w:r>
      <w:r w:rsidR="00E60F19">
        <w:rPr>
          <w:rFonts w:ascii="Arial" w:hAnsi="Arial" w:cs="Arial"/>
        </w:rPr>
        <w:t xml:space="preserve">other </w:t>
      </w:r>
      <w:r w:rsidR="007A55D6" w:rsidRPr="00D37C60">
        <w:rPr>
          <w:rFonts w:ascii="Arial" w:hAnsi="Arial" w:cs="Arial"/>
        </w:rPr>
        <w:t>than as an end-use consumer</w:t>
      </w:r>
      <w:r w:rsidR="007A55D6">
        <w:rPr>
          <w:rFonts w:ascii="Arial" w:hAnsi="Arial" w:cs="Arial"/>
        </w:rPr>
        <w:t>.</w:t>
      </w:r>
    </w:p>
    <w:p w14:paraId="3C7792FA" w14:textId="77777777" w:rsidR="00232978" w:rsidRDefault="00232978" w:rsidP="00C00BC0">
      <w:pPr>
        <w:jc w:val="both"/>
        <w:rPr>
          <w:rFonts w:ascii="Arial" w:hAnsi="Arial" w:cs="Arial"/>
        </w:rPr>
      </w:pPr>
    </w:p>
    <w:p w14:paraId="524E557D" w14:textId="77777777" w:rsidR="00232978" w:rsidRDefault="00232978" w:rsidP="00232978">
      <w:pPr>
        <w:jc w:val="both"/>
        <w:rPr>
          <w:rFonts w:ascii="Arial" w:hAnsi="Arial" w:cs="Arial"/>
        </w:rPr>
      </w:pPr>
      <w:r>
        <w:rPr>
          <w:rFonts w:ascii="Arial" w:hAnsi="Arial" w:cs="Arial"/>
        </w:rPr>
        <w:t>Article 2, Section 4 of the Bylaws defines Cooperative as follows:</w:t>
      </w:r>
    </w:p>
    <w:p w14:paraId="22327FFE" w14:textId="77777777" w:rsidR="00232978" w:rsidRDefault="00232978" w:rsidP="00232978">
      <w:pPr>
        <w:jc w:val="both"/>
        <w:rPr>
          <w:rFonts w:ascii="Arial" w:hAnsi="Arial" w:cs="Arial"/>
        </w:rPr>
      </w:pPr>
    </w:p>
    <w:p w14:paraId="0664F61D" w14:textId="77777777" w:rsidR="00232978" w:rsidRPr="00232978" w:rsidRDefault="00232978" w:rsidP="00E91BD1">
      <w:pPr>
        <w:ind w:left="720" w:right="720"/>
        <w:jc w:val="both"/>
        <w:rPr>
          <w:rFonts w:ascii="Arial" w:hAnsi="Arial" w:cs="Arial"/>
        </w:rPr>
      </w:pPr>
      <w:r w:rsidRPr="00232978">
        <w:rPr>
          <w:rFonts w:ascii="Arial" w:hAnsi="Arial" w:cs="Arial"/>
          <w:b/>
          <w:bCs/>
        </w:rPr>
        <w:t>Cooperative</w:t>
      </w:r>
      <w:r w:rsidRPr="00232978">
        <w:rPr>
          <w:rFonts w:ascii="Arial" w:hAnsi="Arial" w:cs="Arial"/>
        </w:rPr>
        <w:t xml:space="preserve">. An entity operating in the ERCOT Region that is: </w:t>
      </w:r>
    </w:p>
    <w:p w14:paraId="6A426AE8" w14:textId="77777777" w:rsidR="00232978" w:rsidRPr="00232978" w:rsidRDefault="00232978" w:rsidP="00E91BD1">
      <w:pPr>
        <w:ind w:left="720" w:right="720"/>
        <w:jc w:val="both"/>
        <w:rPr>
          <w:rFonts w:ascii="Arial" w:hAnsi="Arial" w:cs="Arial"/>
        </w:rPr>
      </w:pPr>
    </w:p>
    <w:p w14:paraId="110C4537" w14:textId="77777777" w:rsidR="00232978" w:rsidRPr="00232978" w:rsidRDefault="00232978" w:rsidP="00E91BD1">
      <w:pPr>
        <w:ind w:left="720" w:right="720"/>
        <w:jc w:val="both"/>
        <w:rPr>
          <w:rFonts w:ascii="Arial" w:hAnsi="Arial" w:cs="Arial"/>
        </w:rPr>
      </w:pPr>
      <w:proofErr w:type="gramStart"/>
      <w:r w:rsidRPr="00232978">
        <w:rPr>
          <w:rFonts w:ascii="Arial" w:hAnsi="Arial" w:cs="Arial"/>
        </w:rPr>
        <w:t>a</w:t>
      </w:r>
      <w:proofErr w:type="gramEnd"/>
      <w:r w:rsidRPr="00232978">
        <w:rPr>
          <w:rFonts w:ascii="Arial" w:hAnsi="Arial" w:cs="Arial"/>
        </w:rPr>
        <w:t xml:space="preserve">. a corporation organized under Chapter 161 of the Texas Utilities Code or a predecessor statute to Chapter 161 and operating under that chapter; </w:t>
      </w:r>
    </w:p>
    <w:p w14:paraId="1EC7F6EB" w14:textId="77777777" w:rsidR="00232978" w:rsidRPr="00232978" w:rsidRDefault="00232978" w:rsidP="00E91BD1">
      <w:pPr>
        <w:ind w:left="720" w:right="720"/>
        <w:jc w:val="both"/>
        <w:rPr>
          <w:rFonts w:ascii="Arial" w:hAnsi="Arial" w:cs="Arial"/>
        </w:rPr>
      </w:pPr>
    </w:p>
    <w:p w14:paraId="78586817" w14:textId="77777777" w:rsidR="00232978" w:rsidRPr="00232978" w:rsidRDefault="00232978" w:rsidP="00E91BD1">
      <w:pPr>
        <w:ind w:left="720" w:right="720"/>
        <w:jc w:val="both"/>
        <w:rPr>
          <w:rFonts w:ascii="Arial" w:hAnsi="Arial" w:cs="Arial"/>
        </w:rPr>
      </w:pPr>
      <w:proofErr w:type="gramStart"/>
      <w:r w:rsidRPr="00232978">
        <w:rPr>
          <w:rFonts w:ascii="Arial" w:hAnsi="Arial" w:cs="Arial"/>
        </w:rPr>
        <w:t>b</w:t>
      </w:r>
      <w:proofErr w:type="gramEnd"/>
      <w:r w:rsidRPr="00232978">
        <w:rPr>
          <w:rFonts w:ascii="Arial" w:hAnsi="Arial" w:cs="Arial"/>
        </w:rPr>
        <w:t xml:space="preserve">. a corporation organized as an electric cooperative in a state other than Texas that has obtained a certificate of authority to conduct affairs in the State of Texas; </w:t>
      </w:r>
    </w:p>
    <w:p w14:paraId="729E2892" w14:textId="77777777" w:rsidR="00232978" w:rsidRPr="00232978" w:rsidRDefault="00232978" w:rsidP="00E91BD1">
      <w:pPr>
        <w:ind w:left="720" w:right="720"/>
        <w:jc w:val="both"/>
        <w:rPr>
          <w:rFonts w:ascii="Arial" w:hAnsi="Arial" w:cs="Arial"/>
        </w:rPr>
      </w:pPr>
    </w:p>
    <w:p w14:paraId="388770BC" w14:textId="77777777" w:rsidR="00232978" w:rsidRPr="00232978" w:rsidRDefault="00232978" w:rsidP="00E91BD1">
      <w:pPr>
        <w:ind w:left="720" w:right="720"/>
        <w:jc w:val="both"/>
        <w:rPr>
          <w:rFonts w:ascii="Arial" w:hAnsi="Arial" w:cs="Arial"/>
        </w:rPr>
      </w:pPr>
      <w:r w:rsidRPr="00232978">
        <w:rPr>
          <w:rFonts w:ascii="Arial" w:hAnsi="Arial" w:cs="Arial"/>
        </w:rPr>
        <w:t xml:space="preserve">c. a cooperative association organized under Tex. Rev. Civ. Stat. 1396-50.01 or a predecessor to that statute and operating under that statute; or </w:t>
      </w:r>
    </w:p>
    <w:p w14:paraId="3EFCB457" w14:textId="77777777" w:rsidR="00232978" w:rsidRPr="00232978" w:rsidRDefault="00232978" w:rsidP="00E91BD1">
      <w:pPr>
        <w:ind w:left="720" w:right="720"/>
        <w:jc w:val="both"/>
        <w:rPr>
          <w:rFonts w:ascii="Arial" w:hAnsi="Arial" w:cs="Arial"/>
        </w:rPr>
      </w:pPr>
    </w:p>
    <w:p w14:paraId="7F9F317D" w14:textId="77777777" w:rsidR="00232978" w:rsidRPr="00232978" w:rsidRDefault="00232978" w:rsidP="00E91BD1">
      <w:pPr>
        <w:ind w:left="720" w:right="720"/>
        <w:jc w:val="both"/>
        <w:rPr>
          <w:rFonts w:ascii="Arial" w:hAnsi="Arial" w:cs="Arial"/>
        </w:rPr>
      </w:pPr>
      <w:proofErr w:type="gramStart"/>
      <w:r w:rsidRPr="00232978">
        <w:rPr>
          <w:rFonts w:ascii="Arial" w:hAnsi="Arial" w:cs="Arial"/>
        </w:rPr>
        <w:t>d</w:t>
      </w:r>
      <w:proofErr w:type="gramEnd"/>
      <w:r w:rsidRPr="00232978">
        <w:rPr>
          <w:rFonts w:ascii="Arial" w:hAnsi="Arial" w:cs="Arial"/>
        </w:rPr>
        <w:t xml:space="preserve">. a River Authority as defined in Tex. Water Code §30.003. </w:t>
      </w:r>
    </w:p>
    <w:p w14:paraId="193A77FB" w14:textId="77777777" w:rsidR="00232978" w:rsidRDefault="00232978" w:rsidP="00232978">
      <w:pPr>
        <w:jc w:val="both"/>
        <w:rPr>
          <w:rFonts w:ascii="Arial" w:hAnsi="Arial" w:cs="Arial"/>
        </w:rPr>
      </w:pPr>
    </w:p>
    <w:p w14:paraId="73199D7D" w14:textId="77777777" w:rsidR="00232978" w:rsidRDefault="00232978" w:rsidP="00232978">
      <w:pPr>
        <w:jc w:val="both"/>
        <w:rPr>
          <w:rFonts w:ascii="Arial" w:hAnsi="Arial" w:cs="Arial"/>
        </w:rPr>
      </w:pPr>
      <w:r>
        <w:rPr>
          <w:rFonts w:ascii="Arial" w:hAnsi="Arial" w:cs="Arial"/>
        </w:rPr>
        <w:t>SCT</w:t>
      </w:r>
      <w:r w:rsidR="00E91BD1">
        <w:rPr>
          <w:rFonts w:ascii="Arial" w:hAnsi="Arial" w:cs="Arial"/>
        </w:rPr>
        <w:t xml:space="preserve"> is not organized as a cooperative, nor is it a River Authority, under the laws referenced in the definition. </w:t>
      </w:r>
    </w:p>
    <w:p w14:paraId="38BBC54A" w14:textId="77777777" w:rsidR="00732F15" w:rsidRDefault="00732F15" w:rsidP="00C00BC0">
      <w:pPr>
        <w:jc w:val="both"/>
        <w:rPr>
          <w:rFonts w:ascii="Arial" w:hAnsi="Arial" w:cs="Arial"/>
        </w:rPr>
      </w:pPr>
    </w:p>
    <w:p w14:paraId="2A888C7E" w14:textId="77777777" w:rsidR="00732F15" w:rsidRDefault="00732F15" w:rsidP="00C00BC0">
      <w:pPr>
        <w:jc w:val="both"/>
        <w:rPr>
          <w:rFonts w:ascii="Arial" w:hAnsi="Arial" w:cs="Arial"/>
        </w:rPr>
      </w:pPr>
      <w:r>
        <w:rPr>
          <w:rFonts w:ascii="Arial" w:hAnsi="Arial" w:cs="Arial"/>
        </w:rPr>
        <w:t>Article 2, Section 11 of the Bylaws defines Independent Generator as follows:</w:t>
      </w:r>
    </w:p>
    <w:p w14:paraId="53829032" w14:textId="77777777" w:rsidR="00732F15" w:rsidRDefault="00732F15" w:rsidP="00C00BC0">
      <w:pPr>
        <w:jc w:val="both"/>
        <w:rPr>
          <w:rFonts w:ascii="Arial" w:hAnsi="Arial" w:cs="Arial"/>
        </w:rPr>
      </w:pPr>
    </w:p>
    <w:p w14:paraId="52E2A082" w14:textId="77777777" w:rsidR="00732F15" w:rsidRPr="00732F15" w:rsidRDefault="00732F15" w:rsidP="00732F15">
      <w:pPr>
        <w:ind w:left="720" w:right="720"/>
        <w:jc w:val="both"/>
        <w:rPr>
          <w:rFonts w:ascii="Arial" w:hAnsi="Arial" w:cs="Arial"/>
        </w:rPr>
      </w:pPr>
      <w:r w:rsidRPr="00732F15">
        <w:rPr>
          <w:rFonts w:ascii="Arial" w:hAnsi="Arial" w:cs="Arial"/>
          <w:b/>
          <w:bCs/>
        </w:rPr>
        <w:t>Independent Generator</w:t>
      </w:r>
      <w:r w:rsidRPr="00732F15">
        <w:rPr>
          <w:rFonts w:ascii="Arial" w:hAnsi="Arial" w:cs="Arial"/>
        </w:rPr>
        <w:t>. Any entity that is not a Transmission and Distribution (“T&amp;D”) Entity</w:t>
      </w:r>
      <w:r>
        <w:rPr>
          <w:rStyle w:val="FootnoteReference"/>
          <w:rFonts w:ascii="Arial" w:hAnsi="Arial" w:cs="Arial"/>
        </w:rPr>
        <w:footnoteReference w:id="16"/>
      </w:r>
      <w:r w:rsidRPr="00732F15">
        <w:rPr>
          <w:rFonts w:ascii="Arial" w:hAnsi="Arial" w:cs="Arial"/>
        </w:rPr>
        <w:t xml:space="preserve"> or Affiliate of a T&amp;D Entity and that (</w:t>
      </w:r>
      <w:proofErr w:type="spellStart"/>
      <w:r w:rsidRPr="00732F15">
        <w:rPr>
          <w:rFonts w:ascii="Arial" w:hAnsi="Arial" w:cs="Arial"/>
        </w:rPr>
        <w:t>i</w:t>
      </w:r>
      <w:proofErr w:type="spellEnd"/>
      <w:r w:rsidRPr="00732F15">
        <w:rPr>
          <w:rFonts w:ascii="Arial" w:hAnsi="Arial" w:cs="Arial"/>
        </w:rPr>
        <w:t xml:space="preserve">)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t>
      </w:r>
      <w:r w:rsidRPr="00732F15">
        <w:rPr>
          <w:rFonts w:ascii="Arial" w:hAnsi="Arial" w:cs="Arial"/>
        </w:rPr>
        <w:lastRenderedPageBreak/>
        <w:t xml:space="preserve">written authorization to proceed with construction and has provided security to the connecting transmission provider. </w:t>
      </w:r>
    </w:p>
    <w:p w14:paraId="5B348CF7" w14:textId="77777777" w:rsidR="00732F15" w:rsidRDefault="00732F15" w:rsidP="00C00BC0">
      <w:pPr>
        <w:jc w:val="both"/>
        <w:rPr>
          <w:rFonts w:ascii="Arial" w:hAnsi="Arial" w:cs="Arial"/>
        </w:rPr>
      </w:pPr>
    </w:p>
    <w:p w14:paraId="0A10D599" w14:textId="77777777" w:rsidR="00732F15" w:rsidRDefault="00732F15" w:rsidP="00C00BC0">
      <w:pPr>
        <w:jc w:val="both"/>
        <w:rPr>
          <w:rFonts w:ascii="Arial" w:hAnsi="Arial" w:cs="Arial"/>
        </w:rPr>
      </w:pPr>
      <w:r>
        <w:rPr>
          <w:rFonts w:ascii="Arial" w:hAnsi="Arial" w:cs="Arial"/>
        </w:rPr>
        <w:t>SCT will not own, operate or control any generation Facilities in the ERCOT Region.</w:t>
      </w:r>
    </w:p>
    <w:p w14:paraId="42DEF758" w14:textId="77777777" w:rsidR="00A31074" w:rsidRDefault="00A31074" w:rsidP="00C00BC0">
      <w:pPr>
        <w:jc w:val="both"/>
        <w:rPr>
          <w:rFonts w:ascii="Arial" w:hAnsi="Arial" w:cs="Arial"/>
        </w:rPr>
      </w:pPr>
    </w:p>
    <w:p w14:paraId="6CE0310C" w14:textId="77777777" w:rsidR="00A31074" w:rsidRDefault="00A31074" w:rsidP="00C00BC0">
      <w:pPr>
        <w:jc w:val="both"/>
        <w:rPr>
          <w:rFonts w:ascii="Arial" w:hAnsi="Arial" w:cs="Arial"/>
        </w:rPr>
      </w:pPr>
      <w:r>
        <w:rPr>
          <w:rFonts w:ascii="Arial" w:hAnsi="Arial" w:cs="Arial"/>
        </w:rPr>
        <w:t>Article 2, Section 12, of the Bylaws defines Independent Retail Electric Provider as follows:</w:t>
      </w:r>
    </w:p>
    <w:p w14:paraId="6FC677EB" w14:textId="77777777" w:rsidR="00A31074" w:rsidRPr="00A31074" w:rsidRDefault="00A31074" w:rsidP="00A31074">
      <w:pPr>
        <w:jc w:val="both"/>
        <w:rPr>
          <w:rFonts w:ascii="Arial" w:hAnsi="Arial" w:cs="Arial"/>
        </w:rPr>
      </w:pPr>
    </w:p>
    <w:p w14:paraId="2BF35534" w14:textId="77777777" w:rsidR="00A31074" w:rsidRDefault="00A31074" w:rsidP="00A31074">
      <w:pPr>
        <w:ind w:left="720" w:right="720"/>
        <w:jc w:val="both"/>
        <w:rPr>
          <w:rFonts w:ascii="Arial" w:hAnsi="Arial" w:cs="Arial"/>
        </w:rPr>
      </w:pPr>
      <w:r w:rsidRPr="00A31074">
        <w:rPr>
          <w:rFonts w:ascii="Arial" w:hAnsi="Arial" w:cs="Arial"/>
          <w:b/>
          <w:bCs/>
        </w:rPr>
        <w:t>Independent REP</w:t>
      </w:r>
      <w:r w:rsidRPr="00A31074">
        <w:rPr>
          <w:rFonts w:ascii="Arial" w:hAnsi="Arial" w:cs="Arial"/>
        </w:rPr>
        <w:t>. Any entity that is certified by the PUCT to serve in the ERCOT Region as a Retail Electric Provider (“REP”) under Public Utility Regulatory Act (“PURA”) §39.352 and that is not an Affiliate of a T&amp;D Entity. For the purposes of Segment classification, an aggregator, if such Member does not fit in any other classification, shall par</w:t>
      </w:r>
      <w:r>
        <w:rPr>
          <w:rFonts w:ascii="Arial" w:hAnsi="Arial" w:cs="Arial"/>
        </w:rPr>
        <w:t>ticipate as an Independent REP.</w:t>
      </w:r>
    </w:p>
    <w:p w14:paraId="311875D9" w14:textId="77777777" w:rsidR="00A31074" w:rsidRDefault="00A31074" w:rsidP="00A31074">
      <w:pPr>
        <w:ind w:left="720" w:right="720"/>
        <w:jc w:val="both"/>
        <w:rPr>
          <w:rFonts w:ascii="Arial" w:hAnsi="Arial" w:cs="Arial"/>
        </w:rPr>
      </w:pPr>
    </w:p>
    <w:p w14:paraId="126DC407" w14:textId="77777777" w:rsidR="00232978" w:rsidRPr="00A31074" w:rsidRDefault="00232978" w:rsidP="00232978">
      <w:pPr>
        <w:jc w:val="both"/>
        <w:rPr>
          <w:rFonts w:ascii="Arial" w:hAnsi="Arial" w:cs="Arial"/>
        </w:rPr>
      </w:pPr>
      <w:r>
        <w:rPr>
          <w:rFonts w:ascii="Arial" w:hAnsi="Arial" w:cs="Arial"/>
        </w:rPr>
        <w:t xml:space="preserve">PURA § 17.002(6) defines “retail electric provider” as “a </w:t>
      </w:r>
      <w:r w:rsidRPr="00232978">
        <w:rPr>
          <w:rFonts w:ascii="Arial" w:hAnsi="Arial" w:cs="Arial"/>
        </w:rPr>
        <w:t>person that sells electric energy to retail customers in this state after the legislature authorizes a customer to receive retail electric service from a person other than a certificated retail electric utility.</w:t>
      </w:r>
      <w:r>
        <w:rPr>
          <w:rFonts w:ascii="Arial" w:hAnsi="Arial" w:cs="Arial"/>
        </w:rPr>
        <w:t>”</w:t>
      </w:r>
    </w:p>
    <w:p w14:paraId="1805EAE1" w14:textId="77777777" w:rsidR="00A31074" w:rsidRDefault="00A31074" w:rsidP="00C00BC0">
      <w:pPr>
        <w:jc w:val="both"/>
        <w:rPr>
          <w:rFonts w:ascii="Arial" w:hAnsi="Arial" w:cs="Arial"/>
        </w:rPr>
      </w:pPr>
    </w:p>
    <w:p w14:paraId="36108544" w14:textId="77777777" w:rsidR="00A31074" w:rsidRDefault="00A31074" w:rsidP="00C00BC0">
      <w:pPr>
        <w:jc w:val="both"/>
        <w:rPr>
          <w:rFonts w:ascii="Arial" w:hAnsi="Arial" w:cs="Arial"/>
        </w:rPr>
      </w:pPr>
      <w:r>
        <w:rPr>
          <w:rFonts w:ascii="Arial" w:hAnsi="Arial" w:cs="Arial"/>
        </w:rPr>
        <w:t xml:space="preserve">SCT will not </w:t>
      </w:r>
      <w:r w:rsidR="00232978">
        <w:rPr>
          <w:rFonts w:ascii="Arial" w:hAnsi="Arial" w:cs="Arial"/>
        </w:rPr>
        <w:t>sell electric energy to retail customers in Texas or otherwise serve retail electric customers</w:t>
      </w:r>
      <w:r w:rsidR="003D55B1">
        <w:rPr>
          <w:rFonts w:ascii="Arial" w:hAnsi="Arial" w:cs="Arial"/>
        </w:rPr>
        <w:t xml:space="preserve"> and is therefore not eligible for certification as a REP by the PUCT</w:t>
      </w:r>
      <w:r w:rsidR="00232978">
        <w:rPr>
          <w:rFonts w:ascii="Arial" w:hAnsi="Arial" w:cs="Arial"/>
        </w:rPr>
        <w:t>.</w:t>
      </w:r>
      <w:r>
        <w:rPr>
          <w:rFonts w:ascii="Arial" w:hAnsi="Arial" w:cs="Arial"/>
        </w:rPr>
        <w:t xml:space="preserve"> </w:t>
      </w:r>
    </w:p>
    <w:p w14:paraId="32D55F24" w14:textId="77777777" w:rsidR="00232978" w:rsidRDefault="00232978" w:rsidP="00232978">
      <w:pPr>
        <w:jc w:val="both"/>
        <w:rPr>
          <w:rFonts w:ascii="Arial" w:hAnsi="Arial" w:cs="Arial"/>
        </w:rPr>
      </w:pPr>
    </w:p>
    <w:p w14:paraId="19BCA70D" w14:textId="77777777" w:rsidR="00232978" w:rsidRDefault="00232978" w:rsidP="00232978">
      <w:pPr>
        <w:jc w:val="both"/>
        <w:rPr>
          <w:rFonts w:ascii="Arial" w:hAnsi="Arial" w:cs="Arial"/>
        </w:rPr>
      </w:pPr>
      <w:r>
        <w:rPr>
          <w:rFonts w:ascii="Arial" w:hAnsi="Arial" w:cs="Arial"/>
        </w:rPr>
        <w:t>Article</w:t>
      </w:r>
      <w:r w:rsidR="00E91BD1">
        <w:rPr>
          <w:rFonts w:ascii="Arial" w:hAnsi="Arial" w:cs="Arial"/>
        </w:rPr>
        <w:t xml:space="preserve"> 2, Section 20 of the Bylaws defines Municipal as follows:</w:t>
      </w:r>
    </w:p>
    <w:p w14:paraId="756159E3" w14:textId="77777777" w:rsidR="00E91BD1" w:rsidRPr="00E91BD1" w:rsidRDefault="00E91BD1" w:rsidP="00E91BD1">
      <w:pPr>
        <w:jc w:val="both"/>
        <w:rPr>
          <w:rFonts w:ascii="Arial" w:hAnsi="Arial" w:cs="Arial"/>
        </w:rPr>
      </w:pPr>
    </w:p>
    <w:p w14:paraId="32C25433" w14:textId="77777777" w:rsidR="00E91BD1" w:rsidRPr="00E91BD1" w:rsidRDefault="00E91BD1" w:rsidP="00E91BD1">
      <w:pPr>
        <w:ind w:left="720" w:right="720"/>
        <w:jc w:val="both"/>
        <w:rPr>
          <w:rFonts w:ascii="Arial" w:hAnsi="Arial" w:cs="Arial"/>
        </w:rPr>
      </w:pPr>
      <w:r w:rsidRPr="00E91BD1">
        <w:rPr>
          <w:rFonts w:ascii="Arial" w:hAnsi="Arial" w:cs="Arial"/>
          <w:b/>
        </w:rPr>
        <w:t>Municipal</w:t>
      </w:r>
      <w:r w:rsidRPr="00E91BD1">
        <w:rPr>
          <w:rFonts w:ascii="Arial" w:hAnsi="Arial" w:cs="Arial"/>
        </w:rPr>
        <w:t xml:space="preserve">. An entity operating in the ERCOT Region that owns or controls transmission or distribution facilities, owns or controls </w:t>
      </w:r>
      <w:proofErr w:type="spellStart"/>
      <w:r w:rsidRPr="00E91BD1">
        <w:rPr>
          <w:rFonts w:ascii="Arial" w:hAnsi="Arial" w:cs="Arial"/>
        </w:rPr>
        <w:t>dispatchable</w:t>
      </w:r>
      <w:proofErr w:type="spellEnd"/>
      <w:r w:rsidRPr="00E91BD1">
        <w:rPr>
          <w:rFonts w:ascii="Arial" w:hAnsi="Arial" w:cs="Arial"/>
        </w:rPr>
        <w:t xml:space="preserve"> generating facilities, or provides retail electric service and is either: </w:t>
      </w:r>
    </w:p>
    <w:p w14:paraId="6424F062" w14:textId="77777777" w:rsidR="00E91BD1" w:rsidRPr="00E91BD1" w:rsidRDefault="00E91BD1" w:rsidP="00E91BD1">
      <w:pPr>
        <w:jc w:val="both"/>
        <w:rPr>
          <w:rFonts w:ascii="Arial" w:hAnsi="Arial" w:cs="Arial"/>
        </w:rPr>
      </w:pPr>
    </w:p>
    <w:p w14:paraId="7826C0DB" w14:textId="77777777" w:rsidR="00E91BD1" w:rsidRPr="00E91BD1" w:rsidRDefault="00E91BD1" w:rsidP="00E91BD1">
      <w:pPr>
        <w:ind w:left="720" w:right="720"/>
        <w:jc w:val="both"/>
        <w:rPr>
          <w:rFonts w:ascii="Arial" w:hAnsi="Arial" w:cs="Arial"/>
        </w:rPr>
      </w:pPr>
      <w:proofErr w:type="gramStart"/>
      <w:r w:rsidRPr="00E91BD1">
        <w:rPr>
          <w:rFonts w:ascii="Arial" w:hAnsi="Arial" w:cs="Arial"/>
        </w:rPr>
        <w:t>a</w:t>
      </w:r>
      <w:proofErr w:type="gramEnd"/>
      <w:r w:rsidRPr="00E91BD1">
        <w:rPr>
          <w:rFonts w:ascii="Arial" w:hAnsi="Arial" w:cs="Arial"/>
        </w:rPr>
        <w:t xml:space="preserve">. a municipal owned utility as defined in PURA §11.003 or </w:t>
      </w:r>
    </w:p>
    <w:p w14:paraId="01C188EC" w14:textId="77777777" w:rsidR="00E91BD1" w:rsidRPr="00E91BD1" w:rsidRDefault="00E91BD1" w:rsidP="00E91BD1">
      <w:pPr>
        <w:jc w:val="both"/>
        <w:rPr>
          <w:rFonts w:ascii="Arial" w:hAnsi="Arial" w:cs="Arial"/>
        </w:rPr>
      </w:pPr>
    </w:p>
    <w:p w14:paraId="78AE86D8" w14:textId="77777777" w:rsidR="00E91BD1" w:rsidRPr="00E91BD1" w:rsidRDefault="00E91BD1" w:rsidP="00E91BD1">
      <w:pPr>
        <w:ind w:left="720" w:right="720"/>
        <w:jc w:val="both"/>
        <w:rPr>
          <w:rFonts w:ascii="Arial" w:hAnsi="Arial" w:cs="Arial"/>
        </w:rPr>
      </w:pPr>
      <w:proofErr w:type="gramStart"/>
      <w:r w:rsidRPr="00E91BD1">
        <w:rPr>
          <w:rFonts w:ascii="Arial" w:hAnsi="Arial" w:cs="Arial"/>
        </w:rPr>
        <w:t>b</w:t>
      </w:r>
      <w:proofErr w:type="gramEnd"/>
      <w:r w:rsidRPr="00E91BD1">
        <w:rPr>
          <w:rFonts w:ascii="Arial" w:hAnsi="Arial" w:cs="Arial"/>
        </w:rPr>
        <w:t xml:space="preserve">. a River Authority as defined in Tex. Water Code §30.003. </w:t>
      </w:r>
    </w:p>
    <w:p w14:paraId="5A7806C1" w14:textId="77777777" w:rsidR="00232978" w:rsidRDefault="00232978" w:rsidP="00232978">
      <w:pPr>
        <w:jc w:val="both"/>
        <w:rPr>
          <w:rFonts w:ascii="Arial" w:hAnsi="Arial" w:cs="Arial"/>
        </w:rPr>
      </w:pPr>
    </w:p>
    <w:p w14:paraId="49A7F573" w14:textId="77777777" w:rsidR="00232978" w:rsidRDefault="00E91BD1" w:rsidP="00232978">
      <w:pPr>
        <w:jc w:val="both"/>
        <w:rPr>
          <w:rFonts w:ascii="Arial" w:hAnsi="Arial" w:cs="Arial"/>
        </w:rPr>
      </w:pPr>
      <w:r>
        <w:rPr>
          <w:rFonts w:ascii="Arial" w:hAnsi="Arial" w:cs="Arial"/>
        </w:rPr>
        <w:t>SCT is not municipally owned, nor is it a River Authority, under the laws referenced in the definition.</w:t>
      </w:r>
    </w:p>
    <w:p w14:paraId="4B8026BA" w14:textId="77777777" w:rsidR="00E04CB4" w:rsidRDefault="00E04CB4" w:rsidP="00232978">
      <w:pPr>
        <w:jc w:val="both"/>
        <w:rPr>
          <w:rFonts w:ascii="Arial" w:hAnsi="Arial" w:cs="Arial"/>
        </w:rPr>
      </w:pPr>
    </w:p>
    <w:p w14:paraId="1ED31E2A" w14:textId="77777777" w:rsidR="00F33923" w:rsidRPr="00F33923" w:rsidRDefault="00F33923" w:rsidP="00E9560B">
      <w:pPr>
        <w:keepNext/>
        <w:keepLines/>
        <w:spacing w:after="240"/>
        <w:jc w:val="both"/>
        <w:rPr>
          <w:rFonts w:ascii="Arial" w:hAnsi="Arial" w:cs="Arial"/>
          <w:b/>
          <w:i/>
        </w:rPr>
      </w:pPr>
      <w:r w:rsidRPr="00F33923">
        <w:rPr>
          <w:rFonts w:ascii="Arial" w:hAnsi="Arial" w:cs="Arial"/>
          <w:b/>
          <w:i/>
        </w:rPr>
        <w:t>Process for Bylaws Amendment</w:t>
      </w:r>
    </w:p>
    <w:p w14:paraId="2438FEE3" w14:textId="3CACCC5D" w:rsidR="00E04CB4" w:rsidRDefault="00A566E4" w:rsidP="00E04CB4">
      <w:pPr>
        <w:jc w:val="both"/>
        <w:rPr>
          <w:rFonts w:ascii="Arial" w:hAnsi="Arial" w:cs="Arial"/>
        </w:rPr>
      </w:pPr>
      <w:r>
        <w:rPr>
          <w:rFonts w:ascii="Arial" w:hAnsi="Arial" w:cs="Arial"/>
        </w:rPr>
        <w:t>Amending</w:t>
      </w:r>
      <w:r w:rsidR="00E04CB4">
        <w:rPr>
          <w:rFonts w:ascii="Arial" w:hAnsi="Arial" w:cs="Arial"/>
        </w:rPr>
        <w:t xml:space="preserve"> one of the existing Segment definitions to accommodate SCT’s membership would require an amendment to the Bylaws. The process for amending the Bylaws involves several steps. First, a proposed amendment must be approved by the Board. Second, Corporate Members must vote to enact the Board-approved amendment. Finally, after Board and Membership approval, the PUCT must </w:t>
      </w:r>
      <w:r w:rsidR="00270A63">
        <w:rPr>
          <w:rFonts w:ascii="Arial" w:hAnsi="Arial" w:cs="Arial"/>
        </w:rPr>
        <w:t>approve the amendment.</w:t>
      </w:r>
    </w:p>
    <w:p w14:paraId="399704D6" w14:textId="77777777" w:rsidR="00E04CB4" w:rsidRDefault="00E04CB4" w:rsidP="00232978">
      <w:pPr>
        <w:jc w:val="both"/>
        <w:rPr>
          <w:rFonts w:ascii="Arial" w:hAnsi="Arial" w:cs="Arial"/>
        </w:rPr>
      </w:pPr>
    </w:p>
    <w:p w14:paraId="2A170AAC" w14:textId="77777777" w:rsidR="00A566E4" w:rsidRPr="00E04CB4" w:rsidRDefault="00A566E4" w:rsidP="00A566E4">
      <w:pPr>
        <w:keepNext/>
        <w:keepLines/>
        <w:spacing w:after="240"/>
        <w:jc w:val="both"/>
        <w:rPr>
          <w:rFonts w:ascii="Arial" w:hAnsi="Arial" w:cs="Arial"/>
          <w:b/>
          <w:i/>
        </w:rPr>
      </w:pPr>
      <w:r>
        <w:rPr>
          <w:rFonts w:ascii="Arial" w:hAnsi="Arial" w:cs="Arial"/>
          <w:b/>
          <w:i/>
        </w:rPr>
        <w:t>Failure to Reach Consensus on Modifying an Existing Segment to Accommodate SCT</w:t>
      </w:r>
    </w:p>
    <w:p w14:paraId="51014146" w14:textId="39BE98B0" w:rsidR="00A566E4" w:rsidRDefault="00A566E4" w:rsidP="00A566E4">
      <w:pPr>
        <w:jc w:val="both"/>
        <w:rPr>
          <w:rFonts w:ascii="Arial" w:hAnsi="Arial" w:cs="Arial"/>
        </w:rPr>
      </w:pPr>
      <w:r>
        <w:rPr>
          <w:rFonts w:ascii="Arial" w:hAnsi="Arial" w:cs="Arial"/>
        </w:rPr>
        <w:t xml:space="preserve">As noted above, Directive #1 in the PUCT’s Revised Order requires ERCOT to “determine the appropriate market segment for [SCT] . . . .” This language in the Revised Order does </w:t>
      </w:r>
      <w:r>
        <w:rPr>
          <w:rFonts w:ascii="Arial" w:hAnsi="Arial" w:cs="Arial"/>
        </w:rPr>
        <w:lastRenderedPageBreak/>
        <w:t xml:space="preserve">not expressly account for the possibility that ERCOT </w:t>
      </w:r>
      <w:r w:rsidR="006B0A40">
        <w:rPr>
          <w:rFonts w:ascii="Arial" w:hAnsi="Arial" w:cs="Arial"/>
        </w:rPr>
        <w:t>Members</w:t>
      </w:r>
      <w:r>
        <w:rPr>
          <w:rFonts w:ascii="Arial" w:hAnsi="Arial" w:cs="Arial"/>
        </w:rPr>
        <w:t xml:space="preserve"> could fail to obtain a sufficient vote (i.e., </w:t>
      </w:r>
      <w:r w:rsidR="002A54E4">
        <w:rPr>
          <w:rFonts w:ascii="Arial" w:hAnsi="Arial" w:cs="Arial"/>
        </w:rPr>
        <w:t xml:space="preserve">approval by </w:t>
      </w:r>
      <w:r>
        <w:rPr>
          <w:rFonts w:ascii="Arial" w:hAnsi="Arial" w:cs="Arial"/>
        </w:rPr>
        <w:t xml:space="preserve">at least four of the seven segments) to modify the Bylaws to accommodate SCT’s membership in an existing Segment. If that were to happen, ERCOT would need to seek guidance from the PUCT regarding whether such a </w:t>
      </w:r>
      <w:r w:rsidR="002A54E4">
        <w:rPr>
          <w:rFonts w:ascii="Arial" w:hAnsi="Arial" w:cs="Arial"/>
        </w:rPr>
        <w:t>determination</w:t>
      </w:r>
      <w:r>
        <w:rPr>
          <w:rFonts w:ascii="Arial" w:hAnsi="Arial" w:cs="Arial"/>
        </w:rPr>
        <w:t xml:space="preserve"> would satisfy Directive #1. </w:t>
      </w:r>
      <w:r w:rsidR="002A54E4">
        <w:rPr>
          <w:rFonts w:ascii="Arial" w:hAnsi="Arial" w:cs="Arial"/>
        </w:rPr>
        <w:t xml:space="preserve">ERCOT would also need to </w:t>
      </w:r>
      <w:r w:rsidR="00DE46E9">
        <w:rPr>
          <w:rFonts w:ascii="Arial" w:hAnsi="Arial" w:cs="Arial"/>
        </w:rPr>
        <w:t xml:space="preserve">seek PUCT guidance </w:t>
      </w:r>
      <w:r>
        <w:rPr>
          <w:rFonts w:ascii="Arial" w:hAnsi="Arial" w:cs="Arial"/>
        </w:rPr>
        <w:t xml:space="preserve">if </w:t>
      </w:r>
      <w:r w:rsidR="006B0A40">
        <w:rPr>
          <w:rFonts w:ascii="Arial" w:hAnsi="Arial" w:cs="Arial"/>
        </w:rPr>
        <w:t>the Membership</w:t>
      </w:r>
      <w:r>
        <w:rPr>
          <w:rFonts w:ascii="Arial" w:hAnsi="Arial" w:cs="Arial"/>
        </w:rPr>
        <w:t xml:space="preserve"> determine</w:t>
      </w:r>
      <w:r w:rsidR="006B0A40">
        <w:rPr>
          <w:rFonts w:ascii="Arial" w:hAnsi="Arial" w:cs="Arial"/>
        </w:rPr>
        <w:t>s</w:t>
      </w:r>
      <w:r>
        <w:rPr>
          <w:rFonts w:ascii="Arial" w:hAnsi="Arial" w:cs="Arial"/>
        </w:rPr>
        <w:t xml:space="preserve"> that establishing a new segment for SCT would be preferable, given language in the May 23, 2017 Order on Rehearing indicating that SCT should be placed in an “existing” segment.</w:t>
      </w:r>
      <w:r>
        <w:rPr>
          <w:rStyle w:val="FootnoteReference"/>
          <w:rFonts w:ascii="Arial" w:hAnsi="Arial" w:cs="Arial"/>
        </w:rPr>
        <w:footnoteReference w:id="17"/>
      </w:r>
    </w:p>
    <w:p w14:paraId="3831FDA3" w14:textId="77777777" w:rsidR="00A566E4" w:rsidRDefault="00A566E4" w:rsidP="00A566E4">
      <w:pPr>
        <w:jc w:val="both"/>
        <w:rPr>
          <w:rFonts w:ascii="Arial" w:hAnsi="Arial" w:cs="Arial"/>
        </w:rPr>
      </w:pPr>
    </w:p>
    <w:p w14:paraId="71A14C52" w14:textId="77777777" w:rsidR="00232978" w:rsidRPr="004709F8" w:rsidRDefault="004709F8" w:rsidP="00DF360C">
      <w:pPr>
        <w:keepNext/>
        <w:keepLines/>
        <w:spacing w:after="240"/>
        <w:jc w:val="both"/>
        <w:rPr>
          <w:rFonts w:ascii="Arial" w:hAnsi="Arial" w:cs="Arial"/>
          <w:b/>
          <w:i/>
        </w:rPr>
      </w:pPr>
      <w:r w:rsidRPr="004709F8">
        <w:rPr>
          <w:rFonts w:ascii="Arial" w:hAnsi="Arial" w:cs="Arial"/>
          <w:b/>
          <w:i/>
        </w:rPr>
        <w:t>Conclusion</w:t>
      </w:r>
    </w:p>
    <w:p w14:paraId="35944C0A" w14:textId="04E8B357" w:rsidR="002C0304" w:rsidRPr="00D37C60" w:rsidRDefault="000E4616" w:rsidP="00C00BC0">
      <w:pPr>
        <w:jc w:val="both"/>
        <w:rPr>
          <w:rFonts w:ascii="Arial" w:hAnsi="Arial" w:cs="Arial"/>
        </w:rPr>
      </w:pPr>
      <w:r w:rsidRPr="00F33923">
        <w:rPr>
          <w:rFonts w:ascii="Arial" w:hAnsi="Arial" w:cs="Arial"/>
        </w:rPr>
        <w:t xml:space="preserve">It is recommended that TAC consider the IOU and Independent Power Marketer Segments as </w:t>
      </w:r>
      <w:r w:rsidR="00B47FA7" w:rsidRPr="00F33923">
        <w:rPr>
          <w:rFonts w:ascii="Arial" w:hAnsi="Arial" w:cs="Arial"/>
        </w:rPr>
        <w:t>appropriate Segment</w:t>
      </w:r>
      <w:r w:rsidR="002078E2">
        <w:rPr>
          <w:rFonts w:ascii="Arial" w:hAnsi="Arial" w:cs="Arial"/>
        </w:rPr>
        <w:t>s</w:t>
      </w:r>
      <w:r w:rsidR="00B47FA7" w:rsidRPr="00F33923">
        <w:rPr>
          <w:rFonts w:ascii="Arial" w:hAnsi="Arial" w:cs="Arial"/>
        </w:rPr>
        <w:t xml:space="preserve"> for SCT. The activities of typical Members in these two Segments more closely align with those of SCT than the activities of typical Members in the Consumer, Cooperative, Independent Generator, Independent </w:t>
      </w:r>
      <w:r w:rsidR="00DF360C">
        <w:rPr>
          <w:rFonts w:ascii="Arial" w:hAnsi="Arial" w:cs="Arial"/>
        </w:rPr>
        <w:t>Retail Electric Provider</w:t>
      </w:r>
      <w:r w:rsidR="00B47FA7" w:rsidRPr="00F33923">
        <w:rPr>
          <w:rFonts w:ascii="Arial" w:hAnsi="Arial" w:cs="Arial"/>
        </w:rPr>
        <w:t xml:space="preserve"> or Municipal Segments.</w:t>
      </w:r>
      <w:r w:rsidR="00F33923" w:rsidRPr="00F33923">
        <w:rPr>
          <w:rFonts w:ascii="Arial" w:hAnsi="Arial" w:cs="Arial"/>
        </w:rPr>
        <w:t xml:space="preserve"> </w:t>
      </w:r>
    </w:p>
    <w:sectPr w:rsidR="002C0304" w:rsidRPr="00D37C60" w:rsidSect="005D77CE">
      <w:headerReference w:type="default" r:id="rId11"/>
      <w:footerReference w:type="default" r:id="rId12"/>
      <w:pgSz w:w="12240" w:h="15840"/>
      <w:pgMar w:top="1080" w:right="1296" w:bottom="126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50424" w14:textId="77777777" w:rsidR="00A67D96" w:rsidRDefault="00A67D96" w:rsidP="001A4C83">
      <w:r>
        <w:separator/>
      </w:r>
    </w:p>
  </w:endnote>
  <w:endnote w:type="continuationSeparator" w:id="0">
    <w:p w14:paraId="659408EA" w14:textId="77777777" w:rsidR="00A67D96" w:rsidRDefault="00A67D96" w:rsidP="001A4C83">
      <w:r>
        <w:continuationSeparator/>
      </w:r>
    </w:p>
  </w:endnote>
  <w:endnote w:type="continuationNotice" w:id="1">
    <w:p w14:paraId="1D454B8E" w14:textId="77777777" w:rsidR="00A67D96" w:rsidRDefault="00A67D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BDDC0" w14:textId="77777777" w:rsidR="00BE71AC" w:rsidRPr="008E109D" w:rsidRDefault="008E109D" w:rsidP="001A4C83">
    <w:pPr>
      <w:pStyle w:val="Footer"/>
      <w:rPr>
        <w:rFonts w:ascii="Arial" w:hAnsi="Arial" w:cs="Arial"/>
        <w:sz w:val="20"/>
        <w:szCs w:val="20"/>
        <w:lang w:val="en-US"/>
      </w:rPr>
    </w:pPr>
    <w:r w:rsidRPr="00A314C8">
      <w:rPr>
        <w:rFonts w:ascii="Arial" w:hAnsi="Arial" w:cs="Arial"/>
        <w:sz w:val="20"/>
        <w:szCs w:val="20"/>
      </w:rPr>
      <w:t>ERCOT Public</w:t>
    </w:r>
    <w:r w:rsidR="00BE71AC" w:rsidRPr="00A314C8">
      <w:rPr>
        <w:rFonts w:ascii="Arial" w:hAnsi="Arial" w:cs="Arial"/>
        <w:sz w:val="20"/>
        <w:szCs w:val="20"/>
        <w:lang w:val="en-US"/>
      </w:rPr>
      <w:tab/>
    </w:r>
    <w:r w:rsidR="00BE71AC" w:rsidRPr="00A314C8">
      <w:rPr>
        <w:rFonts w:ascii="Arial" w:hAnsi="Arial" w:cs="Arial"/>
        <w:sz w:val="20"/>
        <w:szCs w:val="20"/>
      </w:rPr>
      <w:tab/>
    </w:r>
    <w:r w:rsidR="00BE71AC" w:rsidRPr="00A314C8">
      <w:rPr>
        <w:rFonts w:ascii="Arial" w:hAnsi="Arial" w:cs="Arial"/>
        <w:sz w:val="20"/>
        <w:szCs w:val="20"/>
      </w:rPr>
      <w:fldChar w:fldCharType="begin"/>
    </w:r>
    <w:r w:rsidR="00BE71AC" w:rsidRPr="00A314C8">
      <w:rPr>
        <w:rFonts w:ascii="Arial" w:hAnsi="Arial" w:cs="Arial"/>
        <w:sz w:val="20"/>
        <w:szCs w:val="20"/>
      </w:rPr>
      <w:instrText xml:space="preserve"> PAGE   \* MERGEFORMAT </w:instrText>
    </w:r>
    <w:r w:rsidR="00BE71AC" w:rsidRPr="00A314C8">
      <w:rPr>
        <w:rFonts w:ascii="Arial" w:hAnsi="Arial" w:cs="Arial"/>
        <w:sz w:val="20"/>
        <w:szCs w:val="20"/>
      </w:rPr>
      <w:fldChar w:fldCharType="separate"/>
    </w:r>
    <w:r w:rsidR="00CE3317">
      <w:rPr>
        <w:rFonts w:ascii="Arial" w:hAnsi="Arial" w:cs="Arial"/>
        <w:noProof/>
        <w:sz w:val="20"/>
        <w:szCs w:val="20"/>
      </w:rPr>
      <w:t>12</w:t>
    </w:r>
    <w:r w:rsidR="00BE71AC" w:rsidRPr="00A314C8">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70B33" w14:textId="77777777" w:rsidR="00A67D96" w:rsidRDefault="00A67D96" w:rsidP="001A4C83">
      <w:r>
        <w:separator/>
      </w:r>
    </w:p>
  </w:footnote>
  <w:footnote w:type="continuationSeparator" w:id="0">
    <w:p w14:paraId="6ABB5F82" w14:textId="77777777" w:rsidR="00A67D96" w:rsidRDefault="00A67D96" w:rsidP="001A4C83">
      <w:r>
        <w:continuationSeparator/>
      </w:r>
    </w:p>
  </w:footnote>
  <w:footnote w:type="continuationNotice" w:id="1">
    <w:p w14:paraId="4A8F3D97" w14:textId="77777777" w:rsidR="00A67D96" w:rsidRDefault="00A67D96"/>
  </w:footnote>
  <w:footnote w:id="2">
    <w:p w14:paraId="5127B2D8" w14:textId="40C76649" w:rsidR="00CC7605" w:rsidRPr="00DF360C" w:rsidRDefault="00CC7605">
      <w:pPr>
        <w:pStyle w:val="FootnoteText"/>
        <w:rPr>
          <w:lang w:val="en-US"/>
        </w:rPr>
      </w:pPr>
      <w:r>
        <w:rPr>
          <w:rStyle w:val="FootnoteReference"/>
        </w:rPr>
        <w:footnoteRef/>
      </w:r>
      <w:r>
        <w:t xml:space="preserve"> </w:t>
      </w:r>
      <w:r w:rsidRPr="00DF360C">
        <w:rPr>
          <w:rFonts w:ascii="Arial" w:hAnsi="Arial" w:cs="Arial"/>
          <w:lang w:val="en-US"/>
        </w:rPr>
        <w:t>SCT has since committed to the PUCT that it will limit the flow on the tie to 2</w:t>
      </w:r>
      <w:r w:rsidR="00DF360C">
        <w:rPr>
          <w:rFonts w:ascii="Arial" w:hAnsi="Arial" w:cs="Arial"/>
          <w:lang w:val="en-US"/>
        </w:rPr>
        <w:t>,</w:t>
      </w:r>
      <w:r w:rsidRPr="00DF360C">
        <w:rPr>
          <w:rFonts w:ascii="Arial" w:hAnsi="Arial" w:cs="Arial"/>
          <w:lang w:val="en-US"/>
        </w:rPr>
        <w:t>100 MW export and 2</w:t>
      </w:r>
      <w:r w:rsidR="00DF360C">
        <w:rPr>
          <w:rFonts w:ascii="Arial" w:hAnsi="Arial" w:cs="Arial"/>
          <w:lang w:val="en-US"/>
        </w:rPr>
        <w:t>,</w:t>
      </w:r>
      <w:r w:rsidRPr="00DF360C">
        <w:rPr>
          <w:rFonts w:ascii="Arial" w:hAnsi="Arial" w:cs="Arial"/>
          <w:lang w:val="en-US"/>
        </w:rPr>
        <w:t>000 MW import.</w:t>
      </w:r>
    </w:p>
  </w:footnote>
  <w:footnote w:id="3">
    <w:p w14:paraId="7B04E1B4" w14:textId="77777777" w:rsidR="00526CB1" w:rsidRPr="00526CB1" w:rsidRDefault="00526CB1" w:rsidP="00732F15">
      <w:pPr>
        <w:pStyle w:val="FootnoteText"/>
        <w:jc w:val="both"/>
        <w:rPr>
          <w:rFonts w:ascii="Arial" w:hAnsi="Arial" w:cs="Arial"/>
          <w:lang w:val="en-US"/>
        </w:rPr>
      </w:pPr>
      <w:r w:rsidRPr="00526CB1">
        <w:rPr>
          <w:rStyle w:val="FootnoteReference"/>
          <w:rFonts w:ascii="Arial" w:hAnsi="Arial" w:cs="Arial"/>
        </w:rPr>
        <w:footnoteRef/>
      </w:r>
      <w:r w:rsidRPr="00526CB1">
        <w:rPr>
          <w:rFonts w:ascii="Arial" w:hAnsi="Arial" w:cs="Arial"/>
        </w:rPr>
        <w:t xml:space="preserve"> </w:t>
      </w:r>
      <w:r w:rsidRPr="00526CB1">
        <w:rPr>
          <w:rFonts w:ascii="Arial" w:hAnsi="Arial" w:cs="Arial"/>
          <w:lang w:val="en-US"/>
        </w:rPr>
        <w:t>Final Order Directing Interconnection and Transmission Service, Docket No. TX11-1-001, 147 FERC ¶ 61,113 (May 15, 2014).</w:t>
      </w:r>
    </w:p>
  </w:footnote>
  <w:footnote w:id="4">
    <w:p w14:paraId="0553C369" w14:textId="77777777" w:rsidR="00AA1D88" w:rsidRPr="00193B95" w:rsidRDefault="00AA1D88" w:rsidP="00AA1D88">
      <w:pPr>
        <w:pStyle w:val="FootnoteText"/>
        <w:jc w:val="both"/>
        <w:rPr>
          <w:rFonts w:ascii="Arial" w:hAnsi="Arial" w:cs="Arial"/>
          <w:lang w:val="en-US"/>
        </w:rPr>
      </w:pPr>
      <w:r w:rsidRPr="00193B95">
        <w:rPr>
          <w:rStyle w:val="FootnoteReference"/>
          <w:rFonts w:ascii="Arial" w:hAnsi="Arial" w:cs="Arial"/>
        </w:rPr>
        <w:footnoteRef/>
      </w:r>
      <w:r w:rsidRPr="00193B95">
        <w:rPr>
          <w:rFonts w:ascii="Arial" w:hAnsi="Arial" w:cs="Arial"/>
        </w:rPr>
        <w:t xml:space="preserve"> Docket No. 45624</w:t>
      </w:r>
      <w:r w:rsidRPr="00193B95">
        <w:rPr>
          <w:rFonts w:ascii="Arial" w:hAnsi="Arial" w:cs="Arial"/>
          <w:lang w:val="en-US"/>
        </w:rPr>
        <w:t xml:space="preserve">, </w:t>
      </w:r>
      <w:r w:rsidRPr="00193B95">
        <w:rPr>
          <w:rFonts w:ascii="Arial" w:hAnsi="Arial" w:cs="Arial"/>
        </w:rPr>
        <w:t>Application of the City of Garland to Amend a Certificate of Convenience and Necessity for the Rusk to Panola Double-Circuit 345-Kv Transmission Line in Rusk and Panola Counties</w:t>
      </w:r>
      <w:r w:rsidRPr="00193B95">
        <w:rPr>
          <w:rFonts w:ascii="Arial" w:hAnsi="Arial" w:cs="Arial"/>
          <w:lang w:val="en-US"/>
        </w:rPr>
        <w:t>.</w:t>
      </w:r>
    </w:p>
  </w:footnote>
  <w:footnote w:id="5">
    <w:p w14:paraId="2ED39D44" w14:textId="77777777" w:rsidR="00193B95" w:rsidRPr="00B10C5B" w:rsidRDefault="00193B95" w:rsidP="00732F15">
      <w:pPr>
        <w:pStyle w:val="FootnoteText"/>
        <w:jc w:val="both"/>
        <w:rPr>
          <w:rFonts w:ascii="Arial" w:hAnsi="Arial" w:cs="Arial"/>
          <w:lang w:val="en-US"/>
        </w:rPr>
      </w:pPr>
      <w:r w:rsidRPr="00B10C5B">
        <w:rPr>
          <w:rStyle w:val="FootnoteReference"/>
          <w:rFonts w:ascii="Arial" w:hAnsi="Arial" w:cs="Arial"/>
        </w:rPr>
        <w:footnoteRef/>
      </w:r>
      <w:r w:rsidRPr="00B10C5B">
        <w:rPr>
          <w:rFonts w:ascii="Arial" w:hAnsi="Arial" w:cs="Arial"/>
        </w:rPr>
        <w:t xml:space="preserve"> </w:t>
      </w:r>
      <w:r w:rsidR="00B10C5B" w:rsidRPr="00B10C5B">
        <w:rPr>
          <w:rFonts w:ascii="Arial" w:hAnsi="Arial" w:cs="Arial"/>
          <w:lang w:val="en-US"/>
        </w:rPr>
        <w:t>Project No. 46304, Oversight Proceeding Regarding ERCOT Matters Arising out of Docket No. 45624 (Application of the City of Garland to Amend a Certificate of Convenience and Necessity for the Rusk to Panola Double-Circuit 345-Kv Transmission Line in Rusk and Panola Counties)</w:t>
      </w:r>
      <w:r w:rsidR="00B10C5B">
        <w:rPr>
          <w:rFonts w:ascii="Arial" w:hAnsi="Arial" w:cs="Arial"/>
          <w:lang w:val="en-US"/>
        </w:rPr>
        <w:t>.</w:t>
      </w:r>
    </w:p>
  </w:footnote>
  <w:footnote w:id="6">
    <w:p w14:paraId="0744F32D" w14:textId="77777777" w:rsidR="00C927DA" w:rsidRPr="00C927DA" w:rsidRDefault="00C927DA" w:rsidP="00DF360C">
      <w:pPr>
        <w:pStyle w:val="FootnoteText"/>
        <w:jc w:val="both"/>
        <w:rPr>
          <w:rFonts w:ascii="Arial" w:hAnsi="Arial" w:cs="Arial"/>
          <w:lang w:val="en-US"/>
        </w:rPr>
      </w:pPr>
      <w:r w:rsidRPr="00C927DA">
        <w:rPr>
          <w:rStyle w:val="FootnoteReference"/>
          <w:rFonts w:ascii="Arial" w:hAnsi="Arial" w:cs="Arial"/>
        </w:rPr>
        <w:footnoteRef/>
      </w:r>
      <w:r w:rsidRPr="00C927DA">
        <w:rPr>
          <w:rFonts w:ascii="Arial" w:hAnsi="Arial" w:cs="Arial"/>
        </w:rPr>
        <w:t xml:space="preserve"> </w:t>
      </w:r>
      <w:r w:rsidRPr="00DF360C">
        <w:rPr>
          <w:rFonts w:ascii="Arial" w:hAnsi="Arial"/>
          <w:i/>
          <w:lang w:val="en-US"/>
        </w:rPr>
        <w:t>See</w:t>
      </w:r>
      <w:r w:rsidRPr="00C927DA">
        <w:rPr>
          <w:rFonts w:ascii="Arial" w:hAnsi="Arial" w:cs="Arial"/>
          <w:lang w:val="en-US"/>
        </w:rPr>
        <w:t xml:space="preserve"> ERCOT Workshop: A Discussion on Registration of Southern Cross Transmission LLC - Owner/Operator of a Merchant DC Tie, September 7, 2017, </w:t>
      </w:r>
      <w:r>
        <w:rPr>
          <w:rFonts w:ascii="Arial" w:hAnsi="Arial" w:cs="Arial"/>
          <w:lang w:val="en-US"/>
        </w:rPr>
        <w:t xml:space="preserve">Market Segment Designation, </w:t>
      </w:r>
      <w:proofErr w:type="gramStart"/>
      <w:r>
        <w:rPr>
          <w:rFonts w:ascii="Arial" w:hAnsi="Arial" w:cs="Arial"/>
          <w:lang w:val="en-US"/>
        </w:rPr>
        <w:t>Southern Cross Transmission LLC</w:t>
      </w:r>
      <w:r w:rsidRPr="00C927DA">
        <w:rPr>
          <w:rFonts w:ascii="Arial" w:hAnsi="Arial" w:cs="Arial"/>
          <w:lang w:val="en-US"/>
        </w:rPr>
        <w:t xml:space="preserve">, available at </w:t>
      </w:r>
      <w:hyperlink r:id="rId1" w:history="1">
        <w:r w:rsidRPr="00C927DA">
          <w:rPr>
            <w:rStyle w:val="Hyperlink"/>
            <w:rFonts w:ascii="Arial" w:hAnsi="Arial" w:cs="Arial"/>
            <w:lang w:val="en-US"/>
          </w:rPr>
          <w:t>http://www.ercot.com/calendar/2017/9/7/131885</w:t>
        </w:r>
        <w:proofErr w:type="gramEnd"/>
      </w:hyperlink>
      <w:r w:rsidRPr="00C927DA">
        <w:rPr>
          <w:rFonts w:ascii="Arial" w:hAnsi="Arial" w:cs="Arial"/>
          <w:lang w:val="en-US"/>
        </w:rPr>
        <w:t>.</w:t>
      </w:r>
    </w:p>
  </w:footnote>
  <w:footnote w:id="7">
    <w:p w14:paraId="7B31C509" w14:textId="77777777" w:rsidR="00820330" w:rsidRPr="00820330" w:rsidRDefault="00820330" w:rsidP="00DF360C">
      <w:pPr>
        <w:pStyle w:val="FootnoteText"/>
        <w:jc w:val="both"/>
        <w:rPr>
          <w:rFonts w:ascii="Arial" w:hAnsi="Arial" w:cs="Arial"/>
          <w:lang w:val="en-US"/>
        </w:rPr>
      </w:pPr>
      <w:r w:rsidRPr="00820330">
        <w:rPr>
          <w:rStyle w:val="FootnoteReference"/>
          <w:rFonts w:ascii="Arial" w:hAnsi="Arial" w:cs="Arial"/>
        </w:rPr>
        <w:footnoteRef/>
      </w:r>
      <w:r w:rsidRPr="00820330">
        <w:rPr>
          <w:rFonts w:ascii="Arial" w:hAnsi="Arial" w:cs="Arial"/>
        </w:rPr>
        <w:t xml:space="preserve"> </w:t>
      </w:r>
      <w:r w:rsidRPr="00DF360C">
        <w:rPr>
          <w:rFonts w:ascii="Arial" w:hAnsi="Arial"/>
          <w:i/>
          <w:lang w:val="en-US"/>
        </w:rPr>
        <w:t>See id.</w:t>
      </w:r>
      <w:r w:rsidRPr="00820330">
        <w:rPr>
          <w:rFonts w:ascii="Arial" w:hAnsi="Arial" w:cs="Arial"/>
          <w:lang w:val="en-US"/>
        </w:rPr>
        <w:t>, Market Participant Feedback and Input Provided September 22, 2017</w:t>
      </w:r>
      <w:r w:rsidR="003154FF">
        <w:rPr>
          <w:rFonts w:ascii="Arial" w:hAnsi="Arial" w:cs="Arial"/>
          <w:lang w:val="en-US"/>
        </w:rPr>
        <w:t xml:space="preserve"> (Oncor Comments)</w:t>
      </w:r>
      <w:r w:rsidRPr="00820330">
        <w:rPr>
          <w:rFonts w:ascii="Arial" w:hAnsi="Arial" w:cs="Arial"/>
          <w:lang w:val="en-US"/>
        </w:rPr>
        <w:t>.</w:t>
      </w:r>
    </w:p>
  </w:footnote>
  <w:footnote w:id="8">
    <w:p w14:paraId="3F60D33F" w14:textId="77777777" w:rsidR="008A2B88" w:rsidRPr="008A2B88" w:rsidRDefault="008A2B88" w:rsidP="00E9560B">
      <w:pPr>
        <w:pStyle w:val="FootnoteText"/>
        <w:jc w:val="both"/>
        <w:rPr>
          <w:lang w:val="en-US"/>
        </w:rPr>
      </w:pPr>
      <w:r w:rsidRPr="00E9560B">
        <w:rPr>
          <w:rStyle w:val="FootnoteReference"/>
          <w:rFonts w:ascii="Arial" w:hAnsi="Arial" w:cs="Arial"/>
        </w:rPr>
        <w:footnoteRef/>
      </w:r>
      <w:r w:rsidRPr="00E9560B">
        <w:rPr>
          <w:rFonts w:ascii="Arial" w:hAnsi="Arial" w:cs="Arial"/>
        </w:rPr>
        <w:t xml:space="preserve"> </w:t>
      </w:r>
      <w:r w:rsidRPr="008A2B88">
        <w:rPr>
          <w:rFonts w:ascii="Arial" w:hAnsi="Arial" w:cs="Arial"/>
        </w:rPr>
        <w:t>Members of a nonprofit corporation can be analogized to shareholders of a for-profit corporation, but without ownership rights or stock.</w:t>
      </w:r>
    </w:p>
  </w:footnote>
  <w:footnote w:id="9">
    <w:p w14:paraId="0094DDCD" w14:textId="77777777" w:rsidR="002E30D1" w:rsidRDefault="002E30D1" w:rsidP="00E9560B">
      <w:pPr>
        <w:pStyle w:val="FootnoteText"/>
        <w:jc w:val="both"/>
        <w:rPr>
          <w:rFonts w:ascii="Arial" w:hAnsi="Arial" w:cs="Arial"/>
        </w:rPr>
      </w:pPr>
      <w:r w:rsidRPr="00E9560B">
        <w:rPr>
          <w:rStyle w:val="FootnoteReference"/>
          <w:rFonts w:ascii="Arial" w:hAnsi="Arial" w:cs="Arial"/>
        </w:rPr>
        <w:footnoteRef/>
      </w:r>
      <w:r w:rsidRPr="00E9560B">
        <w:rPr>
          <w:rFonts w:ascii="Arial" w:hAnsi="Arial" w:cs="Arial"/>
        </w:rPr>
        <w:t xml:space="preserve"> </w:t>
      </w:r>
      <w:r>
        <w:rPr>
          <w:rFonts w:ascii="Arial" w:hAnsi="Arial" w:cs="Arial"/>
        </w:rPr>
        <w:t>Section 3.1 further provides:</w:t>
      </w:r>
    </w:p>
    <w:p w14:paraId="6A0DA0A4" w14:textId="77777777" w:rsidR="002E30D1" w:rsidRDefault="002E30D1" w:rsidP="002E30D1">
      <w:pPr>
        <w:pStyle w:val="FootnoteText"/>
        <w:ind w:left="720" w:right="720"/>
        <w:jc w:val="both"/>
        <w:rPr>
          <w:rFonts w:ascii="Arial" w:hAnsi="Arial" w:cs="Arial"/>
        </w:rPr>
      </w:pPr>
      <w:r>
        <w:rPr>
          <w:rFonts w:ascii="Arial" w:hAnsi="Arial" w:cs="Arial"/>
          <w:lang w:val="en-US"/>
        </w:rPr>
        <w:t xml:space="preserve">(b) </w:t>
      </w:r>
      <w:r w:rsidRPr="002E30D1">
        <w:rPr>
          <w:rFonts w:ascii="Arial" w:hAnsi="Arial" w:cs="Arial"/>
          <w:lang w:val="en-US"/>
        </w:rPr>
        <w:t>Except for the Consumer Segment, Members must have an actual financial interest in the retail or wholesale electric market in the ERCOT Region and be able to do business in</w:t>
      </w:r>
      <w:r>
        <w:rPr>
          <w:rFonts w:ascii="Arial" w:hAnsi="Arial" w:cs="Arial"/>
          <w:lang w:val="en-US"/>
        </w:rPr>
        <w:t xml:space="preserve"> </w:t>
      </w:r>
      <w:r w:rsidRPr="002E30D1">
        <w:rPr>
          <w:rFonts w:ascii="Arial" w:hAnsi="Arial" w:cs="Arial"/>
          <w:lang w:val="en-US"/>
        </w:rPr>
        <w:t>one of these markets. A Member must maintain its registration or certification by the PUCT to the extent it is required to do so by statute or PUCT rule.</w:t>
      </w:r>
      <w:r w:rsidRPr="002E30D1">
        <w:rPr>
          <w:rFonts w:ascii="Arial" w:hAnsi="Arial" w:cs="Arial"/>
        </w:rPr>
        <w:t xml:space="preserve"> A Member must maintain its registration or certification by the PUCT to the extent it is required to do so by statute or PUCT rule.</w:t>
      </w:r>
    </w:p>
    <w:p w14:paraId="27D8A300" w14:textId="77777777" w:rsidR="002E30D1" w:rsidRPr="002E30D1" w:rsidRDefault="002E30D1" w:rsidP="002E30D1">
      <w:pPr>
        <w:pStyle w:val="FootnoteText"/>
        <w:ind w:left="720" w:right="720"/>
        <w:jc w:val="both"/>
        <w:rPr>
          <w:rFonts w:ascii="Arial" w:hAnsi="Arial" w:cs="Arial"/>
          <w:lang w:val="en-US"/>
        </w:rPr>
      </w:pPr>
      <w:r w:rsidRPr="002E30D1">
        <w:rPr>
          <w:rFonts w:ascii="Arial" w:hAnsi="Arial" w:cs="Arial"/>
          <w:lang w:val="en-US"/>
        </w:rPr>
        <w:t>(c) The Board may adopt and amend Member application procedures.</w:t>
      </w:r>
    </w:p>
  </w:footnote>
  <w:footnote w:id="10">
    <w:p w14:paraId="3CF1F9C3" w14:textId="77777777" w:rsidR="00B576B5" w:rsidRPr="00B576B5" w:rsidRDefault="00B576B5" w:rsidP="00B576B5">
      <w:pPr>
        <w:pStyle w:val="FootnoteText"/>
        <w:jc w:val="both"/>
        <w:rPr>
          <w:rFonts w:ascii="Arial" w:hAnsi="Arial" w:cs="Arial"/>
          <w:lang w:val="en-US"/>
        </w:rPr>
      </w:pPr>
      <w:r w:rsidRPr="00B576B5">
        <w:rPr>
          <w:rStyle w:val="FootnoteReference"/>
          <w:rFonts w:ascii="Arial" w:hAnsi="Arial" w:cs="Arial"/>
        </w:rPr>
        <w:footnoteRef/>
      </w:r>
      <w:r w:rsidRPr="00B576B5">
        <w:rPr>
          <w:rFonts w:ascii="Arial" w:hAnsi="Arial" w:cs="Arial"/>
        </w:rPr>
        <w:t xml:space="preserve"> </w:t>
      </w:r>
      <w:r w:rsidRPr="00B576B5">
        <w:rPr>
          <w:rFonts w:ascii="Arial" w:hAnsi="Arial" w:cs="Arial"/>
          <w:lang w:val="en-US"/>
        </w:rPr>
        <w:t xml:space="preserve">The Board must also include the chief executive of the Office of Public Utility Counsel as an </w:t>
      </w:r>
      <w:r w:rsidRPr="00E900BA">
        <w:rPr>
          <w:rFonts w:ascii="Arial" w:hAnsi="Arial" w:cs="Arial"/>
          <w:i/>
          <w:lang w:val="en-US"/>
        </w:rPr>
        <w:t>ex officio</w:t>
      </w:r>
      <w:r w:rsidRPr="00B576B5">
        <w:rPr>
          <w:rFonts w:ascii="Arial" w:hAnsi="Arial" w:cs="Arial"/>
          <w:lang w:val="en-US"/>
        </w:rPr>
        <w:t xml:space="preserve"> voting member representing residential and small commercial consumer interests. </w:t>
      </w:r>
      <w:r w:rsidRPr="0034556B">
        <w:rPr>
          <w:rFonts w:ascii="Arial" w:hAnsi="Arial" w:cs="Arial"/>
          <w:i/>
          <w:lang w:val="en-US"/>
        </w:rPr>
        <w:t>See</w:t>
      </w:r>
      <w:r w:rsidRPr="00B576B5">
        <w:rPr>
          <w:rFonts w:ascii="Arial" w:hAnsi="Arial" w:cs="Arial"/>
          <w:lang w:val="en-US"/>
        </w:rPr>
        <w:t xml:space="preserve"> PURA § 39.151(g</w:t>
      </w:r>
      <w:proofErr w:type="gramStart"/>
      <w:r w:rsidRPr="00B576B5">
        <w:rPr>
          <w:rFonts w:ascii="Arial" w:hAnsi="Arial" w:cs="Arial"/>
          <w:lang w:val="en-US"/>
        </w:rPr>
        <w:t>)(</w:t>
      </w:r>
      <w:proofErr w:type="gramEnd"/>
      <w:r w:rsidRPr="00B576B5">
        <w:rPr>
          <w:rFonts w:ascii="Arial" w:hAnsi="Arial" w:cs="Arial"/>
          <w:lang w:val="en-US"/>
        </w:rPr>
        <w:t>2).</w:t>
      </w:r>
    </w:p>
  </w:footnote>
  <w:footnote w:id="11">
    <w:p w14:paraId="2A07819D" w14:textId="77777777" w:rsidR="00E1741D" w:rsidRPr="00F33923" w:rsidRDefault="00E1741D" w:rsidP="00F33923">
      <w:pPr>
        <w:pStyle w:val="FootnoteText"/>
        <w:jc w:val="both"/>
        <w:rPr>
          <w:rFonts w:ascii="Arial" w:hAnsi="Arial" w:cs="Arial"/>
          <w:lang w:val="en-US"/>
        </w:rPr>
      </w:pPr>
      <w:r w:rsidRPr="00F33923">
        <w:rPr>
          <w:rStyle w:val="FootnoteReference"/>
          <w:rFonts w:ascii="Arial" w:hAnsi="Arial" w:cs="Arial"/>
        </w:rPr>
        <w:footnoteRef/>
      </w:r>
      <w:r w:rsidRPr="00F33923">
        <w:rPr>
          <w:rFonts w:ascii="Arial" w:hAnsi="Arial" w:cs="Arial"/>
        </w:rPr>
        <w:t xml:space="preserve"> </w:t>
      </w:r>
      <w:r w:rsidRPr="00F33923">
        <w:rPr>
          <w:rFonts w:ascii="Arial" w:hAnsi="Arial" w:cs="Arial"/>
          <w:lang w:val="en-US"/>
        </w:rPr>
        <w:t xml:space="preserve">If a new Segment or </w:t>
      </w:r>
      <w:proofErr w:type="spellStart"/>
      <w:r w:rsidR="00F33923">
        <w:rPr>
          <w:rFonts w:ascii="Arial" w:hAnsi="Arial" w:cs="Arial"/>
          <w:lang w:val="en-US"/>
        </w:rPr>
        <w:t>subsegment</w:t>
      </w:r>
      <w:proofErr w:type="spellEnd"/>
      <w:r w:rsidRPr="00F33923">
        <w:rPr>
          <w:rFonts w:ascii="Arial" w:hAnsi="Arial" w:cs="Arial"/>
          <w:lang w:val="en-US"/>
        </w:rPr>
        <w:t xml:space="preserve"> was created without an amendment to PURA to grant such new Segment or </w:t>
      </w:r>
      <w:proofErr w:type="spellStart"/>
      <w:r w:rsidR="00F33923">
        <w:rPr>
          <w:rFonts w:ascii="Arial" w:hAnsi="Arial" w:cs="Arial"/>
          <w:lang w:val="en-US"/>
        </w:rPr>
        <w:t>subsegment</w:t>
      </w:r>
      <w:proofErr w:type="spellEnd"/>
      <w:r w:rsidRPr="00F33923">
        <w:rPr>
          <w:rFonts w:ascii="Arial" w:hAnsi="Arial" w:cs="Arial"/>
          <w:lang w:val="en-US"/>
        </w:rPr>
        <w:t xml:space="preserve"> a seat on the Board, </w:t>
      </w:r>
      <w:r w:rsidR="00F33923" w:rsidRPr="00F33923">
        <w:rPr>
          <w:rFonts w:ascii="Arial" w:hAnsi="Arial" w:cs="Arial"/>
          <w:lang w:val="en-US"/>
        </w:rPr>
        <w:t xml:space="preserve">it may be </w:t>
      </w:r>
      <w:r w:rsidR="00F33923">
        <w:rPr>
          <w:rFonts w:ascii="Arial" w:hAnsi="Arial" w:cs="Arial"/>
          <w:lang w:val="en-US"/>
        </w:rPr>
        <w:t xml:space="preserve">nonetheless </w:t>
      </w:r>
      <w:r w:rsidR="00F33923" w:rsidRPr="00F33923">
        <w:rPr>
          <w:rFonts w:ascii="Arial" w:hAnsi="Arial" w:cs="Arial"/>
          <w:lang w:val="en-US"/>
        </w:rPr>
        <w:t xml:space="preserve">possible to amend </w:t>
      </w:r>
      <w:r w:rsidRPr="00F33923">
        <w:rPr>
          <w:rFonts w:ascii="Arial" w:hAnsi="Arial" w:cs="Arial"/>
          <w:lang w:val="en-US"/>
        </w:rPr>
        <w:t xml:space="preserve">the Bylaws to grant the new Segment or </w:t>
      </w:r>
      <w:proofErr w:type="spellStart"/>
      <w:r w:rsidR="00F33923">
        <w:rPr>
          <w:rFonts w:ascii="Arial" w:hAnsi="Arial" w:cs="Arial"/>
          <w:lang w:val="en-US"/>
        </w:rPr>
        <w:t>subsegment</w:t>
      </w:r>
      <w:proofErr w:type="spellEnd"/>
      <w:r w:rsidRPr="00F33923">
        <w:rPr>
          <w:rFonts w:ascii="Arial" w:hAnsi="Arial" w:cs="Arial"/>
          <w:lang w:val="en-US"/>
        </w:rPr>
        <w:t xml:space="preserve"> voting rights </w:t>
      </w:r>
      <w:r w:rsidR="00F33923" w:rsidRPr="00F33923">
        <w:rPr>
          <w:rFonts w:ascii="Arial" w:hAnsi="Arial" w:cs="Arial"/>
          <w:lang w:val="en-US"/>
        </w:rPr>
        <w:t>for TAC and its subcommittees.</w:t>
      </w:r>
    </w:p>
  </w:footnote>
  <w:footnote w:id="12">
    <w:p w14:paraId="7D041A5B" w14:textId="77777777" w:rsidR="00466C96" w:rsidRPr="00C12AA5" w:rsidRDefault="00466C96" w:rsidP="00C12AA5">
      <w:pPr>
        <w:pStyle w:val="FootnoteText"/>
        <w:jc w:val="both"/>
        <w:rPr>
          <w:rFonts w:ascii="Arial" w:hAnsi="Arial" w:cs="Arial"/>
          <w:lang w:val="en-US"/>
        </w:rPr>
      </w:pPr>
      <w:r w:rsidRPr="00C12AA5">
        <w:rPr>
          <w:rStyle w:val="FootnoteReference"/>
          <w:rFonts w:ascii="Arial" w:hAnsi="Arial" w:cs="Arial"/>
        </w:rPr>
        <w:footnoteRef/>
      </w:r>
      <w:r w:rsidRPr="00C12AA5">
        <w:rPr>
          <w:rFonts w:ascii="Arial" w:hAnsi="Arial" w:cs="Arial"/>
        </w:rPr>
        <w:t xml:space="preserve"> </w:t>
      </w:r>
      <w:r w:rsidRPr="00C12AA5">
        <w:rPr>
          <w:rFonts w:ascii="Arial" w:hAnsi="Arial" w:cs="Arial"/>
          <w:lang w:val="en-US"/>
        </w:rPr>
        <w:t>Nodal Protocol Revision Request (NPRR) 857, Creation of Direct Current Tie Operator Market Participant Role, is currently proceeding through the ERCOT stakeholder process for Protocol revisions. NPRR857</w:t>
      </w:r>
      <w:r w:rsidR="00C12AA5" w:rsidRPr="00C12AA5">
        <w:rPr>
          <w:rFonts w:ascii="Arial" w:hAnsi="Arial" w:cs="Arial"/>
          <w:lang w:val="en-US"/>
        </w:rPr>
        <w:t xml:space="preserve"> would create a new Market Participant role of “Direct Current Tie Operator.” It was submitted by ERCOT to address</w:t>
      </w:r>
      <w:r w:rsidRPr="00C12AA5">
        <w:rPr>
          <w:rFonts w:ascii="Arial" w:hAnsi="Arial" w:cs="Arial"/>
          <w:lang w:val="en-US"/>
        </w:rPr>
        <w:t xml:space="preserve"> part of Directive #1 that require</w:t>
      </w:r>
      <w:r w:rsidR="00C12AA5" w:rsidRPr="00C12AA5">
        <w:rPr>
          <w:rFonts w:ascii="Arial" w:hAnsi="Arial" w:cs="Arial"/>
          <w:lang w:val="en-US"/>
        </w:rPr>
        <w:t>s</w:t>
      </w:r>
      <w:r w:rsidRPr="00C12AA5">
        <w:rPr>
          <w:rFonts w:ascii="Arial" w:hAnsi="Arial" w:cs="Arial"/>
          <w:lang w:val="en-US"/>
        </w:rPr>
        <w:t xml:space="preserve"> ERCOT to “determine </w:t>
      </w:r>
      <w:r w:rsidR="00C12AA5" w:rsidRPr="00C12AA5">
        <w:rPr>
          <w:rFonts w:ascii="Arial" w:hAnsi="Arial" w:cs="Arial"/>
        </w:rPr>
        <w:t>the appropriate market participation category for [</w:t>
      </w:r>
      <w:r w:rsidR="00C12AA5">
        <w:rPr>
          <w:rFonts w:ascii="Arial" w:hAnsi="Arial" w:cs="Arial"/>
          <w:lang w:val="en-US"/>
        </w:rPr>
        <w:t>SCT</w:t>
      </w:r>
      <w:r w:rsidR="00C12AA5" w:rsidRPr="00C12AA5">
        <w:rPr>
          <w:rFonts w:ascii="Arial" w:hAnsi="Arial" w:cs="Arial"/>
        </w:rPr>
        <w:t>] and for any other entity associated with the Southern Cross DC Tie for which a new market-participant category may be appropriate (creating new ones if necessary</w:t>
      </w:r>
      <w:r w:rsidR="00C12AA5" w:rsidRPr="00C12AA5">
        <w:rPr>
          <w:rFonts w:ascii="Arial" w:hAnsi="Arial" w:cs="Arial"/>
          <w:lang w:val="en-US"/>
        </w:rPr>
        <w:t>)</w:t>
      </w:r>
      <w:r w:rsidR="00C12AA5" w:rsidRPr="00C12AA5">
        <w:rPr>
          <w:rFonts w:ascii="Arial" w:hAnsi="Arial" w:cs="Arial"/>
        </w:rPr>
        <w:t xml:space="preserve"> . . .</w:t>
      </w:r>
      <w:r w:rsidR="00C12AA5" w:rsidRPr="00C12AA5">
        <w:rPr>
          <w:rFonts w:ascii="Arial" w:hAnsi="Arial" w:cs="Arial"/>
          <w:lang w:val="en-US"/>
        </w:rPr>
        <w:t xml:space="preserve"> .</w:t>
      </w:r>
      <w:r w:rsidR="00C12AA5" w:rsidRPr="00C12AA5">
        <w:rPr>
          <w:rFonts w:ascii="Arial" w:hAnsi="Arial" w:cs="Arial"/>
        </w:rPr>
        <w:t>”</w:t>
      </w:r>
    </w:p>
  </w:footnote>
  <w:footnote w:id="13">
    <w:p w14:paraId="21740959" w14:textId="77777777" w:rsidR="003A25E2" w:rsidRPr="00734DD0" w:rsidRDefault="003A25E2" w:rsidP="003A25E2">
      <w:pPr>
        <w:pStyle w:val="FootnoteText"/>
        <w:jc w:val="both"/>
        <w:rPr>
          <w:rFonts w:ascii="Arial" w:hAnsi="Arial" w:cs="Arial"/>
          <w:lang w:val="en-US"/>
        </w:rPr>
      </w:pPr>
      <w:r w:rsidRPr="00734DD0">
        <w:rPr>
          <w:rStyle w:val="FootnoteReference"/>
          <w:rFonts w:ascii="Arial" w:hAnsi="Arial" w:cs="Arial"/>
        </w:rPr>
        <w:footnoteRef/>
      </w:r>
      <w:r w:rsidRPr="00734DD0">
        <w:rPr>
          <w:rFonts w:ascii="Arial" w:hAnsi="Arial" w:cs="Arial"/>
        </w:rPr>
        <w:t xml:space="preserve"> </w:t>
      </w:r>
      <w:r>
        <w:rPr>
          <w:rFonts w:ascii="Arial" w:hAnsi="Arial" w:cs="Arial"/>
        </w:rPr>
        <w:t>16 U.S.C. §</w:t>
      </w:r>
      <w:r w:rsidRPr="00734DD0">
        <w:rPr>
          <w:rFonts w:ascii="Arial" w:hAnsi="Arial" w:cs="Arial"/>
        </w:rPr>
        <w:t xml:space="preserve"> 824</w:t>
      </w:r>
      <w:r w:rsidRPr="00734DD0">
        <w:rPr>
          <w:rFonts w:ascii="Arial" w:hAnsi="Arial" w:cs="Arial"/>
          <w:lang w:val="en-US"/>
        </w:rPr>
        <w:t>(e).</w:t>
      </w:r>
    </w:p>
  </w:footnote>
  <w:footnote w:id="14">
    <w:p w14:paraId="7B977192" w14:textId="77777777" w:rsidR="003A25E2" w:rsidRPr="00953F47" w:rsidRDefault="003A25E2" w:rsidP="003A25E2">
      <w:pPr>
        <w:pStyle w:val="FootnoteText"/>
        <w:jc w:val="both"/>
        <w:rPr>
          <w:rFonts w:ascii="Arial" w:hAnsi="Arial" w:cs="Arial"/>
          <w:lang w:val="en-US"/>
        </w:rPr>
      </w:pPr>
      <w:r w:rsidRPr="00953F47">
        <w:rPr>
          <w:rStyle w:val="FootnoteReference"/>
          <w:rFonts w:ascii="Arial" w:hAnsi="Arial" w:cs="Arial"/>
        </w:rPr>
        <w:footnoteRef/>
      </w:r>
      <w:r w:rsidRPr="00953F47">
        <w:rPr>
          <w:rFonts w:ascii="Arial" w:hAnsi="Arial" w:cs="Arial"/>
        </w:rPr>
        <w:t xml:space="preserve"> </w:t>
      </w:r>
      <w:r w:rsidRPr="00953F47">
        <w:rPr>
          <w:rFonts w:ascii="Arial" w:hAnsi="Arial" w:cs="Arial"/>
          <w:lang w:val="en-US"/>
        </w:rPr>
        <w:t xml:space="preserve">PUCT Substantive Rule </w:t>
      </w:r>
      <w:r w:rsidRPr="00953F47">
        <w:rPr>
          <w:rFonts w:ascii="Arial" w:hAnsi="Arial" w:cs="Arial"/>
        </w:rPr>
        <w:t xml:space="preserve">25.191, Transmission Service Requirements, provides in </w:t>
      </w:r>
      <w:r w:rsidRPr="00953F47">
        <w:rPr>
          <w:rFonts w:ascii="Arial" w:hAnsi="Arial" w:cs="Arial"/>
          <w:lang w:val="en-US"/>
        </w:rPr>
        <w:t xml:space="preserve">pertinent </w:t>
      </w:r>
      <w:r w:rsidRPr="00953F47">
        <w:rPr>
          <w:rFonts w:ascii="Arial" w:hAnsi="Arial" w:cs="Arial"/>
        </w:rPr>
        <w:t>part: “Transmission service under Division 1 of this subchapter includes the provision of transmission service to an entity that is scheduling the export or import of power from the ERCOT region across a DC tie.”</w:t>
      </w:r>
    </w:p>
  </w:footnote>
  <w:footnote w:id="15">
    <w:p w14:paraId="7BECF0DC" w14:textId="77777777" w:rsidR="003154FF" w:rsidRPr="003154FF" w:rsidRDefault="003154FF" w:rsidP="003154FF">
      <w:pPr>
        <w:pStyle w:val="FootnoteText"/>
        <w:jc w:val="both"/>
        <w:rPr>
          <w:rFonts w:ascii="Arial" w:hAnsi="Arial" w:cs="Arial"/>
          <w:lang w:val="en-US"/>
        </w:rPr>
      </w:pPr>
      <w:r w:rsidRPr="003154FF">
        <w:rPr>
          <w:rStyle w:val="FootnoteReference"/>
          <w:rFonts w:ascii="Arial" w:hAnsi="Arial" w:cs="Arial"/>
        </w:rPr>
        <w:footnoteRef/>
      </w:r>
      <w:r w:rsidRPr="003154FF">
        <w:rPr>
          <w:rFonts w:ascii="Arial" w:hAnsi="Arial" w:cs="Arial"/>
        </w:rPr>
        <w:t xml:space="preserve"> </w:t>
      </w:r>
      <w:r w:rsidRPr="00DF360C">
        <w:rPr>
          <w:rFonts w:ascii="Arial" w:hAnsi="Arial"/>
          <w:i/>
          <w:lang w:val="en-US"/>
        </w:rPr>
        <w:t>See</w:t>
      </w:r>
      <w:r w:rsidRPr="003154FF">
        <w:rPr>
          <w:rFonts w:ascii="Arial" w:hAnsi="Arial" w:cs="Arial"/>
          <w:lang w:val="en-US"/>
        </w:rPr>
        <w:t xml:space="preserve"> Bylaws Article 2, Section 13 (“For the purposes of Segment classification, an aggregator, if such Member does not fit in any other classification, shall participate as an Independent REP.”).</w:t>
      </w:r>
    </w:p>
  </w:footnote>
  <w:footnote w:id="16">
    <w:p w14:paraId="4BE12DD1" w14:textId="77777777" w:rsidR="00732F15" w:rsidRPr="00732F15" w:rsidRDefault="00732F15" w:rsidP="00732F15">
      <w:pPr>
        <w:pStyle w:val="FootnoteText"/>
        <w:jc w:val="both"/>
        <w:rPr>
          <w:rFonts w:ascii="Arial" w:hAnsi="Arial" w:cs="Arial"/>
          <w:lang w:val="en-US"/>
        </w:rPr>
      </w:pPr>
      <w:r w:rsidRPr="00732F15">
        <w:rPr>
          <w:rStyle w:val="FootnoteReference"/>
          <w:rFonts w:ascii="Arial" w:hAnsi="Arial" w:cs="Arial"/>
        </w:rPr>
        <w:footnoteRef/>
      </w:r>
      <w:r w:rsidRPr="00732F15">
        <w:rPr>
          <w:rFonts w:ascii="Arial" w:hAnsi="Arial" w:cs="Arial"/>
        </w:rPr>
        <w:t xml:space="preserve"> </w:t>
      </w:r>
      <w:r w:rsidRPr="00732F15">
        <w:rPr>
          <w:rFonts w:ascii="Arial" w:hAnsi="Arial" w:cs="Arial"/>
          <w:lang w:val="en-US"/>
        </w:rPr>
        <w:t>Bylaws Article 2, Section 27 defines T&amp;D Entity as “[a]</w:t>
      </w:r>
      <w:proofErr w:type="spellStart"/>
      <w:r w:rsidRPr="00732F15">
        <w:rPr>
          <w:rFonts w:ascii="Arial" w:hAnsi="Arial" w:cs="Arial"/>
          <w:lang w:val="en-US"/>
        </w:rPr>
        <w:t>ny</w:t>
      </w:r>
      <w:proofErr w:type="spellEnd"/>
      <w:r w:rsidRPr="00732F15">
        <w:rPr>
          <w:rFonts w:ascii="Arial" w:hAnsi="Arial" w:cs="Arial"/>
          <w:lang w:val="en-US"/>
        </w:rPr>
        <w:t xml:space="preserve">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footnote>
  <w:footnote w:id="17">
    <w:p w14:paraId="70DC1C92" w14:textId="77777777" w:rsidR="00A566E4" w:rsidRPr="009C74A9" w:rsidRDefault="00A566E4" w:rsidP="00A566E4">
      <w:pPr>
        <w:pStyle w:val="FootnoteText"/>
        <w:rPr>
          <w:lang w:val="en-US"/>
        </w:rPr>
      </w:pPr>
      <w:r>
        <w:rPr>
          <w:rStyle w:val="FootnoteReference"/>
        </w:rPr>
        <w:footnoteRef/>
      </w:r>
      <w:r>
        <w:t xml:space="preserve"> </w:t>
      </w:r>
      <w:r w:rsidRPr="00FC7353">
        <w:rPr>
          <w:rFonts w:ascii="Arial" w:hAnsi="Arial" w:cs="Arial"/>
          <w:lang w:val="en-US"/>
        </w:rPr>
        <w:t>PUC Docket 45624, Order on Rehearing at 24, Finding of Fact 40.</w:t>
      </w:r>
      <w:r>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EA2B0" w14:textId="118ED3BD" w:rsidR="008B7415" w:rsidRPr="008B7415" w:rsidRDefault="00E25002" w:rsidP="008B7415">
    <w:pPr>
      <w:tabs>
        <w:tab w:val="right" w:pos="8640"/>
      </w:tabs>
      <w:ind w:left="-360"/>
      <w:rPr>
        <w:rFonts w:ascii="Arial" w:eastAsia="Times New Roman" w:hAnsi="Arial" w:cs="Arial"/>
        <w:b/>
      </w:rPr>
    </w:pPr>
    <w:r>
      <w:rPr>
        <w:noProof/>
      </w:rPr>
      <w:drawing>
        <wp:inline distT="0" distB="0" distL="0" distR="0" wp14:anchorId="15A7CD1D" wp14:editId="6174993D">
          <wp:extent cx="1066800" cy="4146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414655"/>
                  </a:xfrm>
                  <a:prstGeom prst="rect">
                    <a:avLst/>
                  </a:prstGeom>
                  <a:noFill/>
                </pic:spPr>
              </pic:pic>
            </a:graphicData>
          </a:graphic>
        </wp:inline>
      </w:drawing>
    </w:r>
    <w:r w:rsidR="00BE71AC">
      <w:tab/>
    </w:r>
    <w:r w:rsidR="008B7415" w:rsidRPr="00CF139A">
      <w:rPr>
        <w:rFonts w:ascii="Arial" w:eastAsia="Times New Roman" w:hAnsi="Arial" w:cs="Arial"/>
        <w:b/>
      </w:rPr>
      <w:t>MEMORANDUM</w:t>
    </w:r>
  </w:p>
  <w:p w14:paraId="1B440AA3" w14:textId="77777777" w:rsidR="00BE71AC" w:rsidRDefault="00BE71AC" w:rsidP="008B7415">
    <w:pPr>
      <w:pStyle w:val="Header"/>
      <w:jc w:val="both"/>
    </w:pPr>
    <w:r>
      <w:tab/>
    </w:r>
  </w:p>
  <w:p w14:paraId="1C58DABF" w14:textId="77777777" w:rsidR="00BE71AC" w:rsidRDefault="00BE71AC" w:rsidP="001A4C8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F6330"/>
    <w:multiLevelType w:val="hybridMultilevel"/>
    <w:tmpl w:val="F92A8ABE"/>
    <w:lvl w:ilvl="0" w:tplc="000C4CC0">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B618A"/>
    <w:multiLevelType w:val="hybridMultilevel"/>
    <w:tmpl w:val="D0469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92F44"/>
    <w:multiLevelType w:val="hybridMultilevel"/>
    <w:tmpl w:val="895AA2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2259EB"/>
    <w:multiLevelType w:val="hybridMultilevel"/>
    <w:tmpl w:val="A20E8F3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CAD6B7E"/>
    <w:multiLevelType w:val="hybridMultilevel"/>
    <w:tmpl w:val="C4DA8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4670DE"/>
    <w:multiLevelType w:val="hybridMultilevel"/>
    <w:tmpl w:val="8EDE3F62"/>
    <w:lvl w:ilvl="0" w:tplc="1A3E30F4">
      <w:start w:val="1"/>
      <w:numFmt w:val="bullet"/>
      <w:lvlText w:val="•"/>
      <w:lvlJc w:val="left"/>
      <w:pPr>
        <w:tabs>
          <w:tab w:val="num" w:pos="720"/>
        </w:tabs>
        <w:ind w:left="720" w:hanging="360"/>
      </w:pPr>
      <w:rPr>
        <w:rFonts w:ascii="Arial" w:hAnsi="Arial" w:hint="default"/>
      </w:rPr>
    </w:lvl>
    <w:lvl w:ilvl="1" w:tplc="8CDC51BE" w:tentative="1">
      <w:start w:val="1"/>
      <w:numFmt w:val="bullet"/>
      <w:lvlText w:val="•"/>
      <w:lvlJc w:val="left"/>
      <w:pPr>
        <w:tabs>
          <w:tab w:val="num" w:pos="1440"/>
        </w:tabs>
        <w:ind w:left="1440" w:hanging="360"/>
      </w:pPr>
      <w:rPr>
        <w:rFonts w:ascii="Arial" w:hAnsi="Arial" w:hint="default"/>
      </w:rPr>
    </w:lvl>
    <w:lvl w:ilvl="2" w:tplc="7A56AD0C" w:tentative="1">
      <w:start w:val="1"/>
      <w:numFmt w:val="bullet"/>
      <w:lvlText w:val="•"/>
      <w:lvlJc w:val="left"/>
      <w:pPr>
        <w:tabs>
          <w:tab w:val="num" w:pos="2160"/>
        </w:tabs>
        <w:ind w:left="2160" w:hanging="360"/>
      </w:pPr>
      <w:rPr>
        <w:rFonts w:ascii="Arial" w:hAnsi="Arial" w:hint="default"/>
      </w:rPr>
    </w:lvl>
    <w:lvl w:ilvl="3" w:tplc="26D07FFE" w:tentative="1">
      <w:start w:val="1"/>
      <w:numFmt w:val="bullet"/>
      <w:lvlText w:val="•"/>
      <w:lvlJc w:val="left"/>
      <w:pPr>
        <w:tabs>
          <w:tab w:val="num" w:pos="2880"/>
        </w:tabs>
        <w:ind w:left="2880" w:hanging="360"/>
      </w:pPr>
      <w:rPr>
        <w:rFonts w:ascii="Arial" w:hAnsi="Arial" w:hint="default"/>
      </w:rPr>
    </w:lvl>
    <w:lvl w:ilvl="4" w:tplc="B2B66200" w:tentative="1">
      <w:start w:val="1"/>
      <w:numFmt w:val="bullet"/>
      <w:lvlText w:val="•"/>
      <w:lvlJc w:val="left"/>
      <w:pPr>
        <w:tabs>
          <w:tab w:val="num" w:pos="3600"/>
        </w:tabs>
        <w:ind w:left="3600" w:hanging="360"/>
      </w:pPr>
      <w:rPr>
        <w:rFonts w:ascii="Arial" w:hAnsi="Arial" w:hint="default"/>
      </w:rPr>
    </w:lvl>
    <w:lvl w:ilvl="5" w:tplc="F488C000" w:tentative="1">
      <w:start w:val="1"/>
      <w:numFmt w:val="bullet"/>
      <w:lvlText w:val="•"/>
      <w:lvlJc w:val="left"/>
      <w:pPr>
        <w:tabs>
          <w:tab w:val="num" w:pos="4320"/>
        </w:tabs>
        <w:ind w:left="4320" w:hanging="360"/>
      </w:pPr>
      <w:rPr>
        <w:rFonts w:ascii="Arial" w:hAnsi="Arial" w:hint="default"/>
      </w:rPr>
    </w:lvl>
    <w:lvl w:ilvl="6" w:tplc="517C570E" w:tentative="1">
      <w:start w:val="1"/>
      <w:numFmt w:val="bullet"/>
      <w:lvlText w:val="•"/>
      <w:lvlJc w:val="left"/>
      <w:pPr>
        <w:tabs>
          <w:tab w:val="num" w:pos="5040"/>
        </w:tabs>
        <w:ind w:left="5040" w:hanging="360"/>
      </w:pPr>
      <w:rPr>
        <w:rFonts w:ascii="Arial" w:hAnsi="Arial" w:hint="default"/>
      </w:rPr>
    </w:lvl>
    <w:lvl w:ilvl="7" w:tplc="0CBC0538" w:tentative="1">
      <w:start w:val="1"/>
      <w:numFmt w:val="bullet"/>
      <w:lvlText w:val="•"/>
      <w:lvlJc w:val="left"/>
      <w:pPr>
        <w:tabs>
          <w:tab w:val="num" w:pos="5760"/>
        </w:tabs>
        <w:ind w:left="5760" w:hanging="360"/>
      </w:pPr>
      <w:rPr>
        <w:rFonts w:ascii="Arial" w:hAnsi="Arial" w:hint="default"/>
      </w:rPr>
    </w:lvl>
    <w:lvl w:ilvl="8" w:tplc="B1E6349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B3F7638"/>
    <w:multiLevelType w:val="hybridMultilevel"/>
    <w:tmpl w:val="2528F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8115E2B"/>
    <w:multiLevelType w:val="hybridMultilevel"/>
    <w:tmpl w:val="D5BE6D0C"/>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295A11B1"/>
    <w:multiLevelType w:val="hybridMultilevel"/>
    <w:tmpl w:val="8EE2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860BA"/>
    <w:multiLevelType w:val="hybridMultilevel"/>
    <w:tmpl w:val="1A766040"/>
    <w:lvl w:ilvl="0" w:tplc="ECB447F4">
      <w:start w:val="1"/>
      <w:numFmt w:val="upperRoman"/>
      <w:lvlText w:val="%1."/>
      <w:lvlJc w:val="left"/>
      <w:pPr>
        <w:ind w:left="1440" w:hanging="360"/>
      </w:pPr>
      <w:rPr>
        <w:rFonts w:ascii="Times New Roman" w:eastAsia="Calibri" w:hAnsi="Times New Roman" w:cs="Times New Roman"/>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ACC5EE1"/>
    <w:multiLevelType w:val="hybridMultilevel"/>
    <w:tmpl w:val="729064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Symbol"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Symbol"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3C956BC6"/>
    <w:multiLevelType w:val="hybridMultilevel"/>
    <w:tmpl w:val="76F2B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E80817"/>
    <w:multiLevelType w:val="hybridMultilevel"/>
    <w:tmpl w:val="856046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F2C42A3"/>
    <w:multiLevelType w:val="hybridMultilevel"/>
    <w:tmpl w:val="07AA710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1633CA9"/>
    <w:multiLevelType w:val="hybridMultilevel"/>
    <w:tmpl w:val="296A3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F86C70"/>
    <w:multiLevelType w:val="hybridMultilevel"/>
    <w:tmpl w:val="81FE8880"/>
    <w:lvl w:ilvl="0" w:tplc="04090013">
      <w:start w:val="1"/>
      <w:numFmt w:val="upperRoman"/>
      <w:lvlText w:val="%1."/>
      <w:lvlJc w:val="righ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6" w15:restartNumberingAfterBreak="0">
    <w:nsid w:val="49D3789F"/>
    <w:multiLevelType w:val="hybridMultilevel"/>
    <w:tmpl w:val="96D61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510ECF"/>
    <w:multiLevelType w:val="hybridMultilevel"/>
    <w:tmpl w:val="C0D8B660"/>
    <w:lvl w:ilvl="0" w:tplc="34144494">
      <w:start w:val="1"/>
      <w:numFmt w:val="decimal"/>
      <w:lvlText w:val="(%1)"/>
      <w:lvlJc w:val="left"/>
      <w:pPr>
        <w:tabs>
          <w:tab w:val="num" w:pos="2700"/>
        </w:tabs>
        <w:ind w:left="3060" w:hanging="360"/>
      </w:pPr>
      <w:rPr>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4D335B5A"/>
    <w:multiLevelType w:val="hybridMultilevel"/>
    <w:tmpl w:val="88A0C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F37672"/>
    <w:multiLevelType w:val="hybridMultilevel"/>
    <w:tmpl w:val="ACF4ACAC"/>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0" w15:restartNumberingAfterBreak="0">
    <w:nsid w:val="54883C11"/>
    <w:multiLevelType w:val="hybridMultilevel"/>
    <w:tmpl w:val="A928EE24"/>
    <w:lvl w:ilvl="0" w:tplc="D340BF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516804"/>
    <w:multiLevelType w:val="hybridMultilevel"/>
    <w:tmpl w:val="FE9E8C0A"/>
    <w:lvl w:ilvl="0" w:tplc="F3385C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B713A0"/>
    <w:multiLevelType w:val="hybridMultilevel"/>
    <w:tmpl w:val="4748FF3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5F373C7"/>
    <w:multiLevelType w:val="hybridMultilevel"/>
    <w:tmpl w:val="25186DC2"/>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68C47BF"/>
    <w:multiLevelType w:val="hybridMultilevel"/>
    <w:tmpl w:val="37F4E720"/>
    <w:lvl w:ilvl="0" w:tplc="9F74C460">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A33B54"/>
    <w:multiLevelType w:val="hybridMultilevel"/>
    <w:tmpl w:val="C3F07D32"/>
    <w:lvl w:ilvl="0" w:tplc="7BF04772">
      <w:start w:val="1"/>
      <w:numFmt w:val="lowerRoman"/>
      <w:lvlText w:val="(%1)"/>
      <w:lvlJc w:val="left"/>
      <w:pPr>
        <w:tabs>
          <w:tab w:val="num" w:pos="2160"/>
        </w:tabs>
        <w:ind w:left="2160" w:hanging="720"/>
      </w:pPr>
    </w:lvl>
    <w:lvl w:ilvl="1" w:tplc="CA8E2B98">
      <w:start w:val="4"/>
      <w:numFmt w:val="decimal"/>
      <w:lvlText w:val="(%2)"/>
      <w:lvlJc w:val="left"/>
      <w:pPr>
        <w:tabs>
          <w:tab w:val="num" w:pos="108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70287791"/>
    <w:multiLevelType w:val="hybridMultilevel"/>
    <w:tmpl w:val="F9B65B3C"/>
    <w:lvl w:ilvl="0" w:tplc="074A0548">
      <w:start w:val="3"/>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9BB5775"/>
    <w:multiLevelType w:val="hybridMultilevel"/>
    <w:tmpl w:val="ED8CADC2"/>
    <w:lvl w:ilvl="0" w:tplc="7BF04772">
      <w:start w:val="1"/>
      <w:numFmt w:val="lowerRoman"/>
      <w:lvlText w:val="(%1)"/>
      <w:lvlJc w:val="left"/>
      <w:pPr>
        <w:tabs>
          <w:tab w:val="num" w:pos="2520"/>
        </w:tabs>
        <w:ind w:left="252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D9E777A"/>
    <w:multiLevelType w:val="hybridMultilevel"/>
    <w:tmpl w:val="25ACA77C"/>
    <w:lvl w:ilvl="0" w:tplc="5EC66E2C">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 w15:restartNumberingAfterBreak="0">
    <w:nsid w:val="7EBB1242"/>
    <w:multiLevelType w:val="hybridMultilevel"/>
    <w:tmpl w:val="28C6B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10"/>
  </w:num>
  <w:num w:numId="4">
    <w:abstractNumId w:val="8"/>
  </w:num>
  <w:num w:numId="5">
    <w:abstractNumId w:val="16"/>
  </w:num>
  <w:num w:numId="6">
    <w:abstractNumId w:val="22"/>
  </w:num>
  <w:num w:numId="7">
    <w:abstractNumId w:val="20"/>
  </w:num>
  <w:num w:numId="8">
    <w:abstractNumId w:val="14"/>
  </w:num>
  <w:num w:numId="9">
    <w:abstractNumId w:val="12"/>
  </w:num>
  <w:num w:numId="10">
    <w:abstractNumId w:val="15"/>
  </w:num>
  <w:num w:numId="11">
    <w:abstractNumId w:val="23"/>
  </w:num>
  <w:num w:numId="12">
    <w:abstractNumId w:val="1"/>
  </w:num>
  <w:num w:numId="13">
    <w:abstractNumId w:val="7"/>
  </w:num>
  <w:num w:numId="14">
    <w:abstractNumId w:val="28"/>
  </w:num>
  <w:num w:numId="15">
    <w:abstractNumId w:val="26"/>
  </w:num>
  <w:num w:numId="16">
    <w:abstractNumId w:val="9"/>
  </w:num>
  <w:num w:numId="17">
    <w:abstractNumId w:val="19"/>
  </w:num>
  <w:num w:numId="18">
    <w:abstractNumId w:val="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5"/>
  </w:num>
  <w:num w:numId="23">
    <w:abstractNumId w:val="27"/>
  </w:num>
  <w:num w:numId="24">
    <w:abstractNumId w:val="13"/>
  </w:num>
  <w:num w:numId="25">
    <w:abstractNumId w:val="6"/>
  </w:num>
  <w:num w:numId="26">
    <w:abstractNumId w:val="29"/>
  </w:num>
  <w:num w:numId="27">
    <w:abstractNumId w:val="11"/>
  </w:num>
  <w:num w:numId="28">
    <w:abstractNumId w:val="18"/>
  </w:num>
  <w:num w:numId="29">
    <w:abstractNumId w:val="4"/>
  </w:num>
  <w:num w:numId="30">
    <w:abstractNumId w:val="2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561"/>
    <w:rsid w:val="00001098"/>
    <w:rsid w:val="000015BE"/>
    <w:rsid w:val="00002F63"/>
    <w:rsid w:val="00004653"/>
    <w:rsid w:val="000313AE"/>
    <w:rsid w:val="00037C31"/>
    <w:rsid w:val="00046C8F"/>
    <w:rsid w:val="000558D5"/>
    <w:rsid w:val="00055B38"/>
    <w:rsid w:val="00055F7A"/>
    <w:rsid w:val="00060FC2"/>
    <w:rsid w:val="000663B9"/>
    <w:rsid w:val="00082A98"/>
    <w:rsid w:val="00091F36"/>
    <w:rsid w:val="00092E1A"/>
    <w:rsid w:val="000A3CA2"/>
    <w:rsid w:val="000A5568"/>
    <w:rsid w:val="000C1B0A"/>
    <w:rsid w:val="000C1F32"/>
    <w:rsid w:val="000E4616"/>
    <w:rsid w:val="000E7452"/>
    <w:rsid w:val="000E7EDB"/>
    <w:rsid w:val="001178CF"/>
    <w:rsid w:val="00125AA2"/>
    <w:rsid w:val="00126440"/>
    <w:rsid w:val="00137EE2"/>
    <w:rsid w:val="00141997"/>
    <w:rsid w:val="00143B74"/>
    <w:rsid w:val="00144084"/>
    <w:rsid w:val="001458EB"/>
    <w:rsid w:val="001510CE"/>
    <w:rsid w:val="00170206"/>
    <w:rsid w:val="0017058E"/>
    <w:rsid w:val="00171773"/>
    <w:rsid w:val="001763EE"/>
    <w:rsid w:val="0018177E"/>
    <w:rsid w:val="00183E28"/>
    <w:rsid w:val="00193B95"/>
    <w:rsid w:val="001971D1"/>
    <w:rsid w:val="001A11B3"/>
    <w:rsid w:val="001A1282"/>
    <w:rsid w:val="001A25E7"/>
    <w:rsid w:val="001A2874"/>
    <w:rsid w:val="001A4C83"/>
    <w:rsid w:val="001A6EFA"/>
    <w:rsid w:val="001B453A"/>
    <w:rsid w:val="001B50F7"/>
    <w:rsid w:val="001C5892"/>
    <w:rsid w:val="001C5C1F"/>
    <w:rsid w:val="001C68CF"/>
    <w:rsid w:val="001D07D7"/>
    <w:rsid w:val="001D0B17"/>
    <w:rsid w:val="001D12E4"/>
    <w:rsid w:val="001D2B3E"/>
    <w:rsid w:val="001D60BA"/>
    <w:rsid w:val="001E22AD"/>
    <w:rsid w:val="001E25B6"/>
    <w:rsid w:val="00207187"/>
    <w:rsid w:val="002078E2"/>
    <w:rsid w:val="002307B0"/>
    <w:rsid w:val="00232978"/>
    <w:rsid w:val="00240948"/>
    <w:rsid w:val="0025007F"/>
    <w:rsid w:val="00256E93"/>
    <w:rsid w:val="00270A63"/>
    <w:rsid w:val="00274ABF"/>
    <w:rsid w:val="00281BBD"/>
    <w:rsid w:val="002824DC"/>
    <w:rsid w:val="00284561"/>
    <w:rsid w:val="00285B33"/>
    <w:rsid w:val="002931E1"/>
    <w:rsid w:val="002A0C4C"/>
    <w:rsid w:val="002A3CD1"/>
    <w:rsid w:val="002A54E4"/>
    <w:rsid w:val="002B1FF6"/>
    <w:rsid w:val="002B4E16"/>
    <w:rsid w:val="002B65E9"/>
    <w:rsid w:val="002C0304"/>
    <w:rsid w:val="002C10FD"/>
    <w:rsid w:val="002C1224"/>
    <w:rsid w:val="002C2A3D"/>
    <w:rsid w:val="002C58F7"/>
    <w:rsid w:val="002D2AA5"/>
    <w:rsid w:val="002E30D1"/>
    <w:rsid w:val="00303844"/>
    <w:rsid w:val="00306EBA"/>
    <w:rsid w:val="00313080"/>
    <w:rsid w:val="003154FF"/>
    <w:rsid w:val="003200A4"/>
    <w:rsid w:val="00342DB7"/>
    <w:rsid w:val="0034556B"/>
    <w:rsid w:val="0034574F"/>
    <w:rsid w:val="00347EEB"/>
    <w:rsid w:val="00353BD1"/>
    <w:rsid w:val="00354488"/>
    <w:rsid w:val="003545F4"/>
    <w:rsid w:val="003568BA"/>
    <w:rsid w:val="00357D11"/>
    <w:rsid w:val="0036401D"/>
    <w:rsid w:val="00373F4F"/>
    <w:rsid w:val="003771EA"/>
    <w:rsid w:val="00380CDF"/>
    <w:rsid w:val="00387CC4"/>
    <w:rsid w:val="00390549"/>
    <w:rsid w:val="003A25E2"/>
    <w:rsid w:val="003A5F9C"/>
    <w:rsid w:val="003B54E2"/>
    <w:rsid w:val="003C3F78"/>
    <w:rsid w:val="003D0EA4"/>
    <w:rsid w:val="003D2486"/>
    <w:rsid w:val="003D55B1"/>
    <w:rsid w:val="003D6BFB"/>
    <w:rsid w:val="003E3CEC"/>
    <w:rsid w:val="003F74C7"/>
    <w:rsid w:val="00402B5B"/>
    <w:rsid w:val="00410C0E"/>
    <w:rsid w:val="00432B7F"/>
    <w:rsid w:val="00434513"/>
    <w:rsid w:val="00434D02"/>
    <w:rsid w:val="00443A9D"/>
    <w:rsid w:val="004463B7"/>
    <w:rsid w:val="0045687B"/>
    <w:rsid w:val="004616C8"/>
    <w:rsid w:val="0046210F"/>
    <w:rsid w:val="0046662A"/>
    <w:rsid w:val="00466C96"/>
    <w:rsid w:val="004709F8"/>
    <w:rsid w:val="00487EFE"/>
    <w:rsid w:val="0049176B"/>
    <w:rsid w:val="0049237A"/>
    <w:rsid w:val="004937E6"/>
    <w:rsid w:val="00497A3F"/>
    <w:rsid w:val="004A4390"/>
    <w:rsid w:val="004A6778"/>
    <w:rsid w:val="004A6ACE"/>
    <w:rsid w:val="004B28BE"/>
    <w:rsid w:val="004B62F7"/>
    <w:rsid w:val="004C6A82"/>
    <w:rsid w:val="004D1564"/>
    <w:rsid w:val="004D6641"/>
    <w:rsid w:val="004E76B1"/>
    <w:rsid w:val="0050268E"/>
    <w:rsid w:val="005036C9"/>
    <w:rsid w:val="00511F6F"/>
    <w:rsid w:val="005123F7"/>
    <w:rsid w:val="00526CAA"/>
    <w:rsid w:val="00526CB1"/>
    <w:rsid w:val="00537E0F"/>
    <w:rsid w:val="00547AFE"/>
    <w:rsid w:val="005562B0"/>
    <w:rsid w:val="005635E4"/>
    <w:rsid w:val="00572631"/>
    <w:rsid w:val="00576486"/>
    <w:rsid w:val="005908E8"/>
    <w:rsid w:val="005A41EB"/>
    <w:rsid w:val="005A7C32"/>
    <w:rsid w:val="005B66D4"/>
    <w:rsid w:val="005D77CE"/>
    <w:rsid w:val="005E0ACD"/>
    <w:rsid w:val="005E171E"/>
    <w:rsid w:val="005E2C30"/>
    <w:rsid w:val="005E4607"/>
    <w:rsid w:val="005E5433"/>
    <w:rsid w:val="005F31CD"/>
    <w:rsid w:val="005F7B0D"/>
    <w:rsid w:val="00603848"/>
    <w:rsid w:val="00614DEA"/>
    <w:rsid w:val="00622A1E"/>
    <w:rsid w:val="006250B7"/>
    <w:rsid w:val="006270C7"/>
    <w:rsid w:val="006301CD"/>
    <w:rsid w:val="006309BA"/>
    <w:rsid w:val="0063297C"/>
    <w:rsid w:val="0064005F"/>
    <w:rsid w:val="0064078D"/>
    <w:rsid w:val="0064383F"/>
    <w:rsid w:val="00653384"/>
    <w:rsid w:val="00666C77"/>
    <w:rsid w:val="00671A2D"/>
    <w:rsid w:val="00675BB3"/>
    <w:rsid w:val="0068188A"/>
    <w:rsid w:val="00683314"/>
    <w:rsid w:val="00684974"/>
    <w:rsid w:val="0069796E"/>
    <w:rsid w:val="006B0A40"/>
    <w:rsid w:val="006B1935"/>
    <w:rsid w:val="006D3008"/>
    <w:rsid w:val="006F76A1"/>
    <w:rsid w:val="00700C63"/>
    <w:rsid w:val="00701203"/>
    <w:rsid w:val="0070388D"/>
    <w:rsid w:val="00732F15"/>
    <w:rsid w:val="00734DD0"/>
    <w:rsid w:val="00745C85"/>
    <w:rsid w:val="00750BCC"/>
    <w:rsid w:val="00762B9C"/>
    <w:rsid w:val="00764C51"/>
    <w:rsid w:val="00773708"/>
    <w:rsid w:val="0077452E"/>
    <w:rsid w:val="00785381"/>
    <w:rsid w:val="00791ECD"/>
    <w:rsid w:val="0079369F"/>
    <w:rsid w:val="007A55D6"/>
    <w:rsid w:val="007B1897"/>
    <w:rsid w:val="007C1039"/>
    <w:rsid w:val="007C2F10"/>
    <w:rsid w:val="007C402A"/>
    <w:rsid w:val="007D0EC8"/>
    <w:rsid w:val="007F26A4"/>
    <w:rsid w:val="008062B6"/>
    <w:rsid w:val="00806702"/>
    <w:rsid w:val="008100E0"/>
    <w:rsid w:val="008141B9"/>
    <w:rsid w:val="008141DD"/>
    <w:rsid w:val="00814B26"/>
    <w:rsid w:val="00815850"/>
    <w:rsid w:val="008159AB"/>
    <w:rsid w:val="008163CF"/>
    <w:rsid w:val="00820330"/>
    <w:rsid w:val="00821392"/>
    <w:rsid w:val="008263AE"/>
    <w:rsid w:val="00830C33"/>
    <w:rsid w:val="008359A5"/>
    <w:rsid w:val="00837407"/>
    <w:rsid w:val="00841428"/>
    <w:rsid w:val="00846FFE"/>
    <w:rsid w:val="00854D2F"/>
    <w:rsid w:val="00863461"/>
    <w:rsid w:val="00865D91"/>
    <w:rsid w:val="008814FD"/>
    <w:rsid w:val="00881A81"/>
    <w:rsid w:val="00887F56"/>
    <w:rsid w:val="0089066C"/>
    <w:rsid w:val="008A2B88"/>
    <w:rsid w:val="008B3E7F"/>
    <w:rsid w:val="008B451D"/>
    <w:rsid w:val="008B7415"/>
    <w:rsid w:val="008C2132"/>
    <w:rsid w:val="008C3B7F"/>
    <w:rsid w:val="008D48FB"/>
    <w:rsid w:val="008E109D"/>
    <w:rsid w:val="008E2927"/>
    <w:rsid w:val="008F72EB"/>
    <w:rsid w:val="00913702"/>
    <w:rsid w:val="0091378A"/>
    <w:rsid w:val="0091576C"/>
    <w:rsid w:val="0091717D"/>
    <w:rsid w:val="009174B5"/>
    <w:rsid w:val="009177B2"/>
    <w:rsid w:val="00922F97"/>
    <w:rsid w:val="009537B2"/>
    <w:rsid w:val="00953F47"/>
    <w:rsid w:val="00961E6C"/>
    <w:rsid w:val="00962D69"/>
    <w:rsid w:val="009657DA"/>
    <w:rsid w:val="00972057"/>
    <w:rsid w:val="00987F5B"/>
    <w:rsid w:val="009913E5"/>
    <w:rsid w:val="009935EC"/>
    <w:rsid w:val="00994583"/>
    <w:rsid w:val="009A4394"/>
    <w:rsid w:val="009A60DA"/>
    <w:rsid w:val="009C1DBE"/>
    <w:rsid w:val="009C695D"/>
    <w:rsid w:val="009E16B4"/>
    <w:rsid w:val="009E1CA5"/>
    <w:rsid w:val="009E53D3"/>
    <w:rsid w:val="00A02A62"/>
    <w:rsid w:val="00A03FB3"/>
    <w:rsid w:val="00A14477"/>
    <w:rsid w:val="00A31074"/>
    <w:rsid w:val="00A314C8"/>
    <w:rsid w:val="00A42AEA"/>
    <w:rsid w:val="00A43CF0"/>
    <w:rsid w:val="00A44ACD"/>
    <w:rsid w:val="00A566E4"/>
    <w:rsid w:val="00A579C4"/>
    <w:rsid w:val="00A62ACB"/>
    <w:rsid w:val="00A67D96"/>
    <w:rsid w:val="00A72806"/>
    <w:rsid w:val="00A75545"/>
    <w:rsid w:val="00A87838"/>
    <w:rsid w:val="00A8787F"/>
    <w:rsid w:val="00A91961"/>
    <w:rsid w:val="00A938AC"/>
    <w:rsid w:val="00AA1D88"/>
    <w:rsid w:val="00AA5803"/>
    <w:rsid w:val="00AB2A80"/>
    <w:rsid w:val="00AB4A42"/>
    <w:rsid w:val="00AD66AA"/>
    <w:rsid w:val="00AE65D8"/>
    <w:rsid w:val="00AF7628"/>
    <w:rsid w:val="00B10C5B"/>
    <w:rsid w:val="00B12EFC"/>
    <w:rsid w:val="00B175FC"/>
    <w:rsid w:val="00B26450"/>
    <w:rsid w:val="00B26BCC"/>
    <w:rsid w:val="00B405DD"/>
    <w:rsid w:val="00B44889"/>
    <w:rsid w:val="00B47FA7"/>
    <w:rsid w:val="00B547D5"/>
    <w:rsid w:val="00B553DC"/>
    <w:rsid w:val="00B576B5"/>
    <w:rsid w:val="00B61860"/>
    <w:rsid w:val="00B6462B"/>
    <w:rsid w:val="00B66676"/>
    <w:rsid w:val="00B7409B"/>
    <w:rsid w:val="00B80905"/>
    <w:rsid w:val="00B810A1"/>
    <w:rsid w:val="00B82007"/>
    <w:rsid w:val="00B9071C"/>
    <w:rsid w:val="00B97369"/>
    <w:rsid w:val="00BA06F3"/>
    <w:rsid w:val="00BD1D78"/>
    <w:rsid w:val="00BD1F3E"/>
    <w:rsid w:val="00BD352F"/>
    <w:rsid w:val="00BD7226"/>
    <w:rsid w:val="00BE71AC"/>
    <w:rsid w:val="00C00BC0"/>
    <w:rsid w:val="00C00D7D"/>
    <w:rsid w:val="00C02E4F"/>
    <w:rsid w:val="00C046FB"/>
    <w:rsid w:val="00C05750"/>
    <w:rsid w:val="00C10A4F"/>
    <w:rsid w:val="00C12AA5"/>
    <w:rsid w:val="00C168AC"/>
    <w:rsid w:val="00C21F20"/>
    <w:rsid w:val="00C235A5"/>
    <w:rsid w:val="00C4791C"/>
    <w:rsid w:val="00C506DF"/>
    <w:rsid w:val="00C54570"/>
    <w:rsid w:val="00C61226"/>
    <w:rsid w:val="00C6675E"/>
    <w:rsid w:val="00C751B0"/>
    <w:rsid w:val="00C752F8"/>
    <w:rsid w:val="00C84C96"/>
    <w:rsid w:val="00C9048D"/>
    <w:rsid w:val="00C927DA"/>
    <w:rsid w:val="00C93F3B"/>
    <w:rsid w:val="00CA59BC"/>
    <w:rsid w:val="00CB3BB9"/>
    <w:rsid w:val="00CC478C"/>
    <w:rsid w:val="00CC71F3"/>
    <w:rsid w:val="00CC7605"/>
    <w:rsid w:val="00CD6B4D"/>
    <w:rsid w:val="00CE3317"/>
    <w:rsid w:val="00CF139A"/>
    <w:rsid w:val="00D00EB4"/>
    <w:rsid w:val="00D06C0A"/>
    <w:rsid w:val="00D1071C"/>
    <w:rsid w:val="00D11BBA"/>
    <w:rsid w:val="00D1376C"/>
    <w:rsid w:val="00D25E7F"/>
    <w:rsid w:val="00D342FB"/>
    <w:rsid w:val="00D35CE3"/>
    <w:rsid w:val="00D37C60"/>
    <w:rsid w:val="00D52670"/>
    <w:rsid w:val="00D5268F"/>
    <w:rsid w:val="00D55CC2"/>
    <w:rsid w:val="00D65652"/>
    <w:rsid w:val="00D92A25"/>
    <w:rsid w:val="00DA34E4"/>
    <w:rsid w:val="00DA5AB9"/>
    <w:rsid w:val="00DB13BC"/>
    <w:rsid w:val="00DB41DE"/>
    <w:rsid w:val="00DC2C05"/>
    <w:rsid w:val="00DD0CBF"/>
    <w:rsid w:val="00DD1C18"/>
    <w:rsid w:val="00DD2556"/>
    <w:rsid w:val="00DE0312"/>
    <w:rsid w:val="00DE46E9"/>
    <w:rsid w:val="00DF008A"/>
    <w:rsid w:val="00DF360C"/>
    <w:rsid w:val="00E03214"/>
    <w:rsid w:val="00E04CB4"/>
    <w:rsid w:val="00E04ECB"/>
    <w:rsid w:val="00E13F77"/>
    <w:rsid w:val="00E16020"/>
    <w:rsid w:val="00E1741D"/>
    <w:rsid w:val="00E2345C"/>
    <w:rsid w:val="00E25002"/>
    <w:rsid w:val="00E3799A"/>
    <w:rsid w:val="00E409D2"/>
    <w:rsid w:val="00E44432"/>
    <w:rsid w:val="00E50496"/>
    <w:rsid w:val="00E51151"/>
    <w:rsid w:val="00E56361"/>
    <w:rsid w:val="00E60F19"/>
    <w:rsid w:val="00E61022"/>
    <w:rsid w:val="00E70A47"/>
    <w:rsid w:val="00E81045"/>
    <w:rsid w:val="00E850E7"/>
    <w:rsid w:val="00E900BA"/>
    <w:rsid w:val="00E90EFE"/>
    <w:rsid w:val="00E91BD1"/>
    <w:rsid w:val="00E9560B"/>
    <w:rsid w:val="00EA32F5"/>
    <w:rsid w:val="00EA3413"/>
    <w:rsid w:val="00EA6161"/>
    <w:rsid w:val="00EB4D7C"/>
    <w:rsid w:val="00ED58D8"/>
    <w:rsid w:val="00EE7663"/>
    <w:rsid w:val="00EF6F0B"/>
    <w:rsid w:val="00F046DD"/>
    <w:rsid w:val="00F10E82"/>
    <w:rsid w:val="00F144D3"/>
    <w:rsid w:val="00F20B79"/>
    <w:rsid w:val="00F20E8F"/>
    <w:rsid w:val="00F30CDF"/>
    <w:rsid w:val="00F317A2"/>
    <w:rsid w:val="00F32F11"/>
    <w:rsid w:val="00F33923"/>
    <w:rsid w:val="00F40293"/>
    <w:rsid w:val="00F41DAF"/>
    <w:rsid w:val="00F54DE9"/>
    <w:rsid w:val="00F62E6B"/>
    <w:rsid w:val="00F65110"/>
    <w:rsid w:val="00F66533"/>
    <w:rsid w:val="00F67F84"/>
    <w:rsid w:val="00F750D9"/>
    <w:rsid w:val="00F75410"/>
    <w:rsid w:val="00F756D8"/>
    <w:rsid w:val="00F91C2C"/>
    <w:rsid w:val="00FA0526"/>
    <w:rsid w:val="00FA3942"/>
    <w:rsid w:val="00FB0722"/>
    <w:rsid w:val="00FB3FFC"/>
    <w:rsid w:val="00FC47C7"/>
    <w:rsid w:val="00FC4D37"/>
    <w:rsid w:val="00FC5AC7"/>
    <w:rsid w:val="00FC7353"/>
    <w:rsid w:val="00FC745C"/>
    <w:rsid w:val="00FE2730"/>
    <w:rsid w:val="00FF2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3A1379A"/>
  <w15:chartTrackingRefBased/>
  <w15:docId w15:val="{682E55FC-5FB4-4750-AF1C-E151E5580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561"/>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79C"/>
    <w:pPr>
      <w:ind w:left="720"/>
      <w:contextualSpacing/>
    </w:pPr>
  </w:style>
  <w:style w:type="paragraph" w:styleId="Header">
    <w:name w:val="header"/>
    <w:basedOn w:val="Normal"/>
    <w:link w:val="HeaderChar"/>
    <w:uiPriority w:val="99"/>
    <w:unhideWhenUsed/>
    <w:rsid w:val="00A724AE"/>
    <w:pPr>
      <w:tabs>
        <w:tab w:val="center" w:pos="4680"/>
        <w:tab w:val="right" w:pos="9360"/>
      </w:tabs>
    </w:pPr>
    <w:rPr>
      <w:lang w:val="x-none" w:eastAsia="x-none"/>
    </w:rPr>
  </w:style>
  <w:style w:type="character" w:customStyle="1" w:styleId="HeaderChar">
    <w:name w:val="Header Char"/>
    <w:link w:val="Header"/>
    <w:uiPriority w:val="99"/>
    <w:rsid w:val="00A724AE"/>
    <w:rPr>
      <w:rFonts w:ascii="Times New Roman" w:hAnsi="Times New Roman" w:cs="Times New Roman"/>
      <w:sz w:val="24"/>
      <w:szCs w:val="24"/>
    </w:rPr>
  </w:style>
  <w:style w:type="paragraph" w:styleId="Footer">
    <w:name w:val="footer"/>
    <w:basedOn w:val="Normal"/>
    <w:link w:val="FooterChar"/>
    <w:uiPriority w:val="99"/>
    <w:unhideWhenUsed/>
    <w:rsid w:val="00A724AE"/>
    <w:pPr>
      <w:tabs>
        <w:tab w:val="center" w:pos="4680"/>
        <w:tab w:val="right" w:pos="9360"/>
      </w:tabs>
    </w:pPr>
    <w:rPr>
      <w:lang w:val="x-none" w:eastAsia="x-none"/>
    </w:rPr>
  </w:style>
  <w:style w:type="character" w:customStyle="1" w:styleId="FooterChar">
    <w:name w:val="Footer Char"/>
    <w:link w:val="Footer"/>
    <w:uiPriority w:val="99"/>
    <w:rsid w:val="00A724AE"/>
    <w:rPr>
      <w:rFonts w:ascii="Times New Roman" w:hAnsi="Times New Roman" w:cs="Times New Roman"/>
      <w:sz w:val="24"/>
      <w:szCs w:val="24"/>
    </w:rPr>
  </w:style>
  <w:style w:type="paragraph" w:styleId="FootnoteText">
    <w:name w:val="footnote text"/>
    <w:basedOn w:val="Normal"/>
    <w:link w:val="FootnoteTextChar"/>
    <w:unhideWhenUsed/>
    <w:rsid w:val="00E25002"/>
    <w:rPr>
      <w:sz w:val="20"/>
      <w:szCs w:val="20"/>
      <w:lang w:val="x-none" w:eastAsia="x-none"/>
    </w:rPr>
  </w:style>
  <w:style w:type="character" w:customStyle="1" w:styleId="FootnoteTextChar">
    <w:name w:val="Footnote Text Char"/>
    <w:link w:val="FootnoteText"/>
    <w:rsid w:val="00F12B4E"/>
    <w:rPr>
      <w:rFonts w:ascii="Times New Roman" w:hAnsi="Times New Roman"/>
      <w:lang w:val="x-none" w:eastAsia="x-none"/>
    </w:rPr>
  </w:style>
  <w:style w:type="character" w:styleId="FootnoteReference">
    <w:name w:val="footnote reference"/>
    <w:semiHidden/>
    <w:unhideWhenUsed/>
    <w:rsid w:val="00F12B4E"/>
    <w:rPr>
      <w:vertAlign w:val="superscript"/>
    </w:rPr>
  </w:style>
  <w:style w:type="paragraph" w:styleId="BalloonText">
    <w:name w:val="Balloon Text"/>
    <w:basedOn w:val="Normal"/>
    <w:link w:val="BalloonTextChar"/>
    <w:uiPriority w:val="99"/>
    <w:semiHidden/>
    <w:unhideWhenUsed/>
    <w:rsid w:val="00D450CB"/>
    <w:rPr>
      <w:rFonts w:ascii="Tahoma" w:hAnsi="Tahoma"/>
      <w:sz w:val="16"/>
      <w:szCs w:val="16"/>
      <w:lang w:val="x-none" w:eastAsia="x-none"/>
    </w:rPr>
  </w:style>
  <w:style w:type="character" w:customStyle="1" w:styleId="BalloonTextChar">
    <w:name w:val="Balloon Text Char"/>
    <w:link w:val="BalloonText"/>
    <w:uiPriority w:val="99"/>
    <w:semiHidden/>
    <w:rsid w:val="00D450CB"/>
    <w:rPr>
      <w:rFonts w:ascii="Tahoma" w:hAnsi="Tahoma" w:cs="Tahoma"/>
      <w:sz w:val="16"/>
      <w:szCs w:val="16"/>
    </w:rPr>
  </w:style>
  <w:style w:type="table" w:styleId="TableGrid">
    <w:name w:val="Table Grid"/>
    <w:basedOn w:val="TableNormal"/>
    <w:uiPriority w:val="59"/>
    <w:rsid w:val="00E66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C65B8"/>
    <w:rPr>
      <w:color w:val="0000FF"/>
      <w:u w:val="single"/>
    </w:rPr>
  </w:style>
  <w:style w:type="character" w:styleId="FollowedHyperlink">
    <w:name w:val="FollowedHyperlink"/>
    <w:uiPriority w:val="99"/>
    <w:semiHidden/>
    <w:unhideWhenUsed/>
    <w:rsid w:val="00055F7A"/>
    <w:rPr>
      <w:color w:val="800080"/>
      <w:u w:val="single"/>
    </w:rPr>
  </w:style>
  <w:style w:type="paragraph" w:styleId="BodyTextIndent">
    <w:name w:val="Body Text Indent"/>
    <w:basedOn w:val="Normal"/>
    <w:link w:val="BodyTextIndentChar"/>
    <w:rsid w:val="0049176B"/>
    <w:pPr>
      <w:spacing w:line="480" w:lineRule="auto"/>
      <w:ind w:firstLine="720"/>
      <w:jc w:val="both"/>
    </w:pPr>
    <w:rPr>
      <w:rFonts w:eastAsia="Times New Roman"/>
      <w:b/>
      <w:bCs/>
      <w:lang w:val="x-none" w:eastAsia="x-none"/>
    </w:rPr>
  </w:style>
  <w:style w:type="character" w:customStyle="1" w:styleId="BodyTextIndentChar">
    <w:name w:val="Body Text Indent Char"/>
    <w:link w:val="BodyTextIndent"/>
    <w:rsid w:val="0049176B"/>
    <w:rPr>
      <w:rFonts w:ascii="Times New Roman" w:eastAsia="Times New Roman" w:hAnsi="Times New Roman"/>
      <w:b/>
      <w:bCs/>
      <w:sz w:val="24"/>
      <w:szCs w:val="24"/>
    </w:rPr>
  </w:style>
  <w:style w:type="character" w:styleId="CommentReference">
    <w:name w:val="annotation reference"/>
    <w:basedOn w:val="DefaultParagraphFont"/>
    <w:uiPriority w:val="99"/>
    <w:semiHidden/>
    <w:unhideWhenUsed/>
    <w:rsid w:val="00E81045"/>
    <w:rPr>
      <w:sz w:val="16"/>
      <w:szCs w:val="16"/>
    </w:rPr>
  </w:style>
  <w:style w:type="paragraph" w:styleId="CommentText">
    <w:name w:val="annotation text"/>
    <w:basedOn w:val="Normal"/>
    <w:link w:val="CommentTextChar"/>
    <w:uiPriority w:val="99"/>
    <w:semiHidden/>
    <w:unhideWhenUsed/>
    <w:rsid w:val="00E81045"/>
    <w:rPr>
      <w:sz w:val="20"/>
      <w:szCs w:val="20"/>
    </w:rPr>
  </w:style>
  <w:style w:type="character" w:customStyle="1" w:styleId="CommentTextChar">
    <w:name w:val="Comment Text Char"/>
    <w:basedOn w:val="DefaultParagraphFont"/>
    <w:link w:val="CommentText"/>
    <w:uiPriority w:val="99"/>
    <w:semiHidden/>
    <w:rsid w:val="00E8104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81045"/>
    <w:rPr>
      <w:b/>
      <w:bCs/>
    </w:rPr>
  </w:style>
  <w:style w:type="character" w:customStyle="1" w:styleId="CommentSubjectChar">
    <w:name w:val="Comment Subject Char"/>
    <w:basedOn w:val="CommentTextChar"/>
    <w:link w:val="CommentSubject"/>
    <w:uiPriority w:val="99"/>
    <w:semiHidden/>
    <w:rsid w:val="00E81045"/>
    <w:rPr>
      <w:rFonts w:ascii="Times New Roman" w:hAnsi="Times New Roman"/>
      <w:b/>
      <w:bCs/>
    </w:rPr>
  </w:style>
  <w:style w:type="paragraph" w:styleId="Revision">
    <w:name w:val="Revision"/>
    <w:hidden/>
    <w:uiPriority w:val="99"/>
    <w:semiHidden/>
    <w:rsid w:val="00FC745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67684">
      <w:bodyDiv w:val="1"/>
      <w:marLeft w:val="0"/>
      <w:marRight w:val="0"/>
      <w:marTop w:val="0"/>
      <w:marBottom w:val="0"/>
      <w:divBdr>
        <w:top w:val="none" w:sz="0" w:space="0" w:color="auto"/>
        <w:left w:val="none" w:sz="0" w:space="0" w:color="auto"/>
        <w:bottom w:val="none" w:sz="0" w:space="0" w:color="auto"/>
        <w:right w:val="none" w:sz="0" w:space="0" w:color="auto"/>
      </w:divBdr>
    </w:div>
    <w:div w:id="260263786">
      <w:bodyDiv w:val="1"/>
      <w:marLeft w:val="0"/>
      <w:marRight w:val="0"/>
      <w:marTop w:val="0"/>
      <w:marBottom w:val="0"/>
      <w:divBdr>
        <w:top w:val="none" w:sz="0" w:space="0" w:color="auto"/>
        <w:left w:val="none" w:sz="0" w:space="0" w:color="auto"/>
        <w:bottom w:val="none" w:sz="0" w:space="0" w:color="auto"/>
        <w:right w:val="none" w:sz="0" w:space="0" w:color="auto"/>
      </w:divBdr>
      <w:divsChild>
        <w:div w:id="1634099858">
          <w:marLeft w:val="547"/>
          <w:marRight w:val="0"/>
          <w:marTop w:val="115"/>
          <w:marBottom w:val="0"/>
          <w:divBdr>
            <w:top w:val="none" w:sz="0" w:space="0" w:color="auto"/>
            <w:left w:val="none" w:sz="0" w:space="0" w:color="auto"/>
            <w:bottom w:val="none" w:sz="0" w:space="0" w:color="auto"/>
            <w:right w:val="none" w:sz="0" w:space="0" w:color="auto"/>
          </w:divBdr>
        </w:div>
      </w:divsChild>
    </w:div>
    <w:div w:id="407314523">
      <w:bodyDiv w:val="1"/>
      <w:marLeft w:val="0"/>
      <w:marRight w:val="0"/>
      <w:marTop w:val="0"/>
      <w:marBottom w:val="0"/>
      <w:divBdr>
        <w:top w:val="none" w:sz="0" w:space="0" w:color="auto"/>
        <w:left w:val="none" w:sz="0" w:space="0" w:color="auto"/>
        <w:bottom w:val="none" w:sz="0" w:space="0" w:color="auto"/>
        <w:right w:val="none" w:sz="0" w:space="0" w:color="auto"/>
      </w:divBdr>
    </w:div>
    <w:div w:id="488256588">
      <w:bodyDiv w:val="1"/>
      <w:marLeft w:val="0"/>
      <w:marRight w:val="0"/>
      <w:marTop w:val="0"/>
      <w:marBottom w:val="0"/>
      <w:divBdr>
        <w:top w:val="none" w:sz="0" w:space="0" w:color="auto"/>
        <w:left w:val="none" w:sz="0" w:space="0" w:color="auto"/>
        <w:bottom w:val="none" w:sz="0" w:space="0" w:color="auto"/>
        <w:right w:val="none" w:sz="0" w:space="0" w:color="auto"/>
      </w:divBdr>
      <w:divsChild>
        <w:div w:id="257568435">
          <w:marLeft w:val="0"/>
          <w:marRight w:val="0"/>
          <w:marTop w:val="0"/>
          <w:marBottom w:val="0"/>
          <w:divBdr>
            <w:top w:val="none" w:sz="0" w:space="0" w:color="auto"/>
            <w:left w:val="none" w:sz="0" w:space="0" w:color="auto"/>
            <w:bottom w:val="none" w:sz="0" w:space="0" w:color="auto"/>
            <w:right w:val="none" w:sz="0" w:space="0" w:color="auto"/>
          </w:divBdr>
        </w:div>
      </w:divsChild>
    </w:div>
    <w:div w:id="629213930">
      <w:bodyDiv w:val="1"/>
      <w:marLeft w:val="0"/>
      <w:marRight w:val="0"/>
      <w:marTop w:val="0"/>
      <w:marBottom w:val="0"/>
      <w:divBdr>
        <w:top w:val="none" w:sz="0" w:space="0" w:color="auto"/>
        <w:left w:val="none" w:sz="0" w:space="0" w:color="auto"/>
        <w:bottom w:val="none" w:sz="0" w:space="0" w:color="auto"/>
        <w:right w:val="none" w:sz="0" w:space="0" w:color="auto"/>
      </w:divBdr>
      <w:divsChild>
        <w:div w:id="688875014">
          <w:marLeft w:val="547"/>
          <w:marRight w:val="0"/>
          <w:marTop w:val="115"/>
          <w:marBottom w:val="0"/>
          <w:divBdr>
            <w:top w:val="none" w:sz="0" w:space="0" w:color="auto"/>
            <w:left w:val="none" w:sz="0" w:space="0" w:color="auto"/>
            <w:bottom w:val="none" w:sz="0" w:space="0" w:color="auto"/>
            <w:right w:val="none" w:sz="0" w:space="0" w:color="auto"/>
          </w:divBdr>
        </w:div>
      </w:divsChild>
    </w:div>
    <w:div w:id="1519661294">
      <w:bodyDiv w:val="1"/>
      <w:marLeft w:val="0"/>
      <w:marRight w:val="0"/>
      <w:marTop w:val="0"/>
      <w:marBottom w:val="0"/>
      <w:divBdr>
        <w:top w:val="none" w:sz="0" w:space="0" w:color="auto"/>
        <w:left w:val="none" w:sz="0" w:space="0" w:color="auto"/>
        <w:bottom w:val="none" w:sz="0" w:space="0" w:color="auto"/>
        <w:right w:val="none" w:sz="0" w:space="0" w:color="auto"/>
      </w:divBdr>
    </w:div>
    <w:div w:id="1861697990">
      <w:bodyDiv w:val="1"/>
      <w:marLeft w:val="0"/>
      <w:marRight w:val="0"/>
      <w:marTop w:val="0"/>
      <w:marBottom w:val="0"/>
      <w:divBdr>
        <w:top w:val="none" w:sz="0" w:space="0" w:color="auto"/>
        <w:left w:val="none" w:sz="0" w:space="0" w:color="auto"/>
        <w:bottom w:val="none" w:sz="0" w:space="0" w:color="auto"/>
        <w:right w:val="none" w:sz="0" w:space="0" w:color="auto"/>
      </w:divBdr>
    </w:div>
    <w:div w:id="1970236922">
      <w:bodyDiv w:val="1"/>
      <w:marLeft w:val="0"/>
      <w:marRight w:val="0"/>
      <w:marTop w:val="0"/>
      <w:marBottom w:val="0"/>
      <w:divBdr>
        <w:top w:val="none" w:sz="0" w:space="0" w:color="auto"/>
        <w:left w:val="none" w:sz="0" w:space="0" w:color="auto"/>
        <w:bottom w:val="none" w:sz="0" w:space="0" w:color="auto"/>
        <w:right w:val="none" w:sz="0" w:space="0" w:color="auto"/>
      </w:divBdr>
      <w:divsChild>
        <w:div w:id="160630764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7/9/7/13188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F8CC0-E475-44AE-9672-CEF4AD5AE740}">
  <ds:schemaRefs>
    <ds:schemaRef ds:uri="http://schemas.microsoft.com/office/2006/metadata/longProperties"/>
  </ds:schemaRefs>
</ds:datastoreItem>
</file>

<file path=customXml/itemProps2.xml><?xml version="1.0" encoding="utf-8"?>
<ds:datastoreItem xmlns:ds="http://schemas.openxmlformats.org/officeDocument/2006/customXml" ds:itemID="{775F160B-678C-457E-8D00-1D9237EB8602}">
  <ds:schemaRefs>
    <ds:schemaRef ds:uri="http://schemas.microsoft.com/sharepoint/v3/contenttype/forms"/>
  </ds:schemaRefs>
</ds:datastoreItem>
</file>

<file path=customXml/itemProps3.xml><?xml version="1.0" encoding="utf-8"?>
<ds:datastoreItem xmlns:ds="http://schemas.openxmlformats.org/officeDocument/2006/customXml" ds:itemID="{C343FB5D-AE69-47DC-A3C8-056FE5AA7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4af464-7aa1-4edd-9be4-83dffc1cb92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22BE70-1EF3-4E8A-9574-8EF0245F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4075</Words>
  <Characters>23229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To:</vt:lpstr>
    </vt:vector>
  </TitlesOfParts>
  <Company>ERCOT</Company>
  <LinksUpToDate>false</LinksUpToDate>
  <CharactersWithSpaces>27250</CharactersWithSpaces>
  <SharedDoc>false</SharedDoc>
  <HLinks>
    <vt:vector size="6" baseType="variant">
      <vt:variant>
        <vt:i4>4784150</vt:i4>
      </vt:variant>
      <vt:variant>
        <vt:i4>0</vt:i4>
      </vt:variant>
      <vt:variant>
        <vt:i4>0</vt:i4>
      </vt:variant>
      <vt:variant>
        <vt:i4>5</vt:i4>
      </vt:variant>
      <vt:variant>
        <vt:lpwstr>http://www.ercot.com/calendar/2017/9/7/131885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bmagness</dc:creator>
  <cp:keywords/>
  <cp:lastModifiedBy>ERCOT</cp:lastModifiedBy>
  <cp:revision>7</cp:revision>
  <cp:lastPrinted>2012-04-08T18:20:00Z</cp:lastPrinted>
  <dcterms:created xsi:type="dcterms:W3CDTF">2018-02-14T16:05:00Z</dcterms:created>
  <dcterms:modified xsi:type="dcterms:W3CDTF">2018-02-14T21:45:00Z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nformation Classification">
    <vt:lpwstr>ERCOT Limited</vt:lpwstr>
  </property>
  <property fmtid="{D5CDD505-2E9C-101B-9397-08002B2CF9AE}" pid="4" name="display_urn:schemas-microsoft-com:office:office#Editor">
    <vt:lpwstr>Markham, Lori</vt:lpwstr>
  </property>
  <property fmtid="{D5CDD505-2E9C-101B-9397-08002B2CF9AE}" pid="5" name="xd_Signature">
    <vt:lpwstr/>
  </property>
  <property fmtid="{D5CDD505-2E9C-101B-9397-08002B2CF9AE}" pid="6" name="TemplateUrl">
    <vt:lpwstr/>
  </property>
  <property fmtid="{D5CDD505-2E9C-101B-9397-08002B2CF9AE}" pid="7" name="xd_ProgID">
    <vt:lpwstr/>
  </property>
  <property fmtid="{D5CDD505-2E9C-101B-9397-08002B2CF9AE}" pid="8" name="display_urn:schemas-microsoft-com:office:office#Author">
    <vt:lpwstr>Markham, Lori</vt:lpwstr>
  </property>
  <property fmtid="{D5CDD505-2E9C-101B-9397-08002B2CF9AE}" pid="9" name="Information Classification0">
    <vt:lpwstr>ERCOT Limited</vt:lpwstr>
  </property>
  <property fmtid="{D5CDD505-2E9C-101B-9397-08002B2CF9AE}" pid="10" name="IconOverlay">
    <vt:lpwstr/>
  </property>
</Properties>
</file>