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SCT Determination Summary for Directive 8, PFR requirement only</w:t>
      </w:r>
    </w:p>
    <w:p w:rsidR="00230A62" w:rsidRDefault="00230A62">
      <w:r w:rsidRPr="00230A62">
        <w:rPr>
          <w:u w:val="single"/>
        </w:rPr>
        <w:t>Date</w:t>
      </w:r>
      <w:r w:rsidR="00555BC4">
        <w:t xml:space="preserve">:  </w:t>
      </w:r>
      <w:r w:rsidR="00F2797E">
        <w:t>1/12/2018</w:t>
      </w:r>
    </w:p>
    <w:p w:rsidR="00230A62" w:rsidRDefault="00230A62">
      <w:r w:rsidRPr="00230A62">
        <w:rPr>
          <w:u w:val="single"/>
        </w:rPr>
        <w:t>Market stakeholder input</w:t>
      </w:r>
      <w:r>
        <w:t>: PDCWG 10/11/2017</w:t>
      </w:r>
      <w:r w:rsidR="00F2797E">
        <w:t xml:space="preserve">, </w:t>
      </w:r>
      <w:r>
        <w:t>11/8/2017</w:t>
      </w:r>
      <w:r w:rsidR="00F2797E">
        <w:t>, 1/12/2018</w:t>
      </w:r>
      <w:r w:rsidR="003A1B52">
        <w:t xml:space="preserve">, </w:t>
      </w:r>
      <w:proofErr w:type="gramStart"/>
      <w:r w:rsidR="003A1B52">
        <w:t>2</w:t>
      </w:r>
      <w:proofErr w:type="gramEnd"/>
      <w:r w:rsidR="003A1B52">
        <w:t>/14/2018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rsidR="009C4E17" w:rsidRDefault="009C4E17"/>
    <w:p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rsidR="00CB15E3" w:rsidRDefault="00CB15E3" w:rsidP="00CB15E3">
      <w:pPr>
        <w:pStyle w:val="ListParagraph"/>
        <w:rPr>
          <w:b/>
          <w:i/>
          <w:color w:val="FF0000"/>
        </w:rPr>
      </w:pPr>
    </w:p>
    <w:p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respond to frequency deviations provided it’s not physically limited by </w:t>
      </w:r>
      <w:r w:rsidR="005711C6">
        <w:t xml:space="preserve">frequency-responsive </w:t>
      </w:r>
      <w:r>
        <w:t>headroom and LSL.</w:t>
      </w:r>
      <w:r w:rsidR="005711C6">
        <w:t xml:space="preserve">   </w:t>
      </w:r>
    </w:p>
    <w:p w:rsidR="00D448F8" w:rsidRDefault="007F0867" w:rsidP="00D448F8">
      <w:pPr>
        <w:pStyle w:val="ListParagraph"/>
        <w:numPr>
          <w:ilvl w:val="2"/>
          <w:numId w:val="1"/>
        </w:numPr>
      </w:pPr>
      <w:r>
        <w:t xml:space="preserve">ERCOT procures minimum Responsive Reserve </w:t>
      </w:r>
      <w:r w:rsidR="003E3E4D">
        <w:t xml:space="preserve">(RRS) </w:t>
      </w:r>
      <w:r>
        <w:t xml:space="preserve">from Generators to ensure sufficient headroom is available to respond to frequency events. </w:t>
      </w:r>
      <w:r w:rsidR="00D448F8">
        <w:t xml:space="preserve">ERCOT’s </w:t>
      </w:r>
      <w:r w:rsidR="00916A47">
        <w:t xml:space="preserve">RRS </w:t>
      </w:r>
      <w:r w:rsidR="00D448F8">
        <w:t>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8"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governor in service and respond if they have </w:t>
      </w:r>
      <w:r w:rsidR="0057385C">
        <w:t>available</w:t>
      </w:r>
      <w:r>
        <w:t xml:space="preserve"> </w:t>
      </w:r>
      <w:r w:rsidR="0057385C">
        <w:t xml:space="preserve">frequency responsive </w:t>
      </w:r>
      <w:r>
        <w:t>head</w:t>
      </w:r>
      <w:r w:rsidR="0057385C">
        <w:t>-</w:t>
      </w:r>
      <w:r>
        <w:t xml:space="preserve">room. </w:t>
      </w:r>
      <w:r w:rsidR="00916A47">
        <w:t xml:space="preserve">  See previous Nov 2, 2017 ROS presentation.</w:t>
      </w:r>
    </w:p>
    <w:p w:rsidR="00114C93" w:rsidRDefault="00CF2660" w:rsidP="00337E01">
      <w:pPr>
        <w:pStyle w:val="ListParagraph"/>
        <w:numPr>
          <w:ilvl w:val="2"/>
          <w:numId w:val="1"/>
        </w:numPr>
      </w:pPr>
      <w:r>
        <w:t xml:space="preserve">Current </w:t>
      </w:r>
      <w:r w:rsidR="00D448F8">
        <w:t>DC Ties</w:t>
      </w:r>
      <w:r w:rsidR="00C730B6">
        <w:t xml:space="preserve"> in</w:t>
      </w:r>
      <w:r w:rsidR="00D448F8">
        <w:t xml:space="preserve"> ERCOT (</w:t>
      </w:r>
      <w:r w:rsidR="000A6019" w:rsidRPr="002436E1">
        <w:t>current total 1150 MW</w:t>
      </w:r>
      <w:r w:rsidR="00D448F8">
        <w:t>)</w:t>
      </w:r>
      <w:r>
        <w:t xml:space="preserve"> are not required to be PFR </w:t>
      </w:r>
      <w:proofErr w:type="gramStart"/>
      <w:r>
        <w:t>capable</w:t>
      </w:r>
      <w:proofErr w:type="gramEnd"/>
      <w:r w:rsidR="00D448F8" w:rsidRPr="002436E1">
        <w:t>.</w:t>
      </w:r>
      <w:r w:rsidR="00D448F8">
        <w:t xml:space="preserve"> </w:t>
      </w:r>
    </w:p>
    <w:p w:rsidR="009E4DB6" w:rsidRDefault="009E4DB6" w:rsidP="009E4DB6">
      <w:pPr>
        <w:pStyle w:val="ListParagraph"/>
        <w:numPr>
          <w:ilvl w:val="2"/>
          <w:numId w:val="1"/>
        </w:numPr>
      </w:pPr>
      <w:r>
        <w:t>Currently per NERC requirement BAL-001-TRE-1 and ERCOT protocols, Primary Frequency Response (PFR) in the ERCOT region is required and provided by generation resources.</w:t>
      </w:r>
    </w:p>
    <w:p w:rsidR="002B080E" w:rsidRDefault="00D448F8" w:rsidP="00916A47">
      <w:pPr>
        <w:pStyle w:val="ListParagraph"/>
        <w:numPr>
          <w:ilvl w:val="2"/>
          <w:numId w:val="1"/>
        </w:numPr>
      </w:pPr>
      <w:r>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9" w:history="1">
        <w:r w:rsidR="00971C02">
          <w:rPr>
            <w:rStyle w:val="Hyperlink"/>
            <w:color w:val="00B0F0"/>
          </w:rPr>
          <w:t>ERCOT website link</w:t>
        </w:r>
      </w:hyperlink>
      <w:r w:rsidR="001138F0">
        <w:rPr>
          <w:color w:val="00B0F0"/>
        </w:rPr>
        <w:t>.</w:t>
      </w:r>
    </w:p>
    <w:p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change in flow</w:t>
      </w:r>
      <w:r w:rsidR="000A6019">
        <w:t xml:space="preserve"> on</w:t>
      </w:r>
      <w:r w:rsidR="00D22E7A">
        <w:t xml:space="preserve">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rsidR="00214B6D" w:rsidRDefault="00214B6D" w:rsidP="00CB15E3">
      <w:pPr>
        <w:pStyle w:val="ListParagraph"/>
        <w:ind w:left="2160"/>
      </w:pPr>
    </w:p>
    <w:p w:rsidR="00DA0FFE" w:rsidRPr="00555BC4" w:rsidRDefault="00DA0FFE" w:rsidP="000E70CF">
      <w:pPr>
        <w:pStyle w:val="ListParagraph"/>
        <w:numPr>
          <w:ilvl w:val="1"/>
          <w:numId w:val="1"/>
        </w:numPr>
      </w:pPr>
      <w:r w:rsidRPr="000E70CF">
        <w:rPr>
          <w:u w:val="single"/>
        </w:rPr>
        <w:t xml:space="preserve">Requirements considered </w:t>
      </w:r>
    </w:p>
    <w:p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rsidR="00257B5E" w:rsidRDefault="00257B5E" w:rsidP="00214B6D">
      <w:pPr>
        <w:pStyle w:val="ListParagraph"/>
        <w:numPr>
          <w:ilvl w:val="3"/>
          <w:numId w:val="1"/>
        </w:numPr>
        <w:ind w:left="2160"/>
      </w:pPr>
      <w:r>
        <w:t>NERC BAL-001-2 – Control Performance Standard (CPS) 1 – Maintain score greater than 100, recover ACE within 30 minutes.</w:t>
      </w:r>
    </w:p>
    <w:p w:rsidR="00AC7A1C" w:rsidRDefault="00AC7A1C" w:rsidP="00214B6D">
      <w:pPr>
        <w:pStyle w:val="ListParagraph"/>
        <w:numPr>
          <w:ilvl w:val="3"/>
          <w:numId w:val="1"/>
        </w:numPr>
        <w:ind w:left="2160"/>
      </w:pPr>
      <w:r>
        <w:t xml:space="preserve">NERC BAL-001-TRE-1 – Generation resource requirement for governor </w:t>
      </w:r>
    </w:p>
    <w:p w:rsidR="00DA0FFE" w:rsidRDefault="00DA0FFE" w:rsidP="00CB15E3">
      <w:pPr>
        <w:pStyle w:val="ListParagraph"/>
        <w:ind w:left="2160"/>
        <w:jc w:val="center"/>
      </w:pPr>
    </w:p>
    <w:p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rsidR="00481F9D" w:rsidRDefault="00481F9D" w:rsidP="00481F9D">
      <w:pPr>
        <w:pStyle w:val="ListParagraph"/>
        <w:numPr>
          <w:ilvl w:val="2"/>
          <w:numId w:val="1"/>
        </w:numPr>
      </w:pPr>
      <w:r>
        <w:t>No changes to protocols or guides</w:t>
      </w:r>
    </w:p>
    <w:p w:rsidR="00DA0FFE" w:rsidRDefault="00481F9D" w:rsidP="00DA0FFE">
      <w:pPr>
        <w:pStyle w:val="ListParagraph"/>
        <w:numPr>
          <w:ilvl w:val="2"/>
          <w:numId w:val="1"/>
        </w:numPr>
      </w:pPr>
      <w:r>
        <w:t>No system impacts</w:t>
      </w:r>
    </w:p>
    <w:p w:rsidR="00481F9D" w:rsidRDefault="00481F9D" w:rsidP="00481F9D">
      <w:pPr>
        <w:pStyle w:val="ListParagraph"/>
        <w:ind w:left="1440"/>
      </w:pPr>
    </w:p>
    <w:p w:rsidR="005B7592" w:rsidRPr="00481F9D" w:rsidRDefault="005B7592" w:rsidP="005B7592">
      <w:pPr>
        <w:pStyle w:val="ListParagraph"/>
        <w:numPr>
          <w:ilvl w:val="1"/>
          <w:numId w:val="1"/>
        </w:numPr>
        <w:rPr>
          <w:u w:val="single"/>
        </w:rPr>
      </w:pPr>
      <w:r w:rsidRPr="00481F9D">
        <w:rPr>
          <w:u w:val="single"/>
        </w:rPr>
        <w:t>Related/emerging issues:</w:t>
      </w:r>
    </w:p>
    <w:p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rsidR="00AC7A1C" w:rsidRDefault="00AC7A1C" w:rsidP="005B7592">
      <w:pPr>
        <w:pStyle w:val="ListParagraph"/>
        <w:numPr>
          <w:ilvl w:val="2"/>
          <w:numId w:val="1"/>
        </w:numPr>
      </w:pPr>
      <w:r>
        <w:t>Need to study if more ancillary services required due to size of DC Tie (Directive #9)</w:t>
      </w:r>
    </w:p>
    <w:p w:rsidR="002B080E" w:rsidRDefault="002B080E" w:rsidP="005B7592">
      <w:pPr>
        <w:pStyle w:val="ListParagraph"/>
        <w:numPr>
          <w:ilvl w:val="2"/>
          <w:numId w:val="1"/>
        </w:numPr>
      </w:pPr>
      <w:r>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rsidR="00310225" w:rsidRDefault="009E4DB6" w:rsidP="00CB15E3">
      <w:pPr>
        <w:pStyle w:val="ListParagraph"/>
        <w:numPr>
          <w:ilvl w:val="2"/>
          <w:numId w:val="1"/>
        </w:numPr>
      </w:pPr>
      <w:r>
        <w:t xml:space="preserve">While ERCOT and PDCWG members do not see a need to require SCT to provide PFR, the integration of a DC Tie of this size will require ERCOT to review (possibly staging) the Frequency threshold at which Load Resources providing RRS get deployed. </w:t>
      </w:r>
    </w:p>
    <w:sectPr w:rsidR="003102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6B" w:rsidRDefault="00A06F6B" w:rsidP="006C32D5">
      <w:pPr>
        <w:spacing w:after="0" w:line="240" w:lineRule="auto"/>
      </w:pPr>
      <w:r>
        <w:separator/>
      </w:r>
    </w:p>
  </w:endnote>
  <w:endnote w:type="continuationSeparator" w:id="0">
    <w:p w:rsidR="00A06F6B" w:rsidRDefault="00A06F6B"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6B" w:rsidRDefault="00A06F6B" w:rsidP="006C32D5">
      <w:pPr>
        <w:spacing w:after="0" w:line="240" w:lineRule="auto"/>
      </w:pPr>
      <w:r>
        <w:separator/>
      </w:r>
    </w:p>
  </w:footnote>
  <w:footnote w:type="continuationSeparator" w:id="0">
    <w:p w:rsidR="00A06F6B" w:rsidRDefault="00A06F6B"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9" w:rsidRDefault="000A6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A6019"/>
    <w:rsid w:val="000E70CF"/>
    <w:rsid w:val="001138F0"/>
    <w:rsid w:val="00114C93"/>
    <w:rsid w:val="001B4D9B"/>
    <w:rsid w:val="001B7D88"/>
    <w:rsid w:val="0021309C"/>
    <w:rsid w:val="00214B6D"/>
    <w:rsid w:val="0022792E"/>
    <w:rsid w:val="00230A62"/>
    <w:rsid w:val="002436E1"/>
    <w:rsid w:val="00257B5E"/>
    <w:rsid w:val="002B080E"/>
    <w:rsid w:val="00310225"/>
    <w:rsid w:val="00313F08"/>
    <w:rsid w:val="0033413A"/>
    <w:rsid w:val="00337E01"/>
    <w:rsid w:val="003549ED"/>
    <w:rsid w:val="003665F6"/>
    <w:rsid w:val="003A1B52"/>
    <w:rsid w:val="003B4181"/>
    <w:rsid w:val="003E3E4D"/>
    <w:rsid w:val="003E669D"/>
    <w:rsid w:val="003F6CE8"/>
    <w:rsid w:val="004473FA"/>
    <w:rsid w:val="0045220A"/>
    <w:rsid w:val="00481F9D"/>
    <w:rsid w:val="004C009E"/>
    <w:rsid w:val="004F776B"/>
    <w:rsid w:val="005342C8"/>
    <w:rsid w:val="005518A8"/>
    <w:rsid w:val="00555BC4"/>
    <w:rsid w:val="005606D7"/>
    <w:rsid w:val="005711C6"/>
    <w:rsid w:val="0057385C"/>
    <w:rsid w:val="0058582F"/>
    <w:rsid w:val="005866B3"/>
    <w:rsid w:val="005B7592"/>
    <w:rsid w:val="00643EC6"/>
    <w:rsid w:val="006B3E14"/>
    <w:rsid w:val="006C32D5"/>
    <w:rsid w:val="006C6164"/>
    <w:rsid w:val="007252DE"/>
    <w:rsid w:val="00734EE7"/>
    <w:rsid w:val="00744EB3"/>
    <w:rsid w:val="007B00D1"/>
    <w:rsid w:val="007F0867"/>
    <w:rsid w:val="007F6330"/>
    <w:rsid w:val="00817194"/>
    <w:rsid w:val="00834941"/>
    <w:rsid w:val="00834CF6"/>
    <w:rsid w:val="008B0772"/>
    <w:rsid w:val="00916A47"/>
    <w:rsid w:val="00942B66"/>
    <w:rsid w:val="00971C02"/>
    <w:rsid w:val="00973131"/>
    <w:rsid w:val="009C4E17"/>
    <w:rsid w:val="009E4DB6"/>
    <w:rsid w:val="00A06F6B"/>
    <w:rsid w:val="00A23880"/>
    <w:rsid w:val="00A538B7"/>
    <w:rsid w:val="00AC2662"/>
    <w:rsid w:val="00AC7A1C"/>
    <w:rsid w:val="00AD541B"/>
    <w:rsid w:val="00B5256C"/>
    <w:rsid w:val="00B52E3F"/>
    <w:rsid w:val="00BF26C0"/>
    <w:rsid w:val="00BF463F"/>
    <w:rsid w:val="00C730B6"/>
    <w:rsid w:val="00CA1524"/>
    <w:rsid w:val="00CB15E3"/>
    <w:rsid w:val="00CD44F0"/>
    <w:rsid w:val="00CE7638"/>
    <w:rsid w:val="00CF2660"/>
    <w:rsid w:val="00CF7C7F"/>
    <w:rsid w:val="00D02BFF"/>
    <w:rsid w:val="00D1564F"/>
    <w:rsid w:val="00D22E7A"/>
    <w:rsid w:val="00D448F8"/>
    <w:rsid w:val="00D820CC"/>
    <w:rsid w:val="00DA0FFE"/>
    <w:rsid w:val="00DA11D8"/>
    <w:rsid w:val="00DB4AB3"/>
    <w:rsid w:val="00E04DC7"/>
    <w:rsid w:val="00E9073A"/>
    <w:rsid w:val="00EB7E90"/>
    <w:rsid w:val="00EC377C"/>
    <w:rsid w:val="00EF2DDF"/>
    <w:rsid w:val="00F0376E"/>
    <w:rsid w:val="00F2797E"/>
    <w:rsid w:val="00F8006B"/>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alendar/2017/11/2/108743-R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s.ercot.com/misapp/GetReports.do?reportTypeId=13454&amp;reportTitle=BAL-001-TRE%20IMFR%20Performance&amp;showHTMLView=&amp;mimi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49FC-71DD-4F96-8FCA-A485C443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Mereness</dc:creator>
  <cp:lastModifiedBy>Matt Mereness</cp:lastModifiedBy>
  <cp:revision>2</cp:revision>
  <dcterms:created xsi:type="dcterms:W3CDTF">2018-02-19T21:09:00Z</dcterms:created>
  <dcterms:modified xsi:type="dcterms:W3CDTF">2018-02-19T21:09:00Z</dcterms:modified>
</cp:coreProperties>
</file>