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27" w:rsidRPr="004D28FF" w:rsidRDefault="00781257" w:rsidP="00E90B90">
      <w:pPr>
        <w:jc w:val="center"/>
        <w:rPr>
          <w:b/>
          <w:sz w:val="44"/>
          <w:szCs w:val="44"/>
        </w:rPr>
      </w:pPr>
      <w:r w:rsidRPr="004D28FF">
        <w:rPr>
          <w:b/>
          <w:sz w:val="44"/>
          <w:szCs w:val="44"/>
        </w:rPr>
        <w:t>Commercial Operations Subcommittee (</w:t>
      </w:r>
      <w:r w:rsidR="00E90B90" w:rsidRPr="004D28FF">
        <w:rPr>
          <w:b/>
          <w:sz w:val="44"/>
          <w:szCs w:val="44"/>
        </w:rPr>
        <w:t>COPS</w:t>
      </w:r>
      <w:r w:rsidRPr="004D28FF">
        <w:rPr>
          <w:b/>
          <w:sz w:val="44"/>
          <w:szCs w:val="44"/>
        </w:rPr>
        <w:t>)</w:t>
      </w:r>
    </w:p>
    <w:p w:rsidR="00E2060E" w:rsidRPr="00C81C0B" w:rsidRDefault="00E90B90" w:rsidP="00E90B90">
      <w:pPr>
        <w:jc w:val="center"/>
        <w:rPr>
          <w:sz w:val="44"/>
          <w:szCs w:val="44"/>
        </w:rPr>
      </w:pPr>
      <w:r w:rsidRPr="001C26A8">
        <w:rPr>
          <w:b/>
          <w:sz w:val="44"/>
          <w:szCs w:val="44"/>
        </w:rPr>
        <w:t>201</w:t>
      </w:r>
      <w:r w:rsidR="00C81C0B">
        <w:rPr>
          <w:b/>
          <w:sz w:val="44"/>
          <w:szCs w:val="44"/>
        </w:rPr>
        <w:t>7</w:t>
      </w:r>
      <w:r w:rsidRPr="001C26A8">
        <w:rPr>
          <w:b/>
          <w:sz w:val="44"/>
          <w:szCs w:val="44"/>
        </w:rPr>
        <w:t xml:space="preserve"> </w:t>
      </w:r>
      <w:r w:rsidR="00ED3C11">
        <w:rPr>
          <w:b/>
          <w:sz w:val="44"/>
          <w:szCs w:val="44"/>
        </w:rPr>
        <w:t>Accomplishments</w:t>
      </w:r>
    </w:p>
    <w:p w:rsidR="001C661D" w:rsidRDefault="001C661D" w:rsidP="001C661D">
      <w:pPr>
        <w:pStyle w:val="ListParagraph"/>
        <w:numPr>
          <w:ilvl w:val="0"/>
          <w:numId w:val="4"/>
        </w:numPr>
        <w:rPr>
          <w:sz w:val="32"/>
          <w:szCs w:val="32"/>
        </w:rPr>
      </w:pPr>
      <w:r w:rsidRPr="001C26A8">
        <w:rPr>
          <w:sz w:val="32"/>
          <w:szCs w:val="32"/>
        </w:rPr>
        <w:t>Maintain settlements stability in alignment with Protocol Section 8.2</w:t>
      </w:r>
      <w:r w:rsidR="00D86BAA">
        <w:rPr>
          <w:sz w:val="32"/>
          <w:szCs w:val="32"/>
        </w:rPr>
        <w:t>, ERCOT Performance Monitor</w:t>
      </w:r>
      <w:r w:rsidR="00726727">
        <w:rPr>
          <w:sz w:val="32"/>
          <w:szCs w:val="32"/>
        </w:rPr>
        <w:t>ing</w:t>
      </w:r>
      <w:r w:rsidRPr="001C26A8">
        <w:rPr>
          <w:sz w:val="32"/>
          <w:szCs w:val="32"/>
        </w:rPr>
        <w:t xml:space="preserve"> (2) Paragraphs (c)</w:t>
      </w:r>
      <w:r w:rsidR="00D86BAA">
        <w:rPr>
          <w:sz w:val="32"/>
          <w:szCs w:val="32"/>
        </w:rPr>
        <w:t xml:space="preserve">, Settlement Stability </w:t>
      </w:r>
      <w:r w:rsidRPr="001C26A8">
        <w:rPr>
          <w:sz w:val="32"/>
          <w:szCs w:val="32"/>
        </w:rPr>
        <w:t>and (g)</w:t>
      </w:r>
      <w:r w:rsidR="00D86BAA">
        <w:rPr>
          <w:sz w:val="32"/>
          <w:szCs w:val="32"/>
        </w:rPr>
        <w:t xml:space="preserve"> Load Uplift Amounts</w:t>
      </w:r>
    </w:p>
    <w:p w:rsidR="00475A2F" w:rsidRDefault="00475A2F" w:rsidP="00606EBB">
      <w:pPr>
        <w:pStyle w:val="ListParagraph"/>
        <w:numPr>
          <w:ilvl w:val="0"/>
          <w:numId w:val="5"/>
        </w:numPr>
        <w:rPr>
          <w:color w:val="365F91" w:themeColor="accent1" w:themeShade="BF"/>
          <w:sz w:val="32"/>
          <w:szCs w:val="32"/>
        </w:rPr>
      </w:pPr>
      <w:r>
        <w:rPr>
          <w:color w:val="365F91" w:themeColor="accent1" w:themeShade="BF"/>
          <w:sz w:val="32"/>
          <w:szCs w:val="32"/>
        </w:rPr>
        <w:t>Reviewed and approved the 2017 Market Data Transparency SLA</w:t>
      </w:r>
    </w:p>
    <w:p w:rsidR="00140495" w:rsidRPr="00606EBB" w:rsidRDefault="00140495" w:rsidP="00606EBB">
      <w:pPr>
        <w:pStyle w:val="ListParagraph"/>
        <w:numPr>
          <w:ilvl w:val="0"/>
          <w:numId w:val="5"/>
        </w:numPr>
        <w:rPr>
          <w:color w:val="365F91" w:themeColor="accent1" w:themeShade="BF"/>
          <w:sz w:val="32"/>
          <w:szCs w:val="32"/>
        </w:rPr>
      </w:pPr>
      <w:r w:rsidRPr="00606EBB">
        <w:rPr>
          <w:color w:val="365F91" w:themeColor="accent1" w:themeShade="BF"/>
          <w:sz w:val="32"/>
          <w:szCs w:val="32"/>
        </w:rPr>
        <w:t>Reviewed the Settlement Stability report quarterly and reported to TAC on the results</w:t>
      </w:r>
    </w:p>
    <w:p w:rsidR="00E90B90" w:rsidRDefault="00E90B90" w:rsidP="00E90B90">
      <w:pPr>
        <w:pStyle w:val="ListParagraph"/>
        <w:numPr>
          <w:ilvl w:val="0"/>
          <w:numId w:val="4"/>
        </w:numPr>
        <w:rPr>
          <w:sz w:val="32"/>
          <w:szCs w:val="32"/>
        </w:rPr>
      </w:pPr>
      <w:r w:rsidRPr="001C26A8">
        <w:rPr>
          <w:sz w:val="32"/>
          <w:szCs w:val="32"/>
        </w:rPr>
        <w:t>Improve</w:t>
      </w:r>
      <w:r w:rsidR="00781257" w:rsidRPr="001C26A8">
        <w:rPr>
          <w:sz w:val="32"/>
          <w:szCs w:val="32"/>
        </w:rPr>
        <w:t xml:space="preserve"> </w:t>
      </w:r>
      <w:r w:rsidR="007B36DD" w:rsidRPr="001C26A8">
        <w:rPr>
          <w:sz w:val="32"/>
          <w:szCs w:val="32"/>
        </w:rPr>
        <w:t xml:space="preserve">Commercial Operations </w:t>
      </w:r>
      <w:r w:rsidRPr="001C26A8">
        <w:rPr>
          <w:sz w:val="32"/>
          <w:szCs w:val="32"/>
        </w:rPr>
        <w:t>process</w:t>
      </w:r>
      <w:r w:rsidR="007B36DD" w:rsidRPr="001C26A8">
        <w:rPr>
          <w:sz w:val="32"/>
          <w:szCs w:val="32"/>
        </w:rPr>
        <w:t>es</w:t>
      </w:r>
      <w:r w:rsidRPr="001C26A8">
        <w:rPr>
          <w:sz w:val="32"/>
          <w:szCs w:val="32"/>
        </w:rPr>
        <w:t xml:space="preserve"> to accommodate changes in the ERCOT </w:t>
      </w:r>
      <w:r w:rsidR="00781257" w:rsidRPr="001C26A8">
        <w:rPr>
          <w:sz w:val="32"/>
          <w:szCs w:val="32"/>
        </w:rPr>
        <w:t>M</w:t>
      </w:r>
      <w:r w:rsidRPr="001C26A8">
        <w:rPr>
          <w:sz w:val="32"/>
          <w:szCs w:val="32"/>
        </w:rPr>
        <w:t>arket design</w:t>
      </w:r>
    </w:p>
    <w:p w:rsidR="00BE1075" w:rsidRDefault="00BE1075" w:rsidP="00BE1075">
      <w:pPr>
        <w:pStyle w:val="ListParagraph"/>
        <w:numPr>
          <w:ilvl w:val="0"/>
          <w:numId w:val="5"/>
        </w:numPr>
        <w:rPr>
          <w:color w:val="365F91" w:themeColor="accent1" w:themeShade="BF"/>
          <w:sz w:val="32"/>
          <w:szCs w:val="32"/>
        </w:rPr>
      </w:pPr>
      <w:r w:rsidRPr="00FC0D59">
        <w:rPr>
          <w:color w:val="365F91" w:themeColor="accent1" w:themeShade="BF"/>
          <w:sz w:val="32"/>
          <w:szCs w:val="32"/>
        </w:rPr>
        <w:t>COPMGRR044, Alignment with NPRR794, Relocation of Unregistered DG Reporting Requirements</w:t>
      </w:r>
      <w:r>
        <w:rPr>
          <w:color w:val="365F91" w:themeColor="accent1" w:themeShade="BF"/>
          <w:sz w:val="32"/>
          <w:szCs w:val="32"/>
        </w:rPr>
        <w:t>, reviewed and approved (Effective 3/1/2017)</w:t>
      </w:r>
    </w:p>
    <w:p w:rsidR="00140495" w:rsidRPr="00FC0D59" w:rsidRDefault="00E90B90" w:rsidP="004F6E9A">
      <w:pPr>
        <w:pStyle w:val="ListParagraph"/>
        <w:numPr>
          <w:ilvl w:val="0"/>
          <w:numId w:val="4"/>
        </w:numPr>
        <w:rPr>
          <w:sz w:val="32"/>
          <w:szCs w:val="32"/>
        </w:rPr>
      </w:pPr>
      <w:r w:rsidRPr="00FC0D59">
        <w:rPr>
          <w:sz w:val="32"/>
          <w:szCs w:val="32"/>
        </w:rPr>
        <w:t xml:space="preserve">Work with ERCOT staff to develop </w:t>
      </w:r>
      <w:r w:rsidR="00781257" w:rsidRPr="00FC0D59">
        <w:rPr>
          <w:sz w:val="32"/>
          <w:szCs w:val="32"/>
        </w:rPr>
        <w:t>M</w:t>
      </w:r>
      <w:r w:rsidRPr="00FC0D59">
        <w:rPr>
          <w:sz w:val="32"/>
          <w:szCs w:val="32"/>
        </w:rPr>
        <w:t xml:space="preserve">arket improvements </w:t>
      </w:r>
      <w:r w:rsidR="00781257" w:rsidRPr="00FC0D59">
        <w:rPr>
          <w:sz w:val="32"/>
          <w:szCs w:val="32"/>
        </w:rPr>
        <w:t xml:space="preserve">and Protocols </w:t>
      </w:r>
      <w:r w:rsidRPr="00FC0D59">
        <w:rPr>
          <w:sz w:val="32"/>
          <w:szCs w:val="32"/>
        </w:rPr>
        <w:t xml:space="preserve">that support increased </w:t>
      </w:r>
      <w:r w:rsidR="00DC4002" w:rsidRPr="00FC0D59">
        <w:rPr>
          <w:sz w:val="32"/>
          <w:szCs w:val="32"/>
        </w:rPr>
        <w:t xml:space="preserve">Commercial Operations </w:t>
      </w:r>
      <w:r w:rsidRPr="00FC0D59">
        <w:rPr>
          <w:sz w:val="32"/>
          <w:szCs w:val="32"/>
        </w:rPr>
        <w:t>data transparency and data availability</w:t>
      </w:r>
    </w:p>
    <w:p w:rsidR="007924D9" w:rsidRDefault="007924D9" w:rsidP="00FC0D59">
      <w:pPr>
        <w:pStyle w:val="ListParagraph"/>
        <w:numPr>
          <w:ilvl w:val="0"/>
          <w:numId w:val="5"/>
        </w:numPr>
        <w:rPr>
          <w:color w:val="365F91" w:themeColor="accent1" w:themeShade="BF"/>
          <w:sz w:val="32"/>
          <w:szCs w:val="32"/>
        </w:rPr>
      </w:pPr>
      <w:r>
        <w:rPr>
          <w:color w:val="365F91" w:themeColor="accent1" w:themeShade="BF"/>
          <w:sz w:val="32"/>
          <w:szCs w:val="32"/>
        </w:rPr>
        <w:t>NPRR807, Day-Ahead market Price Correction</w:t>
      </w:r>
      <w:r w:rsidR="00F42F6F">
        <w:rPr>
          <w:color w:val="365F91" w:themeColor="accent1" w:themeShade="BF"/>
          <w:sz w:val="32"/>
          <w:szCs w:val="32"/>
        </w:rPr>
        <w:t xml:space="preserve"> – </w:t>
      </w:r>
      <w:r>
        <w:rPr>
          <w:color w:val="365F91" w:themeColor="accent1" w:themeShade="BF"/>
          <w:sz w:val="32"/>
          <w:szCs w:val="32"/>
        </w:rPr>
        <w:t>Reviewed</w:t>
      </w:r>
      <w:r w:rsidR="00F42F6F">
        <w:rPr>
          <w:color w:val="365F91" w:themeColor="accent1" w:themeShade="BF"/>
          <w:sz w:val="32"/>
          <w:szCs w:val="32"/>
        </w:rPr>
        <w:t xml:space="preserve"> (Next Group PRS)</w:t>
      </w:r>
    </w:p>
    <w:p w:rsidR="00BE1075" w:rsidRDefault="00932376" w:rsidP="00FC0D59">
      <w:pPr>
        <w:pStyle w:val="ListParagraph"/>
        <w:numPr>
          <w:ilvl w:val="0"/>
          <w:numId w:val="5"/>
        </w:numPr>
        <w:rPr>
          <w:color w:val="365F91" w:themeColor="accent1" w:themeShade="BF"/>
          <w:sz w:val="32"/>
          <w:szCs w:val="32"/>
        </w:rPr>
      </w:pPr>
      <w:r>
        <w:rPr>
          <w:color w:val="365F91" w:themeColor="accent1" w:themeShade="BF"/>
          <w:sz w:val="32"/>
          <w:szCs w:val="32"/>
        </w:rPr>
        <w:t xml:space="preserve">NPRR819, </w:t>
      </w:r>
      <w:r w:rsidR="00CC4E7E">
        <w:rPr>
          <w:color w:val="365F91" w:themeColor="accent1" w:themeShade="BF"/>
          <w:sz w:val="32"/>
          <w:szCs w:val="32"/>
        </w:rPr>
        <w:t xml:space="preserve">Modification of Non-Price Error Resettlement Thresholds and Resettlement Clean-Ups </w:t>
      </w:r>
      <w:r w:rsidR="00F42F6F">
        <w:rPr>
          <w:color w:val="365F91" w:themeColor="accent1" w:themeShade="BF"/>
          <w:sz w:val="32"/>
          <w:szCs w:val="32"/>
        </w:rPr>
        <w:t xml:space="preserve">- </w:t>
      </w:r>
      <w:r w:rsidR="00CC4E7E" w:rsidRPr="008425E1">
        <w:rPr>
          <w:color w:val="365F91" w:themeColor="accent1" w:themeShade="BF"/>
          <w:sz w:val="32"/>
          <w:szCs w:val="32"/>
          <w:u w:val="single"/>
        </w:rPr>
        <w:t>Addressed 2% Rule assignment from TAC</w:t>
      </w:r>
      <w:r w:rsidR="005B7597">
        <w:rPr>
          <w:color w:val="365F91" w:themeColor="accent1" w:themeShade="BF"/>
          <w:sz w:val="32"/>
          <w:szCs w:val="32"/>
        </w:rPr>
        <w:t>, worked with ERCOT staff to create and approve</w:t>
      </w:r>
      <w:r w:rsidR="00CC4E7E">
        <w:rPr>
          <w:color w:val="365F91" w:themeColor="accent1" w:themeShade="BF"/>
          <w:sz w:val="32"/>
          <w:szCs w:val="32"/>
        </w:rPr>
        <w:t xml:space="preserve"> (</w:t>
      </w:r>
      <w:r w:rsidR="00EB332E">
        <w:rPr>
          <w:color w:val="365F91" w:themeColor="accent1" w:themeShade="BF"/>
          <w:sz w:val="32"/>
          <w:szCs w:val="32"/>
        </w:rPr>
        <w:t>Next group TAC)</w:t>
      </w:r>
    </w:p>
    <w:p w:rsidR="00C67239" w:rsidRDefault="00BE1075" w:rsidP="00FC0D59">
      <w:pPr>
        <w:pStyle w:val="ListParagraph"/>
        <w:numPr>
          <w:ilvl w:val="0"/>
          <w:numId w:val="5"/>
        </w:numPr>
        <w:rPr>
          <w:color w:val="365F91" w:themeColor="accent1" w:themeShade="BF"/>
          <w:sz w:val="32"/>
          <w:szCs w:val="32"/>
        </w:rPr>
      </w:pPr>
      <w:r>
        <w:rPr>
          <w:color w:val="365F91" w:themeColor="accent1" w:themeShade="BF"/>
          <w:sz w:val="32"/>
          <w:szCs w:val="32"/>
        </w:rPr>
        <w:t xml:space="preserve">NPRR831, Inclusion of Private Use Networks in Load Zone Price Calculations </w:t>
      </w:r>
      <w:r w:rsidR="00945C50">
        <w:rPr>
          <w:color w:val="365F91" w:themeColor="accent1" w:themeShade="BF"/>
          <w:sz w:val="32"/>
          <w:szCs w:val="32"/>
        </w:rPr>
        <w:t xml:space="preserve">- </w:t>
      </w:r>
      <w:r>
        <w:rPr>
          <w:color w:val="365F91" w:themeColor="accent1" w:themeShade="BF"/>
          <w:sz w:val="32"/>
          <w:szCs w:val="32"/>
        </w:rPr>
        <w:t>Reviewed and submitted comments</w:t>
      </w:r>
      <w:r w:rsidR="00945C50">
        <w:rPr>
          <w:color w:val="365F91" w:themeColor="accent1" w:themeShade="BF"/>
          <w:sz w:val="32"/>
          <w:szCs w:val="32"/>
        </w:rPr>
        <w:t xml:space="preserve"> (Effective 11/2/2017</w:t>
      </w:r>
      <w:r>
        <w:rPr>
          <w:color w:val="365F91" w:themeColor="accent1" w:themeShade="BF"/>
          <w:sz w:val="32"/>
          <w:szCs w:val="32"/>
        </w:rPr>
        <w:t>)</w:t>
      </w:r>
    </w:p>
    <w:p w:rsidR="008425E1" w:rsidRPr="008425E1" w:rsidRDefault="008425E1" w:rsidP="008425E1">
      <w:pPr>
        <w:rPr>
          <w:color w:val="365F91" w:themeColor="accent1" w:themeShade="BF"/>
          <w:sz w:val="32"/>
          <w:szCs w:val="32"/>
        </w:rPr>
      </w:pPr>
    </w:p>
    <w:p w:rsidR="00932376" w:rsidRPr="00C67239" w:rsidRDefault="00C67239" w:rsidP="00E10BED">
      <w:pPr>
        <w:pStyle w:val="ListParagraph"/>
        <w:numPr>
          <w:ilvl w:val="0"/>
          <w:numId w:val="5"/>
        </w:numPr>
        <w:rPr>
          <w:color w:val="365F91" w:themeColor="accent1" w:themeShade="BF"/>
          <w:sz w:val="32"/>
          <w:szCs w:val="32"/>
        </w:rPr>
      </w:pPr>
      <w:r w:rsidRPr="00C67239">
        <w:rPr>
          <w:color w:val="365F91" w:themeColor="accent1" w:themeShade="BF"/>
          <w:sz w:val="32"/>
          <w:szCs w:val="32"/>
        </w:rPr>
        <w:lastRenderedPageBreak/>
        <w:t>Presented IDR Meter Reads Issue and the following problem statement “Approximately 24% of ERCOT Load meter data is not available for Initial Settlement” and goal “Submission of TDSP read meter data for Loads with Interval Data Recorder Meters and Non-Modeled Distributed Generators with Interval Data Recorders as soon as possible”</w:t>
      </w:r>
      <w:r w:rsidR="0074753D">
        <w:rPr>
          <w:color w:val="365F91" w:themeColor="accent1" w:themeShade="BF"/>
          <w:sz w:val="32"/>
          <w:szCs w:val="32"/>
        </w:rPr>
        <w:t>; TAC assigned COPS a follow-up action item for 2018</w:t>
      </w:r>
      <w:r w:rsidR="00CC4E7E" w:rsidRPr="00C67239">
        <w:rPr>
          <w:color w:val="365F91" w:themeColor="accent1" w:themeShade="BF"/>
          <w:sz w:val="32"/>
          <w:szCs w:val="32"/>
        </w:rPr>
        <w:t xml:space="preserve"> </w:t>
      </w:r>
    </w:p>
    <w:p w:rsidR="00E90B90" w:rsidRDefault="001C661D" w:rsidP="00E90B90">
      <w:pPr>
        <w:pStyle w:val="ListParagraph"/>
        <w:numPr>
          <w:ilvl w:val="0"/>
          <w:numId w:val="4"/>
        </w:numPr>
        <w:rPr>
          <w:sz w:val="32"/>
          <w:szCs w:val="32"/>
        </w:rPr>
      </w:pPr>
      <w:r w:rsidRPr="001C26A8">
        <w:rPr>
          <w:sz w:val="32"/>
          <w:szCs w:val="32"/>
        </w:rPr>
        <w:t>Maintain and update the Commercial Operations Market Guide and the Nodal Settlement</w:t>
      </w:r>
      <w:r w:rsidR="00B01E93">
        <w:rPr>
          <w:sz w:val="32"/>
          <w:szCs w:val="32"/>
        </w:rPr>
        <w:t>s</w:t>
      </w:r>
      <w:r w:rsidRPr="001C26A8">
        <w:rPr>
          <w:sz w:val="32"/>
          <w:szCs w:val="32"/>
        </w:rPr>
        <w:t xml:space="preserve"> </w:t>
      </w:r>
      <w:r w:rsidR="0028247B">
        <w:rPr>
          <w:sz w:val="32"/>
          <w:szCs w:val="32"/>
        </w:rPr>
        <w:t>Handbook</w:t>
      </w:r>
    </w:p>
    <w:p w:rsidR="004317B4" w:rsidRDefault="004317B4" w:rsidP="000F7FFA">
      <w:pPr>
        <w:pStyle w:val="ListParagraph"/>
        <w:numPr>
          <w:ilvl w:val="0"/>
          <w:numId w:val="5"/>
        </w:numPr>
        <w:rPr>
          <w:color w:val="365F91" w:themeColor="accent1" w:themeShade="BF"/>
          <w:sz w:val="32"/>
          <w:szCs w:val="32"/>
        </w:rPr>
      </w:pPr>
      <w:r>
        <w:rPr>
          <w:color w:val="365F91" w:themeColor="accent1" w:themeShade="BF"/>
          <w:sz w:val="32"/>
          <w:szCs w:val="32"/>
        </w:rPr>
        <w:t>CSWG members made updates to the Nodal Settlements Handbook</w:t>
      </w:r>
    </w:p>
    <w:p w:rsidR="000F7FFA" w:rsidRPr="006B1979" w:rsidRDefault="000F7FFA" w:rsidP="000F7FFA">
      <w:pPr>
        <w:pStyle w:val="ListParagraph"/>
        <w:numPr>
          <w:ilvl w:val="0"/>
          <w:numId w:val="5"/>
        </w:numPr>
        <w:rPr>
          <w:color w:val="365F91" w:themeColor="accent1" w:themeShade="BF"/>
          <w:sz w:val="32"/>
          <w:szCs w:val="32"/>
        </w:rPr>
      </w:pPr>
      <w:r w:rsidRPr="006B1979">
        <w:rPr>
          <w:color w:val="365F91" w:themeColor="accent1" w:themeShade="BF"/>
          <w:sz w:val="32"/>
          <w:szCs w:val="32"/>
        </w:rPr>
        <w:t>COPMGRR045, Admin</w:t>
      </w:r>
      <w:r>
        <w:rPr>
          <w:color w:val="365F91" w:themeColor="accent1" w:themeShade="BF"/>
          <w:sz w:val="32"/>
          <w:szCs w:val="32"/>
        </w:rPr>
        <w:t>i</w:t>
      </w:r>
      <w:r w:rsidRPr="006B1979">
        <w:rPr>
          <w:color w:val="365F91" w:themeColor="accent1" w:themeShade="BF"/>
          <w:sz w:val="32"/>
          <w:szCs w:val="32"/>
        </w:rPr>
        <w:t>strative Changes for January 1, 2017 Commercial Operations Market Guide – Alignment with Section 21,</w:t>
      </w:r>
      <w:r w:rsidR="00CD5089">
        <w:rPr>
          <w:color w:val="365F91" w:themeColor="accent1" w:themeShade="BF"/>
          <w:sz w:val="32"/>
          <w:szCs w:val="32"/>
        </w:rPr>
        <w:t xml:space="preserve"> reviewed and</w:t>
      </w:r>
      <w:r w:rsidRPr="006B1979">
        <w:rPr>
          <w:color w:val="365F91" w:themeColor="accent1" w:themeShade="BF"/>
          <w:sz w:val="32"/>
          <w:szCs w:val="32"/>
        </w:rPr>
        <w:t xml:space="preserve"> implemented (Effective 1/1/2017).</w:t>
      </w:r>
    </w:p>
    <w:p w:rsidR="00140495" w:rsidRPr="00FC0D59" w:rsidRDefault="00140495" w:rsidP="00FC0D59">
      <w:pPr>
        <w:pStyle w:val="ListParagraph"/>
        <w:numPr>
          <w:ilvl w:val="0"/>
          <w:numId w:val="5"/>
        </w:numPr>
        <w:rPr>
          <w:color w:val="365F91" w:themeColor="accent1" w:themeShade="BF"/>
          <w:sz w:val="32"/>
          <w:szCs w:val="32"/>
        </w:rPr>
      </w:pPr>
      <w:r w:rsidRPr="00FC0D59">
        <w:rPr>
          <w:color w:val="365F91" w:themeColor="accent1" w:themeShade="BF"/>
          <w:sz w:val="32"/>
          <w:szCs w:val="32"/>
        </w:rPr>
        <w:t>COPMGRR046, Commercial Operations Market Guide Revision Request Process, reviewed</w:t>
      </w:r>
      <w:r w:rsidR="00CD5089">
        <w:rPr>
          <w:color w:val="365F91" w:themeColor="accent1" w:themeShade="BF"/>
          <w:sz w:val="32"/>
          <w:szCs w:val="32"/>
        </w:rPr>
        <w:t>, approved</w:t>
      </w:r>
      <w:r w:rsidRPr="00FC0D59">
        <w:rPr>
          <w:color w:val="365F91" w:themeColor="accent1" w:themeShade="BF"/>
          <w:sz w:val="32"/>
          <w:szCs w:val="32"/>
        </w:rPr>
        <w:t xml:space="preserve"> and </w:t>
      </w:r>
      <w:r w:rsidR="00CD5089">
        <w:rPr>
          <w:color w:val="365F91" w:themeColor="accent1" w:themeShade="BF"/>
          <w:sz w:val="32"/>
          <w:szCs w:val="32"/>
        </w:rPr>
        <w:t>implemented</w:t>
      </w:r>
      <w:r w:rsidRPr="00FC0D59">
        <w:rPr>
          <w:color w:val="365F91" w:themeColor="accent1" w:themeShade="BF"/>
          <w:sz w:val="32"/>
          <w:szCs w:val="32"/>
        </w:rPr>
        <w:t xml:space="preserve"> </w:t>
      </w:r>
      <w:r w:rsidR="0057221D">
        <w:rPr>
          <w:color w:val="365F91" w:themeColor="accent1" w:themeShade="BF"/>
          <w:sz w:val="32"/>
          <w:szCs w:val="32"/>
        </w:rPr>
        <w:t>(Effective 6/1/2017)</w:t>
      </w:r>
      <w:r w:rsidR="000A0A1D">
        <w:rPr>
          <w:color w:val="365F91" w:themeColor="accent1" w:themeShade="BF"/>
          <w:sz w:val="32"/>
          <w:szCs w:val="32"/>
        </w:rPr>
        <w:t xml:space="preserve"> </w:t>
      </w:r>
    </w:p>
    <w:p w:rsidR="00DC4002" w:rsidRDefault="00DC4002" w:rsidP="00E90B90">
      <w:pPr>
        <w:pStyle w:val="ListParagraph"/>
        <w:numPr>
          <w:ilvl w:val="0"/>
          <w:numId w:val="4"/>
        </w:numPr>
        <w:rPr>
          <w:sz w:val="32"/>
          <w:szCs w:val="32"/>
        </w:rPr>
      </w:pPr>
      <w:r w:rsidRPr="001C26A8">
        <w:rPr>
          <w:sz w:val="32"/>
          <w:szCs w:val="32"/>
        </w:rPr>
        <w:t>Work with ERCOT staff and Transmission and Distribution Service Provider</w:t>
      </w:r>
      <w:r w:rsidR="003524BB">
        <w:rPr>
          <w:sz w:val="32"/>
          <w:szCs w:val="32"/>
        </w:rPr>
        <w:t xml:space="preserve"> staff</w:t>
      </w:r>
      <w:r w:rsidRPr="001C26A8">
        <w:rPr>
          <w:sz w:val="32"/>
          <w:szCs w:val="32"/>
        </w:rPr>
        <w:t xml:space="preserve"> to address issues and facilitate improvements to market rules pertaining to load profiling as reflected in the ERCOT Protocols and the Load Profiling Guide</w:t>
      </w:r>
    </w:p>
    <w:p w:rsidR="001A0ED5" w:rsidRDefault="001A0ED5" w:rsidP="00606EBB">
      <w:pPr>
        <w:pStyle w:val="ListParagraph"/>
        <w:numPr>
          <w:ilvl w:val="0"/>
          <w:numId w:val="5"/>
        </w:numPr>
        <w:rPr>
          <w:color w:val="365F91" w:themeColor="accent1" w:themeShade="BF"/>
          <w:sz w:val="32"/>
          <w:szCs w:val="32"/>
        </w:rPr>
      </w:pPr>
      <w:r>
        <w:rPr>
          <w:color w:val="365F91" w:themeColor="accent1" w:themeShade="BF"/>
          <w:sz w:val="32"/>
          <w:szCs w:val="32"/>
        </w:rPr>
        <w:t>PWG scope updated to align with changes to the Load Profiling Guide and Nodal Protocols</w:t>
      </w:r>
    </w:p>
    <w:p w:rsidR="00122A96" w:rsidRDefault="00122A96" w:rsidP="00606EBB">
      <w:pPr>
        <w:pStyle w:val="ListParagraph"/>
        <w:numPr>
          <w:ilvl w:val="0"/>
          <w:numId w:val="5"/>
        </w:numPr>
        <w:rPr>
          <w:color w:val="365F91" w:themeColor="accent1" w:themeShade="BF"/>
          <w:sz w:val="32"/>
          <w:szCs w:val="32"/>
        </w:rPr>
      </w:pPr>
      <w:r>
        <w:rPr>
          <w:color w:val="365F91" w:themeColor="accent1" w:themeShade="BF"/>
          <w:sz w:val="32"/>
          <w:szCs w:val="32"/>
        </w:rPr>
        <w:t>LPGRR060, Load Profiling Guide Clean Up Related to LPGRR057, created, reviewed and approved (Effective 4/1/2017)</w:t>
      </w:r>
    </w:p>
    <w:p w:rsidR="004F1C2B" w:rsidRDefault="004F1C2B" w:rsidP="00606EBB">
      <w:pPr>
        <w:pStyle w:val="ListParagraph"/>
        <w:numPr>
          <w:ilvl w:val="0"/>
          <w:numId w:val="5"/>
        </w:numPr>
        <w:rPr>
          <w:color w:val="365F91" w:themeColor="accent1" w:themeShade="BF"/>
          <w:sz w:val="32"/>
          <w:szCs w:val="32"/>
        </w:rPr>
      </w:pPr>
      <w:r>
        <w:rPr>
          <w:color w:val="365F91" w:themeColor="accent1" w:themeShade="BF"/>
          <w:sz w:val="32"/>
          <w:szCs w:val="32"/>
        </w:rPr>
        <w:t>LPGRR061, Modifications to Annual Validation Timelines, created, reviewed and approved (Effective 4/1/2017)</w:t>
      </w:r>
    </w:p>
    <w:p w:rsidR="004B6442" w:rsidRDefault="004B6442" w:rsidP="00606EBB">
      <w:pPr>
        <w:pStyle w:val="ListParagraph"/>
        <w:numPr>
          <w:ilvl w:val="0"/>
          <w:numId w:val="5"/>
        </w:numPr>
        <w:rPr>
          <w:color w:val="365F91" w:themeColor="accent1" w:themeShade="BF"/>
          <w:sz w:val="32"/>
          <w:szCs w:val="32"/>
        </w:rPr>
      </w:pPr>
      <w:r>
        <w:rPr>
          <w:color w:val="365F91" w:themeColor="accent1" w:themeShade="BF"/>
          <w:sz w:val="32"/>
          <w:szCs w:val="32"/>
        </w:rPr>
        <w:lastRenderedPageBreak/>
        <w:t>LPGRR062, Load Profiling Guide Revision Request Process, reviewed and approved (Effective 6/1/2017)</w:t>
      </w:r>
    </w:p>
    <w:p w:rsidR="00606EBB" w:rsidRPr="00FC0D59" w:rsidRDefault="00606EBB" w:rsidP="00606EBB">
      <w:pPr>
        <w:pStyle w:val="ListParagraph"/>
        <w:numPr>
          <w:ilvl w:val="0"/>
          <w:numId w:val="5"/>
        </w:numPr>
        <w:rPr>
          <w:color w:val="365F91" w:themeColor="accent1" w:themeShade="BF"/>
          <w:sz w:val="32"/>
          <w:szCs w:val="32"/>
        </w:rPr>
      </w:pPr>
      <w:r>
        <w:rPr>
          <w:color w:val="365F91" w:themeColor="accent1" w:themeShade="BF"/>
          <w:sz w:val="32"/>
          <w:szCs w:val="32"/>
        </w:rPr>
        <w:t>LP</w:t>
      </w:r>
      <w:r w:rsidRPr="00FC0D59">
        <w:rPr>
          <w:color w:val="365F91" w:themeColor="accent1" w:themeShade="BF"/>
          <w:sz w:val="32"/>
          <w:szCs w:val="32"/>
        </w:rPr>
        <w:t>GRR0</w:t>
      </w:r>
      <w:r>
        <w:rPr>
          <w:color w:val="365F91" w:themeColor="accent1" w:themeShade="BF"/>
          <w:sz w:val="32"/>
          <w:szCs w:val="32"/>
        </w:rPr>
        <w:t>63</w:t>
      </w:r>
      <w:r w:rsidRPr="00FC0D59">
        <w:rPr>
          <w:color w:val="365F91" w:themeColor="accent1" w:themeShade="BF"/>
          <w:sz w:val="32"/>
          <w:szCs w:val="32"/>
        </w:rPr>
        <w:t xml:space="preserve">, </w:t>
      </w:r>
      <w:r>
        <w:rPr>
          <w:color w:val="365F91" w:themeColor="accent1" w:themeShade="BF"/>
          <w:sz w:val="32"/>
          <w:szCs w:val="32"/>
        </w:rPr>
        <w:t>Assignment of BUSOGFLT Profile Type</w:t>
      </w:r>
      <w:r w:rsidRPr="00FC0D59">
        <w:rPr>
          <w:color w:val="365F91" w:themeColor="accent1" w:themeShade="BF"/>
          <w:sz w:val="32"/>
          <w:szCs w:val="32"/>
        </w:rPr>
        <w:t xml:space="preserve">, </w:t>
      </w:r>
      <w:r>
        <w:rPr>
          <w:color w:val="365F91" w:themeColor="accent1" w:themeShade="BF"/>
          <w:sz w:val="32"/>
          <w:szCs w:val="32"/>
        </w:rPr>
        <w:t xml:space="preserve">created, </w:t>
      </w:r>
      <w:r w:rsidRPr="00FC0D59">
        <w:rPr>
          <w:color w:val="365F91" w:themeColor="accent1" w:themeShade="BF"/>
          <w:sz w:val="32"/>
          <w:szCs w:val="32"/>
        </w:rPr>
        <w:t xml:space="preserve">reviewed and approved </w:t>
      </w:r>
      <w:r>
        <w:rPr>
          <w:color w:val="365F91" w:themeColor="accent1" w:themeShade="BF"/>
          <w:sz w:val="32"/>
          <w:szCs w:val="32"/>
        </w:rPr>
        <w:t>(Effective 8/1/2017)</w:t>
      </w:r>
    </w:p>
    <w:p w:rsidR="00E90B90" w:rsidRDefault="00781257" w:rsidP="00E90B90">
      <w:pPr>
        <w:pStyle w:val="ListParagraph"/>
        <w:numPr>
          <w:ilvl w:val="0"/>
          <w:numId w:val="4"/>
        </w:numPr>
        <w:rPr>
          <w:sz w:val="32"/>
          <w:szCs w:val="32"/>
        </w:rPr>
      </w:pPr>
      <w:r w:rsidRPr="001C26A8">
        <w:rPr>
          <w:sz w:val="32"/>
          <w:szCs w:val="32"/>
        </w:rPr>
        <w:t xml:space="preserve">Perform </w:t>
      </w:r>
      <w:r w:rsidR="00D96155" w:rsidRPr="001C26A8">
        <w:rPr>
          <w:sz w:val="32"/>
          <w:szCs w:val="32"/>
        </w:rPr>
        <w:t xml:space="preserve">Retail </w:t>
      </w:r>
      <w:r w:rsidRPr="001C26A8">
        <w:rPr>
          <w:sz w:val="32"/>
          <w:szCs w:val="32"/>
        </w:rPr>
        <w:t xml:space="preserve">Load </w:t>
      </w:r>
      <w:r w:rsidR="00D96155" w:rsidRPr="001C26A8">
        <w:rPr>
          <w:sz w:val="32"/>
          <w:szCs w:val="32"/>
        </w:rPr>
        <w:t>Profil</w:t>
      </w:r>
      <w:r w:rsidRPr="001C26A8">
        <w:rPr>
          <w:sz w:val="32"/>
          <w:szCs w:val="32"/>
        </w:rPr>
        <w:t>ing</w:t>
      </w:r>
      <w:r w:rsidR="00D96155" w:rsidRPr="001C26A8">
        <w:rPr>
          <w:sz w:val="32"/>
          <w:szCs w:val="32"/>
        </w:rPr>
        <w:t xml:space="preserve"> Annual Validation</w:t>
      </w:r>
    </w:p>
    <w:p w:rsidR="000D4DE3" w:rsidRDefault="00EC41D8" w:rsidP="000D4DE3">
      <w:pPr>
        <w:pStyle w:val="ListParagraph"/>
        <w:numPr>
          <w:ilvl w:val="0"/>
          <w:numId w:val="5"/>
        </w:numPr>
        <w:rPr>
          <w:color w:val="365F91" w:themeColor="accent1" w:themeShade="BF"/>
          <w:sz w:val="32"/>
          <w:szCs w:val="32"/>
        </w:rPr>
      </w:pPr>
      <w:r>
        <w:rPr>
          <w:color w:val="365F91" w:themeColor="accent1" w:themeShade="BF"/>
          <w:sz w:val="32"/>
          <w:szCs w:val="32"/>
        </w:rPr>
        <w:t>Annual Validation completed</w:t>
      </w:r>
    </w:p>
    <w:p w:rsidR="00EC41D8" w:rsidRPr="00FC0D59" w:rsidRDefault="00EC41D8" w:rsidP="000D4DE3">
      <w:pPr>
        <w:pStyle w:val="ListParagraph"/>
        <w:numPr>
          <w:ilvl w:val="0"/>
          <w:numId w:val="5"/>
        </w:numPr>
        <w:rPr>
          <w:color w:val="365F91" w:themeColor="accent1" w:themeShade="BF"/>
          <w:sz w:val="32"/>
          <w:szCs w:val="32"/>
        </w:rPr>
      </w:pPr>
      <w:r>
        <w:rPr>
          <w:color w:val="365F91" w:themeColor="accent1" w:themeShade="BF"/>
          <w:sz w:val="32"/>
          <w:szCs w:val="32"/>
        </w:rPr>
        <w:t>Performed review of the Annual Validation process, including “Flip-Fops” from year to year, Verification of changes and Weather impacts</w:t>
      </w:r>
    </w:p>
    <w:p w:rsidR="00D96155" w:rsidRDefault="00781257" w:rsidP="00E90B90">
      <w:pPr>
        <w:pStyle w:val="ListParagraph"/>
        <w:numPr>
          <w:ilvl w:val="0"/>
          <w:numId w:val="4"/>
        </w:numPr>
        <w:rPr>
          <w:sz w:val="32"/>
          <w:szCs w:val="32"/>
        </w:rPr>
      </w:pPr>
      <w:r w:rsidRPr="001C26A8">
        <w:rPr>
          <w:sz w:val="32"/>
          <w:szCs w:val="32"/>
        </w:rPr>
        <w:t xml:space="preserve">Work with </w:t>
      </w:r>
      <w:r w:rsidR="00D96155" w:rsidRPr="001C26A8">
        <w:rPr>
          <w:sz w:val="32"/>
          <w:szCs w:val="32"/>
        </w:rPr>
        <w:t xml:space="preserve">ERCOT staff </w:t>
      </w:r>
      <w:r w:rsidRPr="001C26A8">
        <w:rPr>
          <w:sz w:val="32"/>
          <w:szCs w:val="32"/>
        </w:rPr>
        <w:t xml:space="preserve">to review </w:t>
      </w:r>
      <w:r w:rsidR="00D96155" w:rsidRPr="001C26A8">
        <w:rPr>
          <w:sz w:val="32"/>
          <w:szCs w:val="32"/>
        </w:rPr>
        <w:t>Market Communications</w:t>
      </w:r>
      <w:r w:rsidR="001C661D" w:rsidRPr="001C26A8">
        <w:rPr>
          <w:sz w:val="32"/>
          <w:szCs w:val="32"/>
        </w:rPr>
        <w:t>/Notifications</w:t>
      </w:r>
      <w:r w:rsidR="00726727">
        <w:rPr>
          <w:sz w:val="32"/>
          <w:szCs w:val="32"/>
        </w:rPr>
        <w:t xml:space="preserve"> </w:t>
      </w:r>
      <w:r w:rsidRPr="001C26A8">
        <w:rPr>
          <w:sz w:val="32"/>
          <w:szCs w:val="32"/>
        </w:rPr>
        <w:t>and identify</w:t>
      </w:r>
      <w:r w:rsidR="00D96155" w:rsidRPr="001C26A8">
        <w:rPr>
          <w:sz w:val="32"/>
          <w:szCs w:val="32"/>
        </w:rPr>
        <w:t xml:space="preserve"> process improvements</w:t>
      </w:r>
    </w:p>
    <w:p w:rsidR="00932376" w:rsidRPr="00FC0D59" w:rsidRDefault="00A054B1" w:rsidP="00932376">
      <w:pPr>
        <w:pStyle w:val="ListParagraph"/>
        <w:numPr>
          <w:ilvl w:val="0"/>
          <w:numId w:val="8"/>
        </w:numPr>
        <w:rPr>
          <w:color w:val="365F91" w:themeColor="accent1" w:themeShade="BF"/>
          <w:sz w:val="32"/>
          <w:szCs w:val="32"/>
        </w:rPr>
      </w:pPr>
      <w:r>
        <w:rPr>
          <w:color w:val="365F91" w:themeColor="accent1" w:themeShade="BF"/>
          <w:sz w:val="32"/>
          <w:szCs w:val="32"/>
        </w:rPr>
        <w:t xml:space="preserve">ERCOT staff provided </w:t>
      </w:r>
      <w:r w:rsidR="004A2EC8">
        <w:rPr>
          <w:color w:val="365F91" w:themeColor="accent1" w:themeShade="BF"/>
          <w:sz w:val="32"/>
          <w:szCs w:val="32"/>
        </w:rPr>
        <w:t xml:space="preserve">a </w:t>
      </w:r>
      <w:r>
        <w:rPr>
          <w:color w:val="365F91" w:themeColor="accent1" w:themeShade="BF"/>
          <w:sz w:val="32"/>
          <w:szCs w:val="32"/>
        </w:rPr>
        <w:t xml:space="preserve">market notice for ERCOT Settlements Timeline for </w:t>
      </w:r>
      <w:r w:rsidR="004A2EC8">
        <w:rPr>
          <w:color w:val="365F91" w:themeColor="accent1" w:themeShade="BF"/>
          <w:sz w:val="32"/>
          <w:szCs w:val="32"/>
        </w:rPr>
        <w:t xml:space="preserve">the </w:t>
      </w:r>
      <w:r>
        <w:rPr>
          <w:color w:val="365F91" w:themeColor="accent1" w:themeShade="BF"/>
          <w:sz w:val="32"/>
          <w:szCs w:val="32"/>
        </w:rPr>
        <w:t>2017 Holiday Period</w:t>
      </w:r>
    </w:p>
    <w:p w:rsidR="00D96155" w:rsidRDefault="00781257" w:rsidP="00E90B90">
      <w:pPr>
        <w:pStyle w:val="ListParagraph"/>
        <w:numPr>
          <w:ilvl w:val="0"/>
          <w:numId w:val="4"/>
        </w:numPr>
        <w:rPr>
          <w:sz w:val="32"/>
          <w:szCs w:val="32"/>
        </w:rPr>
      </w:pPr>
      <w:r w:rsidRPr="001C26A8">
        <w:rPr>
          <w:sz w:val="32"/>
          <w:szCs w:val="32"/>
        </w:rPr>
        <w:t xml:space="preserve">Work with ERCOT staff to </w:t>
      </w:r>
      <w:r w:rsidR="00375BC7" w:rsidRPr="001C26A8">
        <w:rPr>
          <w:sz w:val="32"/>
          <w:szCs w:val="32"/>
        </w:rPr>
        <w:t>implement</w:t>
      </w:r>
      <w:r w:rsidRPr="001C26A8">
        <w:rPr>
          <w:sz w:val="32"/>
          <w:szCs w:val="32"/>
        </w:rPr>
        <w:t xml:space="preserve"> </w:t>
      </w:r>
      <w:r w:rsidR="003312C7" w:rsidRPr="001C26A8">
        <w:rPr>
          <w:sz w:val="32"/>
          <w:szCs w:val="32"/>
        </w:rPr>
        <w:t xml:space="preserve">improvements to the </w:t>
      </w:r>
      <w:r w:rsidRPr="001C26A8">
        <w:rPr>
          <w:sz w:val="32"/>
          <w:szCs w:val="32"/>
        </w:rPr>
        <w:t>Market Information S</w:t>
      </w:r>
      <w:r w:rsidR="00AB0C2D">
        <w:rPr>
          <w:sz w:val="32"/>
          <w:szCs w:val="32"/>
        </w:rPr>
        <w:t>ystem</w:t>
      </w:r>
      <w:r w:rsidRPr="001C26A8">
        <w:rPr>
          <w:sz w:val="32"/>
          <w:szCs w:val="32"/>
        </w:rPr>
        <w:t xml:space="preserve"> </w:t>
      </w:r>
      <w:r w:rsidR="007B36DD" w:rsidRPr="001C26A8">
        <w:rPr>
          <w:sz w:val="32"/>
          <w:szCs w:val="32"/>
        </w:rPr>
        <w:t xml:space="preserve">(MIS) </w:t>
      </w:r>
      <w:r w:rsidR="003312C7" w:rsidRPr="001C26A8">
        <w:rPr>
          <w:sz w:val="32"/>
          <w:szCs w:val="32"/>
        </w:rPr>
        <w:t xml:space="preserve">and </w:t>
      </w:r>
      <w:r w:rsidR="00814F90">
        <w:rPr>
          <w:sz w:val="32"/>
          <w:szCs w:val="32"/>
        </w:rPr>
        <w:t>E</w:t>
      </w:r>
      <w:r w:rsidR="003312C7" w:rsidRPr="001C26A8">
        <w:rPr>
          <w:sz w:val="32"/>
          <w:szCs w:val="32"/>
        </w:rPr>
        <w:t xml:space="preserve">xternal </w:t>
      </w:r>
      <w:r w:rsidR="00814F90">
        <w:rPr>
          <w:sz w:val="32"/>
          <w:szCs w:val="32"/>
        </w:rPr>
        <w:t>W</w:t>
      </w:r>
      <w:r w:rsidR="003312C7" w:rsidRPr="001C26A8">
        <w:rPr>
          <w:sz w:val="32"/>
          <w:szCs w:val="32"/>
        </w:rPr>
        <w:t xml:space="preserve">eb </w:t>
      </w:r>
      <w:r w:rsidR="00814F90">
        <w:rPr>
          <w:sz w:val="32"/>
          <w:szCs w:val="32"/>
        </w:rPr>
        <w:t>S</w:t>
      </w:r>
      <w:r w:rsidR="003312C7" w:rsidRPr="001C26A8">
        <w:rPr>
          <w:sz w:val="32"/>
          <w:szCs w:val="32"/>
        </w:rPr>
        <w:t>ervices</w:t>
      </w:r>
      <w:r w:rsidR="00814F90">
        <w:rPr>
          <w:sz w:val="32"/>
          <w:szCs w:val="32"/>
        </w:rPr>
        <w:t xml:space="preserve"> (EWS)</w:t>
      </w:r>
      <w:r w:rsidR="003312C7" w:rsidRPr="001C26A8">
        <w:rPr>
          <w:sz w:val="32"/>
          <w:szCs w:val="32"/>
        </w:rPr>
        <w:t>, data access points for market participants, information security classifications, data extracts and Commercial Operations reports</w:t>
      </w:r>
    </w:p>
    <w:p w:rsidR="00F141C6" w:rsidRDefault="00F141C6" w:rsidP="00932376">
      <w:pPr>
        <w:pStyle w:val="ListParagraph"/>
        <w:numPr>
          <w:ilvl w:val="0"/>
          <w:numId w:val="7"/>
        </w:numPr>
        <w:rPr>
          <w:color w:val="365F91" w:themeColor="accent1" w:themeShade="BF"/>
          <w:sz w:val="32"/>
          <w:szCs w:val="32"/>
        </w:rPr>
      </w:pPr>
      <w:r>
        <w:rPr>
          <w:color w:val="365F91" w:themeColor="accent1" w:themeShade="BF"/>
          <w:sz w:val="32"/>
          <w:szCs w:val="32"/>
        </w:rPr>
        <w:t>API Quick Start Guide published</w:t>
      </w:r>
      <w:r w:rsidR="004A2EC8">
        <w:rPr>
          <w:color w:val="365F91" w:themeColor="accent1" w:themeShade="BF"/>
          <w:sz w:val="32"/>
          <w:szCs w:val="32"/>
        </w:rPr>
        <w:t>/</w:t>
      </w:r>
      <w:r>
        <w:rPr>
          <w:color w:val="365F91" w:themeColor="accent1" w:themeShade="BF"/>
          <w:sz w:val="32"/>
          <w:szCs w:val="32"/>
        </w:rPr>
        <w:t>posted</w:t>
      </w:r>
    </w:p>
    <w:p w:rsidR="000D0C2A" w:rsidRDefault="000D0C2A" w:rsidP="00932376">
      <w:pPr>
        <w:pStyle w:val="ListParagraph"/>
        <w:numPr>
          <w:ilvl w:val="0"/>
          <w:numId w:val="7"/>
        </w:numPr>
        <w:rPr>
          <w:color w:val="365F91" w:themeColor="accent1" w:themeShade="BF"/>
          <w:sz w:val="32"/>
          <w:szCs w:val="32"/>
        </w:rPr>
      </w:pPr>
      <w:r>
        <w:rPr>
          <w:color w:val="365F91" w:themeColor="accent1" w:themeShade="BF"/>
          <w:sz w:val="32"/>
          <w:szCs w:val="32"/>
        </w:rPr>
        <w:t>Creat</w:t>
      </w:r>
      <w:r w:rsidR="004A2EC8">
        <w:rPr>
          <w:color w:val="365F91" w:themeColor="accent1" w:themeShade="BF"/>
          <w:sz w:val="32"/>
          <w:szCs w:val="32"/>
        </w:rPr>
        <w:t xml:space="preserve">ed </w:t>
      </w:r>
      <w:r>
        <w:rPr>
          <w:color w:val="365F91" w:themeColor="accent1" w:themeShade="BF"/>
          <w:sz w:val="32"/>
          <w:szCs w:val="32"/>
        </w:rPr>
        <w:t>draft ERCOT Data Strategy and MIS Changes Visibility Whitepaper</w:t>
      </w:r>
    </w:p>
    <w:p w:rsidR="000D0C2A" w:rsidRDefault="000D0C2A" w:rsidP="00932376">
      <w:pPr>
        <w:pStyle w:val="ListParagraph"/>
        <w:numPr>
          <w:ilvl w:val="0"/>
          <w:numId w:val="7"/>
        </w:numPr>
        <w:rPr>
          <w:color w:val="365F91" w:themeColor="accent1" w:themeShade="BF"/>
          <w:sz w:val="32"/>
          <w:szCs w:val="32"/>
        </w:rPr>
      </w:pPr>
      <w:r>
        <w:rPr>
          <w:color w:val="365F91" w:themeColor="accent1" w:themeShade="BF"/>
          <w:sz w:val="32"/>
          <w:szCs w:val="32"/>
        </w:rPr>
        <w:t xml:space="preserve">NOGRR166, Removal of the Daily Grid Operations Summary Report (Replaced NOGRR084) – </w:t>
      </w:r>
      <w:r w:rsidR="00EA276E">
        <w:rPr>
          <w:color w:val="365F91" w:themeColor="accent1" w:themeShade="BF"/>
          <w:sz w:val="32"/>
          <w:szCs w:val="32"/>
        </w:rPr>
        <w:t xml:space="preserve">After a lot of work performed by the MDWG, </w:t>
      </w:r>
      <w:r>
        <w:rPr>
          <w:color w:val="365F91" w:themeColor="accent1" w:themeShade="BF"/>
          <w:sz w:val="32"/>
          <w:szCs w:val="32"/>
        </w:rPr>
        <w:t>TAC</w:t>
      </w:r>
      <w:r w:rsidR="00780784">
        <w:rPr>
          <w:color w:val="365F91" w:themeColor="accent1" w:themeShade="BF"/>
          <w:sz w:val="32"/>
          <w:szCs w:val="32"/>
        </w:rPr>
        <w:t xml:space="preserve"> Members determined that the Daily Grid Operations report was not needed</w:t>
      </w:r>
      <w:r>
        <w:rPr>
          <w:color w:val="365F91" w:themeColor="accent1" w:themeShade="BF"/>
          <w:sz w:val="32"/>
          <w:szCs w:val="32"/>
        </w:rPr>
        <w:t xml:space="preserve"> (Effective 4/1/2017)</w:t>
      </w:r>
    </w:p>
    <w:p w:rsidR="00932376" w:rsidRDefault="00932376" w:rsidP="00932376">
      <w:pPr>
        <w:pStyle w:val="ListParagraph"/>
        <w:numPr>
          <w:ilvl w:val="0"/>
          <w:numId w:val="7"/>
        </w:numPr>
        <w:rPr>
          <w:color w:val="365F91" w:themeColor="accent1" w:themeShade="BF"/>
          <w:sz w:val="32"/>
          <w:szCs w:val="32"/>
        </w:rPr>
      </w:pPr>
      <w:r>
        <w:rPr>
          <w:color w:val="365F91" w:themeColor="accent1" w:themeShade="BF"/>
          <w:sz w:val="32"/>
          <w:szCs w:val="32"/>
        </w:rPr>
        <w:t>SCR</w:t>
      </w:r>
      <w:r w:rsidR="007924D9">
        <w:rPr>
          <w:color w:val="365F91" w:themeColor="accent1" w:themeShade="BF"/>
          <w:sz w:val="32"/>
          <w:szCs w:val="32"/>
        </w:rPr>
        <w:t>791</w:t>
      </w:r>
      <w:r w:rsidRPr="00FC0D59">
        <w:rPr>
          <w:color w:val="365F91" w:themeColor="accent1" w:themeShade="BF"/>
          <w:sz w:val="32"/>
          <w:szCs w:val="32"/>
        </w:rPr>
        <w:t xml:space="preserve">, </w:t>
      </w:r>
      <w:r w:rsidR="0001426A">
        <w:rPr>
          <w:color w:val="365F91" w:themeColor="accent1" w:themeShade="BF"/>
          <w:sz w:val="32"/>
          <w:szCs w:val="32"/>
        </w:rPr>
        <w:t xml:space="preserve">Correction of </w:t>
      </w:r>
      <w:r w:rsidR="00F141C6">
        <w:rPr>
          <w:color w:val="365F91" w:themeColor="accent1" w:themeShade="BF"/>
          <w:sz w:val="32"/>
          <w:szCs w:val="32"/>
        </w:rPr>
        <w:t>60 Day S</w:t>
      </w:r>
      <w:r w:rsidR="0001426A">
        <w:rPr>
          <w:color w:val="365F91" w:themeColor="accent1" w:themeShade="BF"/>
          <w:sz w:val="32"/>
          <w:szCs w:val="32"/>
        </w:rPr>
        <w:t xml:space="preserve">CED GRD Disclosure Report </w:t>
      </w:r>
      <w:r w:rsidR="00F141C6">
        <w:rPr>
          <w:color w:val="365F91" w:themeColor="accent1" w:themeShade="BF"/>
          <w:sz w:val="32"/>
          <w:szCs w:val="32"/>
        </w:rPr>
        <w:t xml:space="preserve">– Created and approved </w:t>
      </w:r>
      <w:r>
        <w:rPr>
          <w:color w:val="365F91" w:themeColor="accent1" w:themeShade="BF"/>
          <w:sz w:val="32"/>
          <w:szCs w:val="32"/>
        </w:rPr>
        <w:t>(</w:t>
      </w:r>
      <w:r w:rsidR="004A2EC8">
        <w:rPr>
          <w:color w:val="365F91" w:themeColor="accent1" w:themeShade="BF"/>
          <w:sz w:val="32"/>
          <w:szCs w:val="32"/>
        </w:rPr>
        <w:t xml:space="preserve">Effective </w:t>
      </w:r>
      <w:r w:rsidR="00F141C6">
        <w:rPr>
          <w:color w:val="365F91" w:themeColor="accent1" w:themeShade="BF"/>
          <w:sz w:val="32"/>
          <w:szCs w:val="32"/>
        </w:rPr>
        <w:t>Upon system implementation</w:t>
      </w:r>
      <w:r>
        <w:rPr>
          <w:color w:val="365F91" w:themeColor="accent1" w:themeShade="BF"/>
          <w:sz w:val="32"/>
          <w:szCs w:val="32"/>
        </w:rPr>
        <w:t>)</w:t>
      </w:r>
    </w:p>
    <w:p w:rsidR="004A2EC8" w:rsidRDefault="004A2EC8" w:rsidP="0024270F">
      <w:pPr>
        <w:rPr>
          <w:b/>
          <w:sz w:val="32"/>
          <w:szCs w:val="32"/>
        </w:rPr>
      </w:pPr>
    </w:p>
    <w:p w:rsidR="001406DD" w:rsidRPr="0024270F" w:rsidRDefault="000D0C2A" w:rsidP="0024270F">
      <w:pPr>
        <w:rPr>
          <w:b/>
          <w:sz w:val="32"/>
          <w:szCs w:val="32"/>
        </w:rPr>
      </w:pPr>
      <w:bookmarkStart w:id="0" w:name="_GoBack"/>
      <w:bookmarkEnd w:id="0"/>
      <w:r>
        <w:rPr>
          <w:b/>
          <w:sz w:val="32"/>
          <w:szCs w:val="32"/>
        </w:rPr>
        <w:lastRenderedPageBreak/>
        <w:t>Issues/Education/</w:t>
      </w:r>
      <w:r w:rsidR="001406DD" w:rsidRPr="0024270F">
        <w:rPr>
          <w:b/>
          <w:sz w:val="32"/>
          <w:szCs w:val="32"/>
        </w:rPr>
        <w:t>Training</w:t>
      </w:r>
    </w:p>
    <w:p w:rsidR="001406DD" w:rsidRDefault="001406DD" w:rsidP="00932376">
      <w:pPr>
        <w:pStyle w:val="ListParagraph"/>
        <w:numPr>
          <w:ilvl w:val="0"/>
          <w:numId w:val="7"/>
        </w:numPr>
        <w:rPr>
          <w:color w:val="365F91" w:themeColor="accent1" w:themeShade="BF"/>
          <w:sz w:val="32"/>
          <w:szCs w:val="32"/>
        </w:rPr>
      </w:pPr>
      <w:r>
        <w:rPr>
          <w:color w:val="365F91" w:themeColor="accent1" w:themeShade="BF"/>
          <w:sz w:val="32"/>
          <w:szCs w:val="32"/>
        </w:rPr>
        <w:t>Demonstration of the new Market Notice Archive search functionality, David Gonzales</w:t>
      </w:r>
    </w:p>
    <w:p w:rsidR="001406DD" w:rsidRDefault="001406DD" w:rsidP="00932376">
      <w:pPr>
        <w:pStyle w:val="ListParagraph"/>
        <w:numPr>
          <w:ilvl w:val="0"/>
          <w:numId w:val="7"/>
        </w:numPr>
        <w:rPr>
          <w:color w:val="365F91" w:themeColor="accent1" w:themeShade="BF"/>
          <w:sz w:val="32"/>
          <w:szCs w:val="32"/>
        </w:rPr>
      </w:pPr>
      <w:r>
        <w:rPr>
          <w:color w:val="365F91" w:themeColor="accent1" w:themeShade="BF"/>
          <w:sz w:val="32"/>
          <w:szCs w:val="32"/>
        </w:rPr>
        <w:t>Overview of Wholesale Storage Load Resource Settlements, Austin Rosel</w:t>
      </w:r>
    </w:p>
    <w:p w:rsidR="001406DD" w:rsidRDefault="001406DD" w:rsidP="00932376">
      <w:pPr>
        <w:pStyle w:val="ListParagraph"/>
        <w:numPr>
          <w:ilvl w:val="0"/>
          <w:numId w:val="7"/>
        </w:numPr>
        <w:rPr>
          <w:color w:val="365F91" w:themeColor="accent1" w:themeShade="BF"/>
          <w:sz w:val="32"/>
          <w:szCs w:val="32"/>
        </w:rPr>
      </w:pPr>
      <w:r>
        <w:rPr>
          <w:color w:val="365F91" w:themeColor="accent1" w:themeShade="BF"/>
          <w:sz w:val="32"/>
          <w:szCs w:val="32"/>
        </w:rPr>
        <w:t xml:space="preserve">Review of proposed order filed by PUCT Staff on 3/7/2017 for Docket No. </w:t>
      </w:r>
      <w:r w:rsidR="007E2144">
        <w:rPr>
          <w:color w:val="365F91" w:themeColor="accent1" w:themeShade="BF"/>
          <w:sz w:val="32"/>
          <w:szCs w:val="32"/>
        </w:rPr>
        <w:t>46604, Commission Staff’s Application to Set 2017 Wholesale Transmission Service Charges for ERCOT, Mark Ruane</w:t>
      </w:r>
    </w:p>
    <w:p w:rsidR="005566AD" w:rsidRDefault="005566AD" w:rsidP="00932376">
      <w:pPr>
        <w:pStyle w:val="ListParagraph"/>
        <w:numPr>
          <w:ilvl w:val="0"/>
          <w:numId w:val="7"/>
        </w:numPr>
        <w:rPr>
          <w:color w:val="365F91" w:themeColor="accent1" w:themeShade="BF"/>
          <w:sz w:val="32"/>
          <w:szCs w:val="32"/>
        </w:rPr>
      </w:pPr>
      <w:r>
        <w:rPr>
          <w:color w:val="365F91" w:themeColor="accent1" w:themeShade="BF"/>
          <w:sz w:val="32"/>
          <w:szCs w:val="32"/>
        </w:rPr>
        <w:t>Virtual Weather Zones Overview, Calvin Opheim</w:t>
      </w:r>
    </w:p>
    <w:p w:rsidR="005566AD" w:rsidRDefault="005566AD" w:rsidP="00932376">
      <w:pPr>
        <w:pStyle w:val="ListParagraph"/>
        <w:numPr>
          <w:ilvl w:val="0"/>
          <w:numId w:val="7"/>
        </w:numPr>
        <w:rPr>
          <w:color w:val="365F91" w:themeColor="accent1" w:themeShade="BF"/>
          <w:sz w:val="32"/>
          <w:szCs w:val="32"/>
        </w:rPr>
      </w:pPr>
      <w:r>
        <w:rPr>
          <w:color w:val="365F91" w:themeColor="accent1" w:themeShade="BF"/>
          <w:sz w:val="32"/>
          <w:szCs w:val="32"/>
        </w:rPr>
        <w:t>Overview of factors contributing to an increase in Revenue Neutrality</w:t>
      </w:r>
      <w:r w:rsidR="00054A9E">
        <w:rPr>
          <w:color w:val="365F91" w:themeColor="accent1" w:themeShade="BF"/>
          <w:sz w:val="32"/>
          <w:szCs w:val="32"/>
        </w:rPr>
        <w:t>.  Private Use Network net load not being included in Load-Zone price calculations, resource nodes islanded under contingencies in the DAM, and inaccurate load distribution factors in the DAM that do not accurately reflect transmission congestion patterns that materialize in the RTM, Aaron Townsend</w:t>
      </w:r>
    </w:p>
    <w:p w:rsidR="00054A9E" w:rsidRDefault="007924D9" w:rsidP="00932376">
      <w:pPr>
        <w:pStyle w:val="ListParagraph"/>
        <w:numPr>
          <w:ilvl w:val="0"/>
          <w:numId w:val="7"/>
        </w:numPr>
        <w:rPr>
          <w:color w:val="365F91" w:themeColor="accent1" w:themeShade="BF"/>
          <w:sz w:val="32"/>
          <w:szCs w:val="32"/>
        </w:rPr>
      </w:pPr>
      <w:r>
        <w:rPr>
          <w:color w:val="365F91" w:themeColor="accent1" w:themeShade="BF"/>
          <w:sz w:val="32"/>
          <w:szCs w:val="32"/>
        </w:rPr>
        <w:t>Review of RSS features, Amy Lofton</w:t>
      </w:r>
    </w:p>
    <w:p w:rsidR="004D38A0" w:rsidRPr="00FC0D59" w:rsidRDefault="004D38A0" w:rsidP="00932376">
      <w:pPr>
        <w:pStyle w:val="ListParagraph"/>
        <w:numPr>
          <w:ilvl w:val="0"/>
          <w:numId w:val="7"/>
        </w:numPr>
        <w:rPr>
          <w:color w:val="365F91" w:themeColor="accent1" w:themeShade="BF"/>
          <w:sz w:val="32"/>
          <w:szCs w:val="32"/>
        </w:rPr>
      </w:pPr>
      <w:r>
        <w:rPr>
          <w:color w:val="365F91" w:themeColor="accent1" w:themeShade="BF"/>
          <w:sz w:val="32"/>
          <w:szCs w:val="32"/>
        </w:rPr>
        <w:t>Overview of digital certificate download process, Dave Pagliai</w:t>
      </w:r>
    </w:p>
    <w:sectPr w:rsidR="004D38A0" w:rsidRPr="00FC0D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2B" w:rsidRDefault="0074222B" w:rsidP="0074222B">
      <w:pPr>
        <w:spacing w:after="0" w:line="240" w:lineRule="auto"/>
      </w:pPr>
      <w:r>
        <w:separator/>
      </w:r>
    </w:p>
  </w:endnote>
  <w:endnote w:type="continuationSeparator" w:id="0">
    <w:p w:rsidR="0074222B" w:rsidRDefault="0074222B" w:rsidP="0074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960024"/>
      <w:docPartObj>
        <w:docPartGallery w:val="Page Numbers (Bottom of Page)"/>
        <w:docPartUnique/>
      </w:docPartObj>
    </w:sdtPr>
    <w:sdtContent>
      <w:sdt>
        <w:sdtPr>
          <w:id w:val="1728636285"/>
          <w:docPartObj>
            <w:docPartGallery w:val="Page Numbers (Top of Page)"/>
            <w:docPartUnique/>
          </w:docPartObj>
        </w:sdtPr>
        <w:sdtContent>
          <w:p w:rsidR="0074222B" w:rsidRDefault="007422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425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25E1">
              <w:rPr>
                <w:b/>
                <w:bCs/>
                <w:noProof/>
              </w:rPr>
              <w:t>4</w:t>
            </w:r>
            <w:r>
              <w:rPr>
                <w:b/>
                <w:bCs/>
                <w:sz w:val="24"/>
                <w:szCs w:val="24"/>
              </w:rPr>
              <w:fldChar w:fldCharType="end"/>
            </w:r>
          </w:p>
        </w:sdtContent>
      </w:sdt>
    </w:sdtContent>
  </w:sdt>
  <w:p w:rsidR="0074222B" w:rsidRDefault="0074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2B" w:rsidRDefault="0074222B" w:rsidP="0074222B">
      <w:pPr>
        <w:spacing w:after="0" w:line="240" w:lineRule="auto"/>
      </w:pPr>
      <w:r>
        <w:separator/>
      </w:r>
    </w:p>
  </w:footnote>
  <w:footnote w:type="continuationSeparator" w:id="0">
    <w:p w:rsidR="0074222B" w:rsidRDefault="0074222B" w:rsidP="00742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2FC2"/>
    <w:multiLevelType w:val="hybridMultilevel"/>
    <w:tmpl w:val="D486D4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4538D"/>
    <w:multiLevelType w:val="hybridMultilevel"/>
    <w:tmpl w:val="3CE0D8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516DB"/>
    <w:multiLevelType w:val="hybridMultilevel"/>
    <w:tmpl w:val="F7F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81D09"/>
    <w:multiLevelType w:val="hybridMultilevel"/>
    <w:tmpl w:val="52226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2D76D2"/>
    <w:multiLevelType w:val="hybridMultilevel"/>
    <w:tmpl w:val="5100E2D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4F7FCE"/>
    <w:multiLevelType w:val="hybridMultilevel"/>
    <w:tmpl w:val="9DFEB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187AE8"/>
    <w:multiLevelType w:val="hybridMultilevel"/>
    <w:tmpl w:val="E054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942B6"/>
    <w:multiLevelType w:val="hybridMultilevel"/>
    <w:tmpl w:val="2648F11C"/>
    <w:lvl w:ilvl="0" w:tplc="45344D6C">
      <w:start w:val="1"/>
      <w:numFmt w:val="bullet"/>
      <w:lvlText w:val="•"/>
      <w:lvlJc w:val="left"/>
      <w:pPr>
        <w:tabs>
          <w:tab w:val="num" w:pos="720"/>
        </w:tabs>
        <w:ind w:left="720" w:hanging="360"/>
      </w:pPr>
      <w:rPr>
        <w:rFonts w:ascii="Arial" w:hAnsi="Arial" w:cs="Times New Roman" w:hint="default"/>
      </w:rPr>
    </w:lvl>
    <w:lvl w:ilvl="1" w:tplc="7A94E272">
      <w:start w:val="1"/>
      <w:numFmt w:val="bullet"/>
      <w:lvlText w:val="•"/>
      <w:lvlJc w:val="left"/>
      <w:pPr>
        <w:tabs>
          <w:tab w:val="num" w:pos="1440"/>
        </w:tabs>
        <w:ind w:left="1440" w:hanging="360"/>
      </w:pPr>
      <w:rPr>
        <w:rFonts w:ascii="Arial" w:hAnsi="Arial" w:cs="Times New Roman" w:hint="default"/>
      </w:rPr>
    </w:lvl>
    <w:lvl w:ilvl="2" w:tplc="B32408C6">
      <w:numFmt w:val="bullet"/>
      <w:lvlText w:val="•"/>
      <w:lvlJc w:val="left"/>
      <w:pPr>
        <w:tabs>
          <w:tab w:val="num" w:pos="2160"/>
        </w:tabs>
        <w:ind w:left="2160" w:hanging="360"/>
      </w:pPr>
      <w:rPr>
        <w:rFonts w:ascii="Arial" w:hAnsi="Arial" w:cs="Times New Roman" w:hint="default"/>
      </w:rPr>
    </w:lvl>
    <w:lvl w:ilvl="3" w:tplc="EBDC0656">
      <w:start w:val="1"/>
      <w:numFmt w:val="bullet"/>
      <w:lvlText w:val="•"/>
      <w:lvlJc w:val="left"/>
      <w:pPr>
        <w:tabs>
          <w:tab w:val="num" w:pos="2880"/>
        </w:tabs>
        <w:ind w:left="2880" w:hanging="360"/>
      </w:pPr>
      <w:rPr>
        <w:rFonts w:ascii="Arial" w:hAnsi="Arial" w:cs="Times New Roman" w:hint="default"/>
      </w:rPr>
    </w:lvl>
    <w:lvl w:ilvl="4" w:tplc="69CC2D1A">
      <w:start w:val="1"/>
      <w:numFmt w:val="bullet"/>
      <w:lvlText w:val="•"/>
      <w:lvlJc w:val="left"/>
      <w:pPr>
        <w:tabs>
          <w:tab w:val="num" w:pos="3600"/>
        </w:tabs>
        <w:ind w:left="3600" w:hanging="360"/>
      </w:pPr>
      <w:rPr>
        <w:rFonts w:ascii="Arial" w:hAnsi="Arial" w:cs="Times New Roman" w:hint="default"/>
      </w:rPr>
    </w:lvl>
    <w:lvl w:ilvl="5" w:tplc="8A80F18C">
      <w:start w:val="1"/>
      <w:numFmt w:val="bullet"/>
      <w:lvlText w:val="•"/>
      <w:lvlJc w:val="left"/>
      <w:pPr>
        <w:tabs>
          <w:tab w:val="num" w:pos="4320"/>
        </w:tabs>
        <w:ind w:left="4320" w:hanging="360"/>
      </w:pPr>
      <w:rPr>
        <w:rFonts w:ascii="Arial" w:hAnsi="Arial" w:cs="Times New Roman" w:hint="default"/>
      </w:rPr>
    </w:lvl>
    <w:lvl w:ilvl="6" w:tplc="208E43AA">
      <w:start w:val="1"/>
      <w:numFmt w:val="bullet"/>
      <w:lvlText w:val="•"/>
      <w:lvlJc w:val="left"/>
      <w:pPr>
        <w:tabs>
          <w:tab w:val="num" w:pos="5040"/>
        </w:tabs>
        <w:ind w:left="5040" w:hanging="360"/>
      </w:pPr>
      <w:rPr>
        <w:rFonts w:ascii="Arial" w:hAnsi="Arial" w:cs="Times New Roman" w:hint="default"/>
      </w:rPr>
    </w:lvl>
    <w:lvl w:ilvl="7" w:tplc="32CAD08C">
      <w:start w:val="1"/>
      <w:numFmt w:val="bullet"/>
      <w:lvlText w:val="•"/>
      <w:lvlJc w:val="left"/>
      <w:pPr>
        <w:tabs>
          <w:tab w:val="num" w:pos="5760"/>
        </w:tabs>
        <w:ind w:left="5760" w:hanging="360"/>
      </w:pPr>
      <w:rPr>
        <w:rFonts w:ascii="Arial" w:hAnsi="Arial" w:cs="Times New Roman" w:hint="default"/>
      </w:rPr>
    </w:lvl>
    <w:lvl w:ilvl="8" w:tplc="0D7A80B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75773085"/>
    <w:multiLevelType w:val="hybridMultilevel"/>
    <w:tmpl w:val="25AE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7"/>
  </w:num>
  <w:num w:numId="6">
    <w:abstractNumId w:val="3"/>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90"/>
    <w:rsid w:val="00005946"/>
    <w:rsid w:val="0001426A"/>
    <w:rsid w:val="00054A9E"/>
    <w:rsid w:val="000A0A1D"/>
    <w:rsid w:val="000D0C2A"/>
    <w:rsid w:val="000D4DE3"/>
    <w:rsid w:val="000F7FFA"/>
    <w:rsid w:val="00122A96"/>
    <w:rsid w:val="00140495"/>
    <w:rsid w:val="001406DD"/>
    <w:rsid w:val="001A0ED5"/>
    <w:rsid w:val="001C26A8"/>
    <w:rsid w:val="001C37E0"/>
    <w:rsid w:val="001C661D"/>
    <w:rsid w:val="0024270F"/>
    <w:rsid w:val="0028247B"/>
    <w:rsid w:val="003312C7"/>
    <w:rsid w:val="003524BB"/>
    <w:rsid w:val="00375BC7"/>
    <w:rsid w:val="003A0402"/>
    <w:rsid w:val="003E2715"/>
    <w:rsid w:val="004317B4"/>
    <w:rsid w:val="0045315F"/>
    <w:rsid w:val="00475A2F"/>
    <w:rsid w:val="004A2EC8"/>
    <w:rsid w:val="004B6442"/>
    <w:rsid w:val="004C3C0C"/>
    <w:rsid w:val="004D28FF"/>
    <w:rsid w:val="004D38A0"/>
    <w:rsid w:val="004F1C2B"/>
    <w:rsid w:val="005566AD"/>
    <w:rsid w:val="0057221D"/>
    <w:rsid w:val="005B7597"/>
    <w:rsid w:val="006012CC"/>
    <w:rsid w:val="00606EBB"/>
    <w:rsid w:val="00626FC0"/>
    <w:rsid w:val="006B1979"/>
    <w:rsid w:val="006E5DF7"/>
    <w:rsid w:val="00726727"/>
    <w:rsid w:val="0074222B"/>
    <w:rsid w:val="0074753D"/>
    <w:rsid w:val="00780784"/>
    <w:rsid w:val="00781257"/>
    <w:rsid w:val="007924D9"/>
    <w:rsid w:val="007B26A6"/>
    <w:rsid w:val="007B36DD"/>
    <w:rsid w:val="007E2144"/>
    <w:rsid w:val="00800DDB"/>
    <w:rsid w:val="00814F90"/>
    <w:rsid w:val="008425E1"/>
    <w:rsid w:val="00932376"/>
    <w:rsid w:val="00945C50"/>
    <w:rsid w:val="00A034AF"/>
    <w:rsid w:val="00A054B1"/>
    <w:rsid w:val="00A76D9F"/>
    <w:rsid w:val="00AB0C2D"/>
    <w:rsid w:val="00B01E93"/>
    <w:rsid w:val="00B02E80"/>
    <w:rsid w:val="00B73CA9"/>
    <w:rsid w:val="00BD0BAB"/>
    <w:rsid w:val="00BE1075"/>
    <w:rsid w:val="00C421D6"/>
    <w:rsid w:val="00C67239"/>
    <w:rsid w:val="00C81C0B"/>
    <w:rsid w:val="00CC4E7E"/>
    <w:rsid w:val="00CD5089"/>
    <w:rsid w:val="00D10B1C"/>
    <w:rsid w:val="00D427E6"/>
    <w:rsid w:val="00D86BAA"/>
    <w:rsid w:val="00D96155"/>
    <w:rsid w:val="00DC4002"/>
    <w:rsid w:val="00E2060E"/>
    <w:rsid w:val="00E466D6"/>
    <w:rsid w:val="00E90B90"/>
    <w:rsid w:val="00EA276E"/>
    <w:rsid w:val="00EB332E"/>
    <w:rsid w:val="00EC41D8"/>
    <w:rsid w:val="00ED3C11"/>
    <w:rsid w:val="00F141C6"/>
    <w:rsid w:val="00F42F6F"/>
    <w:rsid w:val="00FC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9AA8"/>
  <w15:docId w15:val="{D1B04D04-A0C7-4C25-ACBC-A8B81C27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74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22B"/>
  </w:style>
  <w:style w:type="paragraph" w:styleId="Footer">
    <w:name w:val="footer"/>
    <w:basedOn w:val="Normal"/>
    <w:link w:val="FooterChar"/>
    <w:uiPriority w:val="99"/>
    <w:unhideWhenUsed/>
    <w:rsid w:val="0074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22B"/>
  </w:style>
  <w:style w:type="paragraph" w:styleId="NormalWeb">
    <w:name w:val="Normal (Web)"/>
    <w:basedOn w:val="Normal"/>
    <w:uiPriority w:val="99"/>
    <w:semiHidden/>
    <w:unhideWhenUsed/>
    <w:rsid w:val="00C67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7020">
      <w:bodyDiv w:val="1"/>
      <w:marLeft w:val="0"/>
      <w:marRight w:val="0"/>
      <w:marTop w:val="0"/>
      <w:marBottom w:val="0"/>
      <w:divBdr>
        <w:top w:val="none" w:sz="0" w:space="0" w:color="auto"/>
        <w:left w:val="none" w:sz="0" w:space="0" w:color="auto"/>
        <w:bottom w:val="none" w:sz="0" w:space="0" w:color="auto"/>
        <w:right w:val="none" w:sz="0" w:space="0" w:color="auto"/>
      </w:divBdr>
    </w:div>
    <w:div w:id="1678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Tenaska Power Services Co.</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Trenary</dc:creator>
  <cp:lastModifiedBy>Trenary, Michelle</cp:lastModifiedBy>
  <cp:revision>51</cp:revision>
  <dcterms:created xsi:type="dcterms:W3CDTF">2018-01-08T22:25:00Z</dcterms:created>
  <dcterms:modified xsi:type="dcterms:W3CDTF">2018-01-16T15:28:00Z</dcterms:modified>
</cp:coreProperties>
</file>