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rsidRPr="00F367D2" w14:paraId="76A2E38C" w14:textId="77777777">
        <w:tc>
          <w:tcPr>
            <w:tcW w:w="1620" w:type="dxa"/>
            <w:tcBorders>
              <w:bottom w:val="single" w:sz="4" w:space="0" w:color="auto"/>
            </w:tcBorders>
            <w:shd w:val="clear" w:color="auto" w:fill="FFFFFF"/>
            <w:vAlign w:val="center"/>
          </w:tcPr>
          <w:p w14:paraId="4BB7AF40" w14:textId="77777777" w:rsidR="00152993" w:rsidRPr="00F367D2" w:rsidRDefault="00EE6681">
            <w:pPr>
              <w:pStyle w:val="Header"/>
              <w:rPr>
                <w:rFonts w:ascii="Verdana" w:hAnsi="Verdana"/>
                <w:sz w:val="22"/>
                <w:szCs w:val="22"/>
              </w:rPr>
            </w:pPr>
            <w:r w:rsidRPr="00F367D2">
              <w:rPr>
                <w:sz w:val="22"/>
                <w:szCs w:val="22"/>
              </w:rPr>
              <w:t>N</w:t>
            </w:r>
            <w:r w:rsidR="00152993" w:rsidRPr="00F367D2">
              <w:rPr>
                <w:sz w:val="22"/>
                <w:szCs w:val="22"/>
              </w:rPr>
              <w:t>PRR Number</w:t>
            </w:r>
          </w:p>
        </w:tc>
        <w:tc>
          <w:tcPr>
            <w:tcW w:w="1260" w:type="dxa"/>
            <w:tcBorders>
              <w:bottom w:val="single" w:sz="4" w:space="0" w:color="auto"/>
            </w:tcBorders>
            <w:vAlign w:val="center"/>
          </w:tcPr>
          <w:p w14:paraId="60CAF69A" w14:textId="77777777" w:rsidR="00152993" w:rsidRPr="00F367D2" w:rsidRDefault="00E4357F">
            <w:pPr>
              <w:pStyle w:val="Header"/>
              <w:rPr>
                <w:sz w:val="22"/>
                <w:szCs w:val="22"/>
              </w:rPr>
            </w:pPr>
            <w:hyperlink r:id="rId8" w:history="1">
              <w:r w:rsidR="007F43A9" w:rsidRPr="00F367D2">
                <w:rPr>
                  <w:rStyle w:val="Hyperlink"/>
                  <w:sz w:val="22"/>
                  <w:szCs w:val="22"/>
                </w:rPr>
                <w:t>828</w:t>
              </w:r>
            </w:hyperlink>
          </w:p>
        </w:tc>
        <w:tc>
          <w:tcPr>
            <w:tcW w:w="900" w:type="dxa"/>
            <w:tcBorders>
              <w:bottom w:val="single" w:sz="4" w:space="0" w:color="auto"/>
            </w:tcBorders>
            <w:shd w:val="clear" w:color="auto" w:fill="FFFFFF"/>
            <w:vAlign w:val="center"/>
          </w:tcPr>
          <w:p w14:paraId="65634F4E" w14:textId="77777777" w:rsidR="00152993" w:rsidRPr="00F367D2" w:rsidRDefault="00EE6681">
            <w:pPr>
              <w:pStyle w:val="Header"/>
              <w:rPr>
                <w:sz w:val="22"/>
                <w:szCs w:val="22"/>
              </w:rPr>
            </w:pPr>
            <w:r w:rsidRPr="00F367D2">
              <w:rPr>
                <w:sz w:val="22"/>
                <w:szCs w:val="22"/>
              </w:rPr>
              <w:t>N</w:t>
            </w:r>
            <w:r w:rsidR="00152993" w:rsidRPr="00F367D2">
              <w:rPr>
                <w:sz w:val="22"/>
                <w:szCs w:val="22"/>
              </w:rPr>
              <w:t>PRR Title</w:t>
            </w:r>
          </w:p>
        </w:tc>
        <w:tc>
          <w:tcPr>
            <w:tcW w:w="6660" w:type="dxa"/>
            <w:tcBorders>
              <w:bottom w:val="single" w:sz="4" w:space="0" w:color="auto"/>
            </w:tcBorders>
            <w:vAlign w:val="center"/>
          </w:tcPr>
          <w:p w14:paraId="2DE6499D" w14:textId="77777777" w:rsidR="00152993" w:rsidRPr="00F367D2" w:rsidRDefault="00453018">
            <w:pPr>
              <w:pStyle w:val="Header"/>
              <w:rPr>
                <w:sz w:val="22"/>
                <w:szCs w:val="22"/>
              </w:rPr>
            </w:pPr>
            <w:r w:rsidRPr="00F367D2">
              <w:rPr>
                <w:sz w:val="22"/>
                <w:szCs w:val="22"/>
              </w:rPr>
              <w:t>Include Fast Frequency Response as a Subset of Responsive Reserve</w:t>
            </w:r>
          </w:p>
        </w:tc>
      </w:tr>
      <w:tr w:rsidR="00152993" w:rsidRPr="00F367D2" w14:paraId="7C57E28F" w14:textId="77777777">
        <w:trPr>
          <w:trHeight w:val="413"/>
        </w:trPr>
        <w:tc>
          <w:tcPr>
            <w:tcW w:w="2880" w:type="dxa"/>
            <w:gridSpan w:val="2"/>
            <w:tcBorders>
              <w:top w:val="nil"/>
              <w:left w:val="nil"/>
              <w:bottom w:val="single" w:sz="4" w:space="0" w:color="auto"/>
              <w:right w:val="nil"/>
            </w:tcBorders>
            <w:vAlign w:val="center"/>
          </w:tcPr>
          <w:p w14:paraId="6200780E" w14:textId="77777777" w:rsidR="00152993" w:rsidRPr="00F367D2" w:rsidRDefault="00152993">
            <w:pPr>
              <w:pStyle w:val="NormalArial"/>
              <w:rPr>
                <w:sz w:val="22"/>
                <w:szCs w:val="22"/>
              </w:rPr>
            </w:pPr>
            <w:bookmarkStart w:id="0" w:name="_GoBack"/>
            <w:bookmarkEnd w:id="0"/>
          </w:p>
        </w:tc>
        <w:tc>
          <w:tcPr>
            <w:tcW w:w="7560" w:type="dxa"/>
            <w:gridSpan w:val="2"/>
            <w:tcBorders>
              <w:top w:val="single" w:sz="4" w:space="0" w:color="auto"/>
              <w:left w:val="nil"/>
              <w:bottom w:val="nil"/>
              <w:right w:val="nil"/>
            </w:tcBorders>
            <w:vAlign w:val="center"/>
          </w:tcPr>
          <w:p w14:paraId="470A9737" w14:textId="77777777" w:rsidR="00152993" w:rsidRPr="00F367D2" w:rsidRDefault="00152993">
            <w:pPr>
              <w:pStyle w:val="NormalArial"/>
              <w:rPr>
                <w:sz w:val="22"/>
                <w:szCs w:val="22"/>
              </w:rPr>
            </w:pPr>
          </w:p>
        </w:tc>
      </w:tr>
      <w:tr w:rsidR="00152993" w:rsidRPr="00F367D2" w14:paraId="2901ED9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29B7006" w14:textId="77777777" w:rsidR="00152993" w:rsidRPr="00F367D2" w:rsidRDefault="00152993">
            <w:pPr>
              <w:pStyle w:val="Header"/>
              <w:rPr>
                <w:sz w:val="22"/>
                <w:szCs w:val="22"/>
              </w:rPr>
            </w:pPr>
            <w:r w:rsidRPr="00F367D2">
              <w:rPr>
                <w:sz w:val="22"/>
                <w:szCs w:val="22"/>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257B8F" w14:textId="6B1A455A" w:rsidR="00152993" w:rsidRPr="00F367D2" w:rsidRDefault="00242A1E" w:rsidP="000455E7">
            <w:pPr>
              <w:pStyle w:val="NormalArial"/>
              <w:rPr>
                <w:sz w:val="22"/>
                <w:szCs w:val="22"/>
              </w:rPr>
            </w:pPr>
            <w:r w:rsidRPr="00F367D2">
              <w:rPr>
                <w:sz w:val="22"/>
                <w:szCs w:val="22"/>
              </w:rPr>
              <w:t>October</w:t>
            </w:r>
            <w:r w:rsidR="00DB0B5B" w:rsidRPr="00F367D2">
              <w:rPr>
                <w:sz w:val="22"/>
                <w:szCs w:val="22"/>
              </w:rPr>
              <w:t xml:space="preserve"> </w:t>
            </w:r>
            <w:r w:rsidR="000455E7" w:rsidRPr="00460547">
              <w:rPr>
                <w:sz w:val="22"/>
                <w:szCs w:val="22"/>
              </w:rPr>
              <w:t>31</w:t>
            </w:r>
            <w:r w:rsidR="00B113BE" w:rsidRPr="00F367D2">
              <w:rPr>
                <w:sz w:val="22"/>
                <w:szCs w:val="22"/>
              </w:rPr>
              <w:t>, 2017</w:t>
            </w:r>
          </w:p>
        </w:tc>
      </w:tr>
      <w:tr w:rsidR="00152993" w:rsidRPr="00F367D2" w14:paraId="76D8549A"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03E4F6" w14:textId="77777777" w:rsidR="00152993" w:rsidRPr="00F367D2" w:rsidRDefault="00152993">
            <w:pPr>
              <w:pStyle w:val="NormalArial"/>
              <w:rPr>
                <w:sz w:val="22"/>
                <w:szCs w:val="22"/>
              </w:rPr>
            </w:pPr>
          </w:p>
        </w:tc>
        <w:tc>
          <w:tcPr>
            <w:tcW w:w="7560" w:type="dxa"/>
            <w:gridSpan w:val="2"/>
            <w:tcBorders>
              <w:top w:val="nil"/>
              <w:left w:val="nil"/>
              <w:bottom w:val="nil"/>
              <w:right w:val="nil"/>
            </w:tcBorders>
            <w:vAlign w:val="center"/>
          </w:tcPr>
          <w:p w14:paraId="127392ED" w14:textId="77777777" w:rsidR="00152993" w:rsidRPr="00F367D2" w:rsidRDefault="00152993">
            <w:pPr>
              <w:pStyle w:val="NormalArial"/>
              <w:rPr>
                <w:sz w:val="22"/>
                <w:szCs w:val="22"/>
              </w:rPr>
            </w:pPr>
          </w:p>
        </w:tc>
      </w:tr>
      <w:tr w:rsidR="00152993" w:rsidRPr="00F367D2" w14:paraId="0393A086" w14:textId="77777777">
        <w:trPr>
          <w:trHeight w:val="440"/>
        </w:trPr>
        <w:tc>
          <w:tcPr>
            <w:tcW w:w="10440" w:type="dxa"/>
            <w:gridSpan w:val="4"/>
            <w:tcBorders>
              <w:top w:val="single" w:sz="4" w:space="0" w:color="auto"/>
            </w:tcBorders>
            <w:shd w:val="clear" w:color="auto" w:fill="FFFFFF"/>
            <w:vAlign w:val="center"/>
          </w:tcPr>
          <w:p w14:paraId="64329539" w14:textId="77777777" w:rsidR="00152993" w:rsidRPr="00F367D2" w:rsidRDefault="00152993">
            <w:pPr>
              <w:pStyle w:val="Header"/>
              <w:jc w:val="center"/>
              <w:rPr>
                <w:sz w:val="22"/>
                <w:szCs w:val="22"/>
              </w:rPr>
            </w:pPr>
            <w:r w:rsidRPr="00F367D2">
              <w:rPr>
                <w:sz w:val="22"/>
                <w:szCs w:val="22"/>
              </w:rPr>
              <w:t>Submitter’s Information</w:t>
            </w:r>
          </w:p>
        </w:tc>
      </w:tr>
      <w:tr w:rsidR="00453018" w:rsidRPr="00F367D2" w14:paraId="6E190054" w14:textId="77777777">
        <w:trPr>
          <w:trHeight w:val="350"/>
        </w:trPr>
        <w:tc>
          <w:tcPr>
            <w:tcW w:w="2880" w:type="dxa"/>
            <w:gridSpan w:val="2"/>
            <w:shd w:val="clear" w:color="auto" w:fill="FFFFFF"/>
            <w:vAlign w:val="center"/>
          </w:tcPr>
          <w:p w14:paraId="5181EEF9" w14:textId="77777777" w:rsidR="00453018" w:rsidRPr="00F367D2" w:rsidRDefault="00453018" w:rsidP="00EC55B3">
            <w:pPr>
              <w:pStyle w:val="Header"/>
              <w:rPr>
                <w:sz w:val="22"/>
                <w:szCs w:val="22"/>
              </w:rPr>
            </w:pPr>
            <w:r w:rsidRPr="00F367D2">
              <w:rPr>
                <w:sz w:val="22"/>
                <w:szCs w:val="22"/>
              </w:rPr>
              <w:t>Name</w:t>
            </w:r>
          </w:p>
        </w:tc>
        <w:tc>
          <w:tcPr>
            <w:tcW w:w="7560" w:type="dxa"/>
            <w:gridSpan w:val="2"/>
            <w:vAlign w:val="center"/>
          </w:tcPr>
          <w:p w14:paraId="00B9AC70" w14:textId="77777777" w:rsidR="00453018" w:rsidRPr="00F367D2" w:rsidRDefault="00DB0B5B" w:rsidP="00A30295">
            <w:pPr>
              <w:pStyle w:val="NormalArial"/>
              <w:rPr>
                <w:sz w:val="22"/>
                <w:szCs w:val="22"/>
              </w:rPr>
            </w:pPr>
            <w:r w:rsidRPr="00F367D2">
              <w:rPr>
                <w:sz w:val="22"/>
                <w:szCs w:val="22"/>
              </w:rPr>
              <w:t>Jack Farley</w:t>
            </w:r>
          </w:p>
        </w:tc>
      </w:tr>
      <w:tr w:rsidR="00453018" w:rsidRPr="00F367D2" w14:paraId="6A649679" w14:textId="77777777">
        <w:trPr>
          <w:trHeight w:val="350"/>
        </w:trPr>
        <w:tc>
          <w:tcPr>
            <w:tcW w:w="2880" w:type="dxa"/>
            <w:gridSpan w:val="2"/>
            <w:shd w:val="clear" w:color="auto" w:fill="FFFFFF"/>
            <w:vAlign w:val="center"/>
          </w:tcPr>
          <w:p w14:paraId="502E86D5" w14:textId="77777777" w:rsidR="00453018" w:rsidRPr="00F367D2" w:rsidRDefault="00453018" w:rsidP="00EC55B3">
            <w:pPr>
              <w:pStyle w:val="Header"/>
              <w:rPr>
                <w:sz w:val="22"/>
                <w:szCs w:val="22"/>
              </w:rPr>
            </w:pPr>
            <w:r w:rsidRPr="00F367D2">
              <w:rPr>
                <w:sz w:val="22"/>
                <w:szCs w:val="22"/>
              </w:rPr>
              <w:t>E-mail Address</w:t>
            </w:r>
          </w:p>
        </w:tc>
        <w:tc>
          <w:tcPr>
            <w:tcW w:w="7560" w:type="dxa"/>
            <w:gridSpan w:val="2"/>
            <w:vAlign w:val="center"/>
          </w:tcPr>
          <w:p w14:paraId="23F7898C" w14:textId="7037DDC4" w:rsidR="00453018" w:rsidRPr="00F367D2" w:rsidRDefault="006F60D4" w:rsidP="00A30295">
            <w:pPr>
              <w:pStyle w:val="NormalArial"/>
              <w:rPr>
                <w:sz w:val="22"/>
                <w:szCs w:val="22"/>
              </w:rPr>
            </w:pPr>
            <w:hyperlink r:id="rId9" w:history="1">
              <w:r w:rsidRPr="00087B35">
                <w:rPr>
                  <w:rStyle w:val="Hyperlink"/>
                  <w:sz w:val="22"/>
                  <w:szCs w:val="22"/>
                </w:rPr>
                <w:t>jack.farley@apexcaes.com</w:t>
              </w:r>
            </w:hyperlink>
          </w:p>
        </w:tc>
      </w:tr>
      <w:tr w:rsidR="00453018" w:rsidRPr="00F367D2" w14:paraId="06EF9B62" w14:textId="77777777">
        <w:trPr>
          <w:trHeight w:val="350"/>
        </w:trPr>
        <w:tc>
          <w:tcPr>
            <w:tcW w:w="2880" w:type="dxa"/>
            <w:gridSpan w:val="2"/>
            <w:shd w:val="clear" w:color="auto" w:fill="FFFFFF"/>
            <w:vAlign w:val="center"/>
          </w:tcPr>
          <w:p w14:paraId="2FED9F43" w14:textId="77777777" w:rsidR="00453018" w:rsidRPr="00F367D2" w:rsidRDefault="00453018" w:rsidP="00EC55B3">
            <w:pPr>
              <w:pStyle w:val="Header"/>
              <w:rPr>
                <w:sz w:val="22"/>
                <w:szCs w:val="22"/>
              </w:rPr>
            </w:pPr>
            <w:r w:rsidRPr="00F367D2">
              <w:rPr>
                <w:sz w:val="22"/>
                <w:szCs w:val="22"/>
              </w:rPr>
              <w:t>Company</w:t>
            </w:r>
          </w:p>
        </w:tc>
        <w:tc>
          <w:tcPr>
            <w:tcW w:w="7560" w:type="dxa"/>
            <w:gridSpan w:val="2"/>
            <w:vAlign w:val="center"/>
          </w:tcPr>
          <w:p w14:paraId="4A03981E" w14:textId="1DEE1E2E" w:rsidR="00453018" w:rsidRPr="00F367D2" w:rsidRDefault="00D6474E" w:rsidP="00A30295">
            <w:pPr>
              <w:pStyle w:val="NormalArial"/>
              <w:rPr>
                <w:sz w:val="22"/>
                <w:szCs w:val="22"/>
              </w:rPr>
            </w:pPr>
            <w:r w:rsidRPr="00F367D2">
              <w:rPr>
                <w:sz w:val="22"/>
                <w:szCs w:val="22"/>
              </w:rPr>
              <w:t>Apex Compressed Air</w:t>
            </w:r>
            <w:r w:rsidR="00453018" w:rsidRPr="00F367D2">
              <w:rPr>
                <w:sz w:val="22"/>
                <w:szCs w:val="22"/>
              </w:rPr>
              <w:t xml:space="preserve"> Energy</w:t>
            </w:r>
            <w:r w:rsidRPr="00F367D2">
              <w:rPr>
                <w:sz w:val="22"/>
                <w:szCs w:val="22"/>
              </w:rPr>
              <w:t xml:space="preserve"> Storage, LLC</w:t>
            </w:r>
          </w:p>
        </w:tc>
      </w:tr>
      <w:tr w:rsidR="00453018" w:rsidRPr="00F367D2" w14:paraId="1E0A3416" w14:textId="77777777">
        <w:trPr>
          <w:trHeight w:val="350"/>
        </w:trPr>
        <w:tc>
          <w:tcPr>
            <w:tcW w:w="2880" w:type="dxa"/>
            <w:gridSpan w:val="2"/>
            <w:tcBorders>
              <w:bottom w:val="single" w:sz="4" w:space="0" w:color="auto"/>
            </w:tcBorders>
            <w:shd w:val="clear" w:color="auto" w:fill="FFFFFF"/>
            <w:vAlign w:val="center"/>
          </w:tcPr>
          <w:p w14:paraId="3128A1F8" w14:textId="77777777" w:rsidR="00453018" w:rsidRPr="00F367D2" w:rsidRDefault="00453018" w:rsidP="00EC55B3">
            <w:pPr>
              <w:pStyle w:val="Header"/>
              <w:rPr>
                <w:sz w:val="22"/>
                <w:szCs w:val="22"/>
              </w:rPr>
            </w:pPr>
            <w:r w:rsidRPr="00F367D2">
              <w:rPr>
                <w:sz w:val="22"/>
                <w:szCs w:val="22"/>
              </w:rPr>
              <w:t>Phone Number</w:t>
            </w:r>
          </w:p>
        </w:tc>
        <w:tc>
          <w:tcPr>
            <w:tcW w:w="7560" w:type="dxa"/>
            <w:gridSpan w:val="2"/>
            <w:tcBorders>
              <w:bottom w:val="single" w:sz="4" w:space="0" w:color="auto"/>
            </w:tcBorders>
            <w:vAlign w:val="center"/>
          </w:tcPr>
          <w:p w14:paraId="7EDA76BD" w14:textId="77777777" w:rsidR="00453018" w:rsidRPr="00F367D2" w:rsidRDefault="00D6474E" w:rsidP="00A30295">
            <w:pPr>
              <w:pStyle w:val="NormalArial"/>
              <w:rPr>
                <w:sz w:val="22"/>
                <w:szCs w:val="22"/>
              </w:rPr>
            </w:pPr>
            <w:r w:rsidRPr="00F367D2">
              <w:rPr>
                <w:sz w:val="22"/>
                <w:szCs w:val="22"/>
              </w:rPr>
              <w:t>713-963-8100</w:t>
            </w:r>
          </w:p>
        </w:tc>
      </w:tr>
      <w:tr w:rsidR="00453018" w:rsidRPr="00F367D2" w14:paraId="6F12246A" w14:textId="77777777">
        <w:trPr>
          <w:trHeight w:val="350"/>
        </w:trPr>
        <w:tc>
          <w:tcPr>
            <w:tcW w:w="2880" w:type="dxa"/>
            <w:gridSpan w:val="2"/>
            <w:shd w:val="clear" w:color="auto" w:fill="FFFFFF"/>
            <w:vAlign w:val="center"/>
          </w:tcPr>
          <w:p w14:paraId="087CFA8D" w14:textId="77777777" w:rsidR="00453018" w:rsidRPr="00F367D2" w:rsidRDefault="00453018" w:rsidP="00EC55B3">
            <w:pPr>
              <w:pStyle w:val="Header"/>
              <w:rPr>
                <w:sz w:val="22"/>
                <w:szCs w:val="22"/>
              </w:rPr>
            </w:pPr>
            <w:r w:rsidRPr="00F367D2">
              <w:rPr>
                <w:sz w:val="22"/>
                <w:szCs w:val="22"/>
              </w:rPr>
              <w:t>Cell Number</w:t>
            </w:r>
          </w:p>
        </w:tc>
        <w:tc>
          <w:tcPr>
            <w:tcW w:w="7560" w:type="dxa"/>
            <w:gridSpan w:val="2"/>
            <w:vAlign w:val="center"/>
          </w:tcPr>
          <w:p w14:paraId="3DA49C6F" w14:textId="77777777" w:rsidR="00453018" w:rsidRPr="00F367D2" w:rsidRDefault="00453018" w:rsidP="00A30295">
            <w:pPr>
              <w:pStyle w:val="NormalArial"/>
              <w:rPr>
                <w:sz w:val="22"/>
                <w:szCs w:val="22"/>
              </w:rPr>
            </w:pPr>
          </w:p>
        </w:tc>
      </w:tr>
      <w:tr w:rsidR="00453018" w:rsidRPr="00F367D2" w14:paraId="1E9F2A49" w14:textId="77777777">
        <w:trPr>
          <w:trHeight w:val="350"/>
        </w:trPr>
        <w:tc>
          <w:tcPr>
            <w:tcW w:w="2880" w:type="dxa"/>
            <w:gridSpan w:val="2"/>
            <w:tcBorders>
              <w:bottom w:val="single" w:sz="4" w:space="0" w:color="auto"/>
            </w:tcBorders>
            <w:shd w:val="clear" w:color="auto" w:fill="FFFFFF"/>
            <w:vAlign w:val="center"/>
          </w:tcPr>
          <w:p w14:paraId="260BEB66" w14:textId="77777777" w:rsidR="00453018" w:rsidRPr="00F367D2" w:rsidDel="00075A94" w:rsidRDefault="00453018" w:rsidP="00EC55B3">
            <w:pPr>
              <w:pStyle w:val="Header"/>
              <w:rPr>
                <w:sz w:val="22"/>
                <w:szCs w:val="22"/>
              </w:rPr>
            </w:pPr>
            <w:r w:rsidRPr="00F367D2">
              <w:rPr>
                <w:sz w:val="22"/>
                <w:szCs w:val="22"/>
              </w:rPr>
              <w:t>Market Segment</w:t>
            </w:r>
          </w:p>
        </w:tc>
        <w:tc>
          <w:tcPr>
            <w:tcW w:w="7560" w:type="dxa"/>
            <w:gridSpan w:val="2"/>
            <w:tcBorders>
              <w:bottom w:val="single" w:sz="4" w:space="0" w:color="auto"/>
            </w:tcBorders>
            <w:vAlign w:val="center"/>
          </w:tcPr>
          <w:p w14:paraId="32526952" w14:textId="77777777" w:rsidR="00453018" w:rsidRPr="00F367D2" w:rsidRDefault="00453018" w:rsidP="00A30295">
            <w:pPr>
              <w:pStyle w:val="NormalArial"/>
              <w:rPr>
                <w:sz w:val="22"/>
                <w:szCs w:val="22"/>
              </w:rPr>
            </w:pPr>
            <w:r w:rsidRPr="00F367D2">
              <w:rPr>
                <w:sz w:val="22"/>
                <w:szCs w:val="22"/>
              </w:rPr>
              <w:t>Independent Generator</w:t>
            </w:r>
          </w:p>
        </w:tc>
      </w:tr>
    </w:tbl>
    <w:p w14:paraId="5B25EE89" w14:textId="77777777" w:rsidR="00075A94" w:rsidRDefault="00075A94">
      <w:pPr>
        <w:pStyle w:val="NormalArial"/>
        <w:rPr>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357F" w:rsidRPr="00F367D2" w14:paraId="0B8C8F66" w14:textId="77777777" w:rsidTr="00C8599E">
        <w:trPr>
          <w:trHeight w:val="440"/>
        </w:trPr>
        <w:tc>
          <w:tcPr>
            <w:tcW w:w="10440" w:type="dxa"/>
            <w:tcBorders>
              <w:top w:val="single" w:sz="4" w:space="0" w:color="auto"/>
            </w:tcBorders>
            <w:shd w:val="clear" w:color="auto" w:fill="FFFFFF"/>
            <w:vAlign w:val="center"/>
          </w:tcPr>
          <w:p w14:paraId="7D42ED0A" w14:textId="366C581F" w:rsidR="00E4357F" w:rsidRPr="00F367D2" w:rsidRDefault="00E4357F" w:rsidP="00C8599E">
            <w:pPr>
              <w:pStyle w:val="Header"/>
              <w:jc w:val="center"/>
              <w:rPr>
                <w:sz w:val="22"/>
                <w:szCs w:val="22"/>
              </w:rPr>
            </w:pPr>
            <w:r w:rsidRPr="00F367D2">
              <w:rPr>
                <w:sz w:val="22"/>
                <w:szCs w:val="22"/>
              </w:rPr>
              <w:t>Comments</w:t>
            </w:r>
          </w:p>
        </w:tc>
      </w:tr>
    </w:tbl>
    <w:p w14:paraId="36C2A8B2" w14:textId="77777777" w:rsidR="00152993" w:rsidRPr="00F367D2" w:rsidRDefault="00152993">
      <w:pPr>
        <w:pStyle w:val="NormalArial"/>
        <w:rPr>
          <w:sz w:val="22"/>
          <w:szCs w:val="22"/>
        </w:rPr>
      </w:pPr>
    </w:p>
    <w:p w14:paraId="64CE94F2" w14:textId="15F35B4C" w:rsidR="00453018" w:rsidRDefault="00FA2B59" w:rsidP="00423AFB">
      <w:pPr>
        <w:pStyle w:val="NormalArial"/>
        <w:ind w:left="-360"/>
        <w:rPr>
          <w:sz w:val="22"/>
          <w:szCs w:val="22"/>
        </w:rPr>
      </w:pPr>
      <w:r>
        <w:rPr>
          <w:sz w:val="22"/>
          <w:szCs w:val="22"/>
        </w:rPr>
        <w:t xml:space="preserve">Apex would support </w:t>
      </w:r>
      <w:r w:rsidR="009D50BD">
        <w:rPr>
          <w:sz w:val="22"/>
          <w:szCs w:val="22"/>
        </w:rPr>
        <w:t>Nodal Protocol Revision Request (</w:t>
      </w:r>
      <w:r>
        <w:rPr>
          <w:sz w:val="22"/>
          <w:szCs w:val="22"/>
        </w:rPr>
        <w:t>NPRR</w:t>
      </w:r>
      <w:r w:rsidR="009D50BD">
        <w:rPr>
          <w:sz w:val="22"/>
          <w:szCs w:val="22"/>
        </w:rPr>
        <w:t>)</w:t>
      </w:r>
      <w:r>
        <w:rPr>
          <w:sz w:val="22"/>
          <w:szCs w:val="22"/>
        </w:rPr>
        <w:t xml:space="preserve"> 828 assuming the technical standards applied to </w:t>
      </w:r>
      <w:r w:rsidR="009D50BD" w:rsidRPr="009D50BD">
        <w:rPr>
          <w:sz w:val="22"/>
          <w:szCs w:val="22"/>
        </w:rPr>
        <w:t xml:space="preserve">Fast Frequency Response </w:t>
      </w:r>
      <w:r w:rsidR="009D50BD">
        <w:rPr>
          <w:sz w:val="22"/>
          <w:szCs w:val="22"/>
        </w:rPr>
        <w:t>(</w:t>
      </w:r>
      <w:r>
        <w:rPr>
          <w:sz w:val="22"/>
          <w:szCs w:val="22"/>
        </w:rPr>
        <w:t>FFR</w:t>
      </w:r>
      <w:r w:rsidR="009D50BD">
        <w:rPr>
          <w:sz w:val="22"/>
          <w:szCs w:val="22"/>
        </w:rPr>
        <w:t>)</w:t>
      </w:r>
      <w:r>
        <w:rPr>
          <w:sz w:val="22"/>
          <w:szCs w:val="22"/>
        </w:rPr>
        <w:t xml:space="preserve"> are </w:t>
      </w:r>
      <w:r w:rsidR="006F5ECF">
        <w:rPr>
          <w:sz w:val="22"/>
          <w:szCs w:val="22"/>
        </w:rPr>
        <w:t xml:space="preserve">adjusted in a fashion to more closely match the value of the existing </w:t>
      </w:r>
      <w:r w:rsidR="009D50BD">
        <w:rPr>
          <w:sz w:val="22"/>
          <w:szCs w:val="22"/>
        </w:rPr>
        <w:t>Responsive Reserve (</w:t>
      </w:r>
      <w:r w:rsidR="006F5ECF">
        <w:rPr>
          <w:sz w:val="22"/>
          <w:szCs w:val="22"/>
        </w:rPr>
        <w:t>RRS</w:t>
      </w:r>
      <w:r w:rsidR="009D50BD">
        <w:rPr>
          <w:sz w:val="22"/>
          <w:szCs w:val="22"/>
        </w:rPr>
        <w:t>)</w:t>
      </w:r>
      <w:r w:rsidR="006F5ECF">
        <w:rPr>
          <w:sz w:val="22"/>
          <w:szCs w:val="22"/>
        </w:rPr>
        <w:t xml:space="preserve"> product</w:t>
      </w:r>
      <w:r>
        <w:rPr>
          <w:sz w:val="22"/>
          <w:szCs w:val="22"/>
        </w:rPr>
        <w:t xml:space="preserve">.  </w:t>
      </w:r>
      <w:r w:rsidR="006F5ECF">
        <w:rPr>
          <w:sz w:val="22"/>
          <w:szCs w:val="22"/>
        </w:rPr>
        <w:t xml:space="preserve">Absent such changes, the compensation for this service will be excessive relative to the value provided, to the disadvantage of consumers in ERCOT.  </w:t>
      </w:r>
      <w:r w:rsidR="00453018" w:rsidRPr="00F367D2">
        <w:rPr>
          <w:sz w:val="22"/>
          <w:szCs w:val="22"/>
        </w:rPr>
        <w:t xml:space="preserve">Below are </w:t>
      </w:r>
      <w:r w:rsidR="00D6474E" w:rsidRPr="00F367D2">
        <w:rPr>
          <w:sz w:val="22"/>
          <w:szCs w:val="22"/>
        </w:rPr>
        <w:t>Apex’s</w:t>
      </w:r>
      <w:r w:rsidR="00453018" w:rsidRPr="00F367D2">
        <w:rPr>
          <w:sz w:val="22"/>
          <w:szCs w:val="22"/>
        </w:rPr>
        <w:t xml:space="preserve"> comments:</w:t>
      </w:r>
    </w:p>
    <w:p w14:paraId="6434F169" w14:textId="77777777" w:rsidR="00C53A8C" w:rsidRDefault="00C53A8C" w:rsidP="00423AFB">
      <w:pPr>
        <w:pStyle w:val="NormalArial"/>
        <w:ind w:left="-360"/>
        <w:rPr>
          <w:sz w:val="22"/>
          <w:szCs w:val="22"/>
        </w:rPr>
      </w:pPr>
    </w:p>
    <w:p w14:paraId="5E1E3FC1" w14:textId="77777777" w:rsidR="006D001A" w:rsidRPr="006F5ECF" w:rsidRDefault="00CA4A06" w:rsidP="00423AFB">
      <w:pPr>
        <w:pStyle w:val="ColorfulShading-Accent31"/>
        <w:ind w:left="-360"/>
        <w:rPr>
          <w:rFonts w:ascii="Arial" w:hAnsi="Arial" w:cs="Arial"/>
        </w:rPr>
      </w:pPr>
      <w:r w:rsidRPr="00A51F6E">
        <w:rPr>
          <w:rFonts w:ascii="Arial" w:hAnsi="Arial" w:cs="Arial"/>
        </w:rPr>
        <w:t>As proposed, t</w:t>
      </w:r>
      <w:r w:rsidR="00C53A8C" w:rsidRPr="00A51F6E">
        <w:rPr>
          <w:rFonts w:ascii="Arial" w:hAnsi="Arial" w:cs="Arial"/>
        </w:rPr>
        <w:t xml:space="preserve">he FFR product would be compensated (i.e., priced) based on the clearing price for RRS supplied by conventional generators (“RRS-gen”); therefore, it is </w:t>
      </w:r>
      <w:r w:rsidR="00423AFB" w:rsidRPr="00A51F6E">
        <w:rPr>
          <w:rFonts w:ascii="Arial" w:hAnsi="Arial" w:cs="Arial"/>
        </w:rPr>
        <w:t>imperative</w:t>
      </w:r>
      <w:r w:rsidR="00C53A8C" w:rsidRPr="00A51F6E">
        <w:rPr>
          <w:rFonts w:ascii="Arial" w:hAnsi="Arial" w:cs="Arial"/>
        </w:rPr>
        <w:t xml:space="preserve"> that the system benefits from FFR are </w:t>
      </w:r>
      <w:r w:rsidRPr="00A51F6E">
        <w:rPr>
          <w:rFonts w:ascii="Arial" w:hAnsi="Arial" w:cs="Arial"/>
        </w:rPr>
        <w:t xml:space="preserve">reasonably </w:t>
      </w:r>
      <w:r w:rsidR="00C53A8C" w:rsidRPr="00A51F6E">
        <w:rPr>
          <w:rFonts w:ascii="Arial" w:hAnsi="Arial" w:cs="Arial"/>
        </w:rPr>
        <w:t xml:space="preserve">equivalent to </w:t>
      </w:r>
      <w:r w:rsidR="00300CB2" w:rsidRPr="00A51F6E">
        <w:rPr>
          <w:rFonts w:ascii="Arial" w:hAnsi="Arial" w:cs="Arial"/>
        </w:rPr>
        <w:t xml:space="preserve">those provided by </w:t>
      </w:r>
      <w:r w:rsidR="00C53A8C" w:rsidRPr="00A51F6E">
        <w:rPr>
          <w:rFonts w:ascii="Arial" w:hAnsi="Arial" w:cs="Arial"/>
        </w:rPr>
        <w:t>RRS-gen</w:t>
      </w:r>
      <w:r w:rsidR="00C53A8C" w:rsidRPr="006F5ECF">
        <w:rPr>
          <w:rFonts w:ascii="Arial" w:hAnsi="Arial" w:cs="Arial"/>
        </w:rPr>
        <w:t>.</w:t>
      </w:r>
      <w:r w:rsidR="00740E6B" w:rsidRPr="006F5ECF">
        <w:rPr>
          <w:rFonts w:ascii="Arial" w:hAnsi="Arial" w:cs="Arial"/>
        </w:rPr>
        <w:t xml:space="preserve"> </w:t>
      </w:r>
      <w:r w:rsidR="00C53A8C" w:rsidRPr="006F5ECF">
        <w:rPr>
          <w:rFonts w:ascii="Arial" w:hAnsi="Arial" w:cs="Arial"/>
        </w:rPr>
        <w:t xml:space="preserve"> </w:t>
      </w:r>
    </w:p>
    <w:p w14:paraId="4980BD8F" w14:textId="77777777" w:rsidR="006D001A" w:rsidRPr="006D001A" w:rsidRDefault="006D001A" w:rsidP="00423AFB">
      <w:pPr>
        <w:pStyle w:val="ColorfulShading-Accent31"/>
        <w:ind w:left="-360"/>
        <w:rPr>
          <w:rFonts w:ascii="Arial" w:hAnsi="Arial" w:cs="Arial"/>
        </w:rPr>
      </w:pPr>
    </w:p>
    <w:p w14:paraId="6AF4E6BF" w14:textId="4EE40133" w:rsidR="00C53A8C" w:rsidRPr="006D001A" w:rsidRDefault="00C53A8C" w:rsidP="00423AFB">
      <w:pPr>
        <w:pStyle w:val="ColorfulShading-Accent31"/>
        <w:ind w:left="-360"/>
        <w:rPr>
          <w:rFonts w:ascii="Arial" w:hAnsi="Arial" w:cs="Arial"/>
        </w:rPr>
      </w:pPr>
      <w:r w:rsidRPr="006D001A">
        <w:rPr>
          <w:rFonts w:ascii="Arial" w:hAnsi="Arial" w:cs="Arial"/>
        </w:rPr>
        <w:t>FFR</w:t>
      </w:r>
      <w:r w:rsidR="006D001A" w:rsidRPr="006D001A">
        <w:rPr>
          <w:rFonts w:ascii="Arial" w:hAnsi="Arial" w:cs="Arial"/>
        </w:rPr>
        <w:t xml:space="preserve"> would</w:t>
      </w:r>
      <w:r w:rsidRPr="006D001A">
        <w:rPr>
          <w:rFonts w:ascii="Arial" w:hAnsi="Arial" w:cs="Arial"/>
        </w:rPr>
        <w:t xml:space="preserve"> only provide Primary Frequency Response (“PFR”)</w:t>
      </w:r>
      <w:r w:rsidR="00974EE0" w:rsidRPr="006D001A">
        <w:rPr>
          <w:rFonts w:ascii="Arial" w:hAnsi="Arial" w:cs="Arial"/>
        </w:rPr>
        <w:t xml:space="preserve"> for</w:t>
      </w:r>
      <w:r w:rsidR="00740E6B" w:rsidRPr="006D001A">
        <w:rPr>
          <w:rFonts w:ascii="Arial" w:hAnsi="Arial" w:cs="Arial"/>
        </w:rPr>
        <w:t xml:space="preserve"> up to 15-minutes per low frequency event.</w:t>
      </w:r>
      <w:r w:rsidRPr="006D001A">
        <w:rPr>
          <w:rFonts w:ascii="Arial" w:hAnsi="Arial" w:cs="Arial"/>
        </w:rPr>
        <w:t xml:space="preserve"> </w:t>
      </w:r>
      <w:r w:rsidR="00740E6B" w:rsidRPr="006D001A">
        <w:rPr>
          <w:rFonts w:ascii="Arial" w:hAnsi="Arial" w:cs="Arial"/>
        </w:rPr>
        <w:t xml:space="preserve"> </w:t>
      </w:r>
      <w:r w:rsidRPr="006D001A">
        <w:rPr>
          <w:rFonts w:ascii="Arial" w:hAnsi="Arial" w:cs="Arial"/>
        </w:rPr>
        <w:t xml:space="preserve">RRS-gen provides 1) PFR with a 30-second initial response </w:t>
      </w:r>
      <w:r w:rsidR="00CA4A06">
        <w:rPr>
          <w:rFonts w:ascii="Arial" w:hAnsi="Arial" w:cs="Arial"/>
        </w:rPr>
        <w:t>and</w:t>
      </w:r>
      <w:r w:rsidR="00CA4A06" w:rsidRPr="006D001A">
        <w:rPr>
          <w:rFonts w:ascii="Arial" w:hAnsi="Arial" w:cs="Arial"/>
        </w:rPr>
        <w:t xml:space="preserve"> </w:t>
      </w:r>
      <w:r w:rsidRPr="006D001A">
        <w:rPr>
          <w:rFonts w:ascii="Arial" w:hAnsi="Arial" w:cs="Arial"/>
        </w:rPr>
        <w:t>sustained response for up to 60 minutes</w:t>
      </w:r>
      <w:r w:rsidR="00974EE0" w:rsidRPr="006D001A">
        <w:rPr>
          <w:rFonts w:ascii="Arial" w:hAnsi="Arial" w:cs="Arial"/>
        </w:rPr>
        <w:t xml:space="preserve"> per clock-hour</w:t>
      </w:r>
      <w:r w:rsidRPr="006D001A">
        <w:rPr>
          <w:rFonts w:ascii="Arial" w:hAnsi="Arial" w:cs="Arial"/>
        </w:rPr>
        <w:t xml:space="preserve">, 2) contingency reserves releasable to </w:t>
      </w:r>
      <w:r w:rsidR="009D50BD" w:rsidRPr="009D50BD">
        <w:rPr>
          <w:rFonts w:ascii="Arial" w:hAnsi="Arial" w:cs="Arial"/>
        </w:rPr>
        <w:t xml:space="preserve">Security-Constrained Economic Dispatch </w:t>
      </w:r>
      <w:r w:rsidR="009D50BD">
        <w:rPr>
          <w:rFonts w:ascii="Arial" w:hAnsi="Arial" w:cs="Arial"/>
        </w:rPr>
        <w:t>(</w:t>
      </w:r>
      <w:r w:rsidRPr="006D001A">
        <w:rPr>
          <w:rFonts w:ascii="Arial" w:hAnsi="Arial" w:cs="Arial"/>
        </w:rPr>
        <w:t>SCED</w:t>
      </w:r>
      <w:r w:rsidR="009D50BD">
        <w:rPr>
          <w:rFonts w:ascii="Arial" w:hAnsi="Arial" w:cs="Arial"/>
        </w:rPr>
        <w:t>)</w:t>
      </w:r>
      <w:r w:rsidRPr="006D001A">
        <w:rPr>
          <w:rFonts w:ascii="Arial" w:hAnsi="Arial" w:cs="Arial"/>
        </w:rPr>
        <w:t xml:space="preserve"> with a 10-minute deployment time, 3) system inertia, and 4) voltage control.  Given the limited </w:t>
      </w:r>
      <w:r w:rsidR="00CA4A06">
        <w:rPr>
          <w:rFonts w:ascii="Arial" w:hAnsi="Arial" w:cs="Arial"/>
        </w:rPr>
        <w:t>performance criteria</w:t>
      </w:r>
      <w:r w:rsidR="00CA4A06" w:rsidRPr="006D001A">
        <w:rPr>
          <w:rFonts w:ascii="Arial" w:hAnsi="Arial" w:cs="Arial"/>
        </w:rPr>
        <w:t xml:space="preserve"> </w:t>
      </w:r>
      <w:r w:rsidRPr="006D001A">
        <w:rPr>
          <w:rFonts w:ascii="Arial" w:hAnsi="Arial" w:cs="Arial"/>
        </w:rPr>
        <w:t xml:space="preserve">of </w:t>
      </w:r>
      <w:r w:rsidR="0079481D">
        <w:rPr>
          <w:rFonts w:ascii="Arial" w:hAnsi="Arial" w:cs="Arial"/>
        </w:rPr>
        <w:t xml:space="preserve">the </w:t>
      </w:r>
      <w:r w:rsidRPr="006D001A">
        <w:rPr>
          <w:rFonts w:ascii="Arial" w:hAnsi="Arial" w:cs="Arial"/>
        </w:rPr>
        <w:t xml:space="preserve">FFR </w:t>
      </w:r>
      <w:r w:rsidR="00740E6B" w:rsidRPr="006D001A">
        <w:rPr>
          <w:rFonts w:ascii="Arial" w:hAnsi="Arial" w:cs="Arial"/>
        </w:rPr>
        <w:t>product</w:t>
      </w:r>
      <w:r w:rsidRPr="006D001A">
        <w:rPr>
          <w:rFonts w:ascii="Arial" w:hAnsi="Arial" w:cs="Arial"/>
        </w:rPr>
        <w:t xml:space="preserve">, it is imperative that the technical performance standards </w:t>
      </w:r>
      <w:r w:rsidR="00740E6B" w:rsidRPr="006D001A">
        <w:rPr>
          <w:rFonts w:ascii="Arial" w:hAnsi="Arial" w:cs="Arial"/>
        </w:rPr>
        <w:t xml:space="preserve">for frequency response </w:t>
      </w:r>
      <w:r w:rsidRPr="006D001A">
        <w:rPr>
          <w:rFonts w:ascii="Arial" w:hAnsi="Arial" w:cs="Arial"/>
        </w:rPr>
        <w:t>meet a</w:t>
      </w:r>
      <w:r w:rsidR="006F5ECF">
        <w:rPr>
          <w:rFonts w:ascii="Arial" w:hAnsi="Arial" w:cs="Arial"/>
        </w:rPr>
        <w:t>n</w:t>
      </w:r>
      <w:r w:rsidRPr="006D001A">
        <w:rPr>
          <w:rFonts w:ascii="Arial" w:hAnsi="Arial" w:cs="Arial"/>
        </w:rPr>
        <w:t xml:space="preserve"> </w:t>
      </w:r>
      <w:r w:rsidR="00CA4A06">
        <w:rPr>
          <w:rFonts w:ascii="Arial" w:hAnsi="Arial" w:cs="Arial"/>
        </w:rPr>
        <w:t>appropriate</w:t>
      </w:r>
      <w:r w:rsidR="006F5ECF">
        <w:rPr>
          <w:rFonts w:ascii="Arial" w:hAnsi="Arial" w:cs="Arial"/>
        </w:rPr>
        <w:t xml:space="preserve"> threshold</w:t>
      </w:r>
      <w:r w:rsidR="00740E6B" w:rsidRPr="006D001A">
        <w:rPr>
          <w:rFonts w:ascii="Arial" w:hAnsi="Arial" w:cs="Arial"/>
        </w:rPr>
        <w:t xml:space="preserve"> to justify pricing at the same level as RRS-gen.  Otherwise, </w:t>
      </w:r>
      <w:r w:rsidR="009D50BD">
        <w:rPr>
          <w:rFonts w:ascii="Arial" w:hAnsi="Arial" w:cs="Arial"/>
        </w:rPr>
        <w:t>Load Serving Entities (</w:t>
      </w:r>
      <w:r w:rsidR="00740E6B" w:rsidRPr="006D001A">
        <w:rPr>
          <w:rFonts w:ascii="Arial" w:hAnsi="Arial" w:cs="Arial"/>
        </w:rPr>
        <w:t>LSEs</w:t>
      </w:r>
      <w:r w:rsidR="009D50BD">
        <w:rPr>
          <w:rFonts w:ascii="Arial" w:hAnsi="Arial" w:cs="Arial"/>
        </w:rPr>
        <w:t>)</w:t>
      </w:r>
      <w:r w:rsidR="00740E6B" w:rsidRPr="006D001A">
        <w:rPr>
          <w:rFonts w:ascii="Arial" w:hAnsi="Arial" w:cs="Arial"/>
        </w:rPr>
        <w:t xml:space="preserve"> would be better off procuring additional volumes of the existing RRS-gen product rather than procuring an inferior FFR product.</w:t>
      </w:r>
    </w:p>
    <w:p w14:paraId="50451862" w14:textId="77777777" w:rsidR="00C53A8C" w:rsidRPr="006D001A" w:rsidRDefault="00C53A8C" w:rsidP="00423AFB">
      <w:pPr>
        <w:pStyle w:val="ColorfulShading-Accent31"/>
        <w:ind w:left="-360"/>
        <w:rPr>
          <w:rFonts w:ascii="Arial" w:hAnsi="Arial" w:cs="Arial"/>
        </w:rPr>
      </w:pPr>
    </w:p>
    <w:p w14:paraId="05C55021" w14:textId="77777777" w:rsidR="00C53A8C" w:rsidRDefault="00C53A8C" w:rsidP="00423AFB">
      <w:pPr>
        <w:pStyle w:val="ColorfulShading-Accent31"/>
        <w:ind w:left="-360"/>
        <w:rPr>
          <w:rFonts w:ascii="Arial" w:hAnsi="Arial" w:cs="Arial"/>
        </w:rPr>
      </w:pPr>
      <w:r w:rsidRPr="006D001A">
        <w:rPr>
          <w:rFonts w:ascii="Arial" w:hAnsi="Arial" w:cs="Arial"/>
        </w:rPr>
        <w:t>F</w:t>
      </w:r>
      <w:r w:rsidR="00D22947" w:rsidRPr="006D001A">
        <w:rPr>
          <w:rFonts w:ascii="Arial" w:hAnsi="Arial" w:cs="Arial"/>
        </w:rPr>
        <w:t xml:space="preserve">FR performance standards </w:t>
      </w:r>
      <w:r w:rsidR="006D001A" w:rsidRPr="006D001A">
        <w:rPr>
          <w:rFonts w:ascii="Arial" w:hAnsi="Arial" w:cs="Arial"/>
        </w:rPr>
        <w:t>should incentivize technological development aimed at provi</w:t>
      </w:r>
      <w:r w:rsidR="006D001A" w:rsidRPr="00A51F6E">
        <w:rPr>
          <w:rFonts w:ascii="Arial" w:hAnsi="Arial" w:cs="Arial"/>
        </w:rPr>
        <w:t>di</w:t>
      </w:r>
      <w:r w:rsidR="006D001A" w:rsidRPr="006D001A">
        <w:rPr>
          <w:rFonts w:ascii="Arial" w:hAnsi="Arial" w:cs="Arial"/>
        </w:rPr>
        <w:t>ng the best and most efficient frequency control</w:t>
      </w:r>
      <w:r w:rsidR="006D001A" w:rsidRPr="00A51F6E">
        <w:rPr>
          <w:rFonts w:ascii="Arial" w:hAnsi="Arial" w:cs="Arial"/>
        </w:rPr>
        <w:t xml:space="preserve"> possible</w:t>
      </w:r>
      <w:r w:rsidRPr="006D001A">
        <w:rPr>
          <w:rFonts w:ascii="Arial" w:hAnsi="Arial" w:cs="Arial"/>
        </w:rPr>
        <w:t>.</w:t>
      </w:r>
      <w:r w:rsidR="006D001A" w:rsidRPr="00A51F6E">
        <w:rPr>
          <w:rFonts w:ascii="Arial" w:hAnsi="Arial" w:cs="Arial"/>
        </w:rPr>
        <w:t xml:space="preserve"> We </w:t>
      </w:r>
      <w:r w:rsidR="0079481D">
        <w:rPr>
          <w:rFonts w:ascii="Arial" w:hAnsi="Arial" w:cs="Arial"/>
        </w:rPr>
        <w:t>can look to the experience of other ISOs to observe the importance of aligning performance characteristics (and hence value) against compensation for grid support services</w:t>
      </w:r>
      <w:r w:rsidR="006F5ECF">
        <w:rPr>
          <w:rFonts w:ascii="Arial" w:hAnsi="Arial" w:cs="Arial"/>
        </w:rPr>
        <w:t xml:space="preserve"> as well as grid needs</w:t>
      </w:r>
      <w:r w:rsidR="006D001A" w:rsidRPr="00A51F6E">
        <w:rPr>
          <w:rFonts w:ascii="Arial" w:hAnsi="Arial" w:cs="Arial"/>
        </w:rPr>
        <w:t>.</w:t>
      </w:r>
      <w:r w:rsidRPr="006D001A">
        <w:rPr>
          <w:rFonts w:ascii="Arial" w:hAnsi="Arial" w:cs="Arial"/>
        </w:rPr>
        <w:t xml:space="preserve">  In PJM, the Reg-D pr</w:t>
      </w:r>
      <w:r w:rsidR="00740E6B" w:rsidRPr="006D001A">
        <w:rPr>
          <w:rFonts w:ascii="Arial" w:hAnsi="Arial" w:cs="Arial"/>
        </w:rPr>
        <w:t>oduct was implemented as a fast-</w:t>
      </w:r>
      <w:r w:rsidRPr="006D001A">
        <w:rPr>
          <w:rFonts w:ascii="Arial" w:hAnsi="Arial" w:cs="Arial"/>
        </w:rPr>
        <w:t>responding Ancillary Service with sever</w:t>
      </w:r>
      <w:r w:rsidR="00740E6B" w:rsidRPr="006D001A">
        <w:rPr>
          <w:rFonts w:ascii="Arial" w:hAnsi="Arial" w:cs="Arial"/>
        </w:rPr>
        <w:t xml:space="preserve">ely limited deployment duration and contingent restoration time.  After three years of product usage, the frequency correction provided </w:t>
      </w:r>
      <w:r w:rsidR="00D22947" w:rsidRPr="006D001A">
        <w:rPr>
          <w:rFonts w:ascii="Arial" w:hAnsi="Arial" w:cs="Arial"/>
        </w:rPr>
        <w:t xml:space="preserve">by Reg-D </w:t>
      </w:r>
      <w:r w:rsidR="00740E6B" w:rsidRPr="006D001A">
        <w:rPr>
          <w:rFonts w:ascii="Arial" w:hAnsi="Arial" w:cs="Arial"/>
        </w:rPr>
        <w:t>was demonstra</w:t>
      </w:r>
      <w:r w:rsidR="00D22947" w:rsidRPr="006D001A">
        <w:rPr>
          <w:rFonts w:ascii="Arial" w:hAnsi="Arial" w:cs="Arial"/>
        </w:rPr>
        <w:t>bly</w:t>
      </w:r>
      <w:r w:rsidR="00740E6B" w:rsidRPr="006D001A">
        <w:rPr>
          <w:rFonts w:ascii="Arial" w:hAnsi="Arial" w:cs="Arial"/>
        </w:rPr>
        <w:t xml:space="preserve"> inferior to the </w:t>
      </w:r>
      <w:r w:rsidR="00D22947" w:rsidRPr="006D001A">
        <w:rPr>
          <w:rFonts w:ascii="Arial" w:hAnsi="Arial" w:cs="Arial"/>
        </w:rPr>
        <w:t>existing</w:t>
      </w:r>
      <w:r w:rsidR="00740E6B" w:rsidRPr="006D001A">
        <w:rPr>
          <w:rFonts w:ascii="Arial" w:hAnsi="Arial" w:cs="Arial"/>
        </w:rPr>
        <w:t xml:space="preserve"> Reg-A</w:t>
      </w:r>
      <w:r w:rsidR="00D22947" w:rsidRPr="006D001A">
        <w:rPr>
          <w:rFonts w:ascii="Arial" w:hAnsi="Arial" w:cs="Arial"/>
        </w:rPr>
        <w:t xml:space="preserve"> product</w:t>
      </w:r>
      <w:r w:rsidR="00740E6B" w:rsidRPr="006D001A">
        <w:rPr>
          <w:rFonts w:ascii="Arial" w:hAnsi="Arial" w:cs="Arial"/>
        </w:rPr>
        <w:t>, particularly during ramp periods</w:t>
      </w:r>
      <w:r w:rsidR="00740E6B">
        <w:rPr>
          <w:rFonts w:ascii="Arial" w:hAnsi="Arial" w:cs="Arial"/>
        </w:rPr>
        <w:t>.  PJM staff and stakeholders responded by reducing the p</w:t>
      </w:r>
      <w:r w:rsidR="00D22947">
        <w:rPr>
          <w:rFonts w:ascii="Arial" w:hAnsi="Arial" w:cs="Arial"/>
        </w:rPr>
        <w:t>rocurement volumes for Reg-D,</w:t>
      </w:r>
      <w:r w:rsidR="00740E6B">
        <w:rPr>
          <w:rFonts w:ascii="Arial" w:hAnsi="Arial" w:cs="Arial"/>
        </w:rPr>
        <w:t xml:space="preserve"> expanding the deployment duration</w:t>
      </w:r>
      <w:r w:rsidR="00D22947">
        <w:rPr>
          <w:rFonts w:ascii="Arial" w:hAnsi="Arial" w:cs="Arial"/>
        </w:rPr>
        <w:t>,</w:t>
      </w:r>
      <w:r w:rsidR="00740E6B">
        <w:rPr>
          <w:rFonts w:ascii="Arial" w:hAnsi="Arial" w:cs="Arial"/>
        </w:rPr>
        <w:t xml:space="preserve"> and </w:t>
      </w:r>
      <w:r w:rsidR="0059652E">
        <w:rPr>
          <w:rFonts w:ascii="Arial" w:hAnsi="Arial" w:cs="Arial"/>
        </w:rPr>
        <w:t xml:space="preserve">cutting </w:t>
      </w:r>
      <w:r w:rsidR="00740E6B">
        <w:rPr>
          <w:rFonts w:ascii="Arial" w:hAnsi="Arial" w:cs="Arial"/>
        </w:rPr>
        <w:t>the restoration</w:t>
      </w:r>
      <w:r w:rsidR="00D22947">
        <w:rPr>
          <w:rFonts w:ascii="Arial" w:hAnsi="Arial" w:cs="Arial"/>
        </w:rPr>
        <w:t xml:space="preserve"> tim</w:t>
      </w:r>
      <w:r w:rsidR="0059652E">
        <w:rPr>
          <w:rFonts w:ascii="Arial" w:hAnsi="Arial" w:cs="Arial"/>
        </w:rPr>
        <w:t>e</w:t>
      </w:r>
      <w:r w:rsidR="00740E6B">
        <w:rPr>
          <w:rFonts w:ascii="Arial" w:hAnsi="Arial" w:cs="Arial"/>
        </w:rPr>
        <w:t xml:space="preserve">.  </w:t>
      </w:r>
      <w:r w:rsidR="0059652E">
        <w:rPr>
          <w:rFonts w:ascii="Arial" w:hAnsi="Arial" w:cs="Arial"/>
        </w:rPr>
        <w:t xml:space="preserve">In making these adjustments </w:t>
      </w:r>
      <w:r w:rsidR="00740E6B">
        <w:rPr>
          <w:rFonts w:ascii="Arial" w:hAnsi="Arial" w:cs="Arial"/>
        </w:rPr>
        <w:t>PJM appropriately raised the bar for this product</w:t>
      </w:r>
      <w:r w:rsidR="0059652E">
        <w:rPr>
          <w:rFonts w:ascii="Arial" w:hAnsi="Arial" w:cs="Arial"/>
        </w:rPr>
        <w:t>,</w:t>
      </w:r>
      <w:r w:rsidR="00423AFB">
        <w:rPr>
          <w:rFonts w:ascii="Arial" w:hAnsi="Arial" w:cs="Arial"/>
        </w:rPr>
        <w:t xml:space="preserve"> </w:t>
      </w:r>
      <w:r w:rsidR="0059652E">
        <w:rPr>
          <w:rFonts w:ascii="Arial" w:hAnsi="Arial" w:cs="Arial"/>
        </w:rPr>
        <w:t>ensuring</w:t>
      </w:r>
      <w:r w:rsidR="00423AFB">
        <w:rPr>
          <w:rFonts w:ascii="Arial" w:hAnsi="Arial" w:cs="Arial"/>
        </w:rPr>
        <w:t xml:space="preserve"> market participant</w:t>
      </w:r>
      <w:r w:rsidR="00560CE5">
        <w:rPr>
          <w:rFonts w:ascii="Arial" w:hAnsi="Arial" w:cs="Arial"/>
        </w:rPr>
        <w:t xml:space="preserve">s receive reasonable frequency control benefits </w:t>
      </w:r>
      <w:r w:rsidR="00423AFB">
        <w:rPr>
          <w:rFonts w:ascii="Arial" w:hAnsi="Arial" w:cs="Arial"/>
        </w:rPr>
        <w:t>relative to the</w:t>
      </w:r>
      <w:r w:rsidR="00560CE5">
        <w:rPr>
          <w:rFonts w:ascii="Arial" w:hAnsi="Arial" w:cs="Arial"/>
        </w:rPr>
        <w:t xml:space="preserve"> cost</w:t>
      </w:r>
      <w:r w:rsidR="00423AFB">
        <w:rPr>
          <w:rFonts w:ascii="Arial" w:hAnsi="Arial" w:cs="Arial"/>
        </w:rPr>
        <w:t xml:space="preserve"> of substitutable products</w:t>
      </w:r>
      <w:r w:rsidR="00740E6B">
        <w:rPr>
          <w:rFonts w:ascii="Arial" w:hAnsi="Arial" w:cs="Arial"/>
        </w:rPr>
        <w:t xml:space="preserve">.  Nevertheless, investments </w:t>
      </w:r>
      <w:r w:rsidR="00740E6B">
        <w:rPr>
          <w:rFonts w:ascii="Arial" w:hAnsi="Arial" w:cs="Arial"/>
        </w:rPr>
        <w:lastRenderedPageBreak/>
        <w:t xml:space="preserve">were made in new resources (mainly battery technology) designed to meet the </w:t>
      </w:r>
      <w:r w:rsidR="00740E6B" w:rsidRPr="00A51F6E">
        <w:rPr>
          <w:rFonts w:ascii="Arial" w:hAnsi="Arial" w:cs="Arial"/>
        </w:rPr>
        <w:t>initial</w:t>
      </w:r>
      <w:r w:rsidR="00740E6B">
        <w:rPr>
          <w:rFonts w:ascii="Arial" w:hAnsi="Arial" w:cs="Arial"/>
        </w:rPr>
        <w:t xml:space="preserve"> performance standards</w:t>
      </w:r>
      <w:r w:rsidR="0059652E">
        <w:rPr>
          <w:rFonts w:ascii="Arial" w:hAnsi="Arial" w:cs="Arial"/>
        </w:rPr>
        <w:t>,</w:t>
      </w:r>
      <w:r w:rsidR="00740E6B">
        <w:rPr>
          <w:rFonts w:ascii="Arial" w:hAnsi="Arial" w:cs="Arial"/>
        </w:rPr>
        <w:t xml:space="preserve"> and now </w:t>
      </w:r>
      <w:r w:rsidR="00560CE5">
        <w:rPr>
          <w:rFonts w:ascii="Arial" w:hAnsi="Arial" w:cs="Arial"/>
        </w:rPr>
        <w:t xml:space="preserve">those investments are </w:t>
      </w:r>
      <w:r w:rsidR="006F5ECF">
        <w:rPr>
          <w:rFonts w:ascii="Arial" w:hAnsi="Arial" w:cs="Arial"/>
        </w:rPr>
        <w:t>impaired</w:t>
      </w:r>
      <w:r w:rsidR="00423AFB">
        <w:rPr>
          <w:rFonts w:ascii="Arial" w:hAnsi="Arial" w:cs="Arial"/>
        </w:rPr>
        <w:t xml:space="preserve"> as their participation in Reg-D</w:t>
      </w:r>
      <w:r w:rsidR="00560CE5">
        <w:rPr>
          <w:rFonts w:ascii="Arial" w:hAnsi="Arial" w:cs="Arial"/>
        </w:rPr>
        <w:t xml:space="preserve"> has been curtailed</w:t>
      </w:r>
      <w:r w:rsidR="00423AFB">
        <w:rPr>
          <w:rFonts w:ascii="Arial" w:hAnsi="Arial" w:cs="Arial"/>
        </w:rPr>
        <w:t xml:space="preserve"> </w:t>
      </w:r>
      <w:r w:rsidR="00D45027">
        <w:rPr>
          <w:rFonts w:ascii="Arial" w:hAnsi="Arial" w:cs="Arial"/>
        </w:rPr>
        <w:t>(owing to the need for greater storage duration to comply with PJM’s revised performance standards)</w:t>
      </w:r>
      <w:r w:rsidR="00560CE5">
        <w:rPr>
          <w:rFonts w:ascii="Arial" w:hAnsi="Arial" w:cs="Arial"/>
        </w:rPr>
        <w:t>.  Had the Reg-D product</w:t>
      </w:r>
      <w:r w:rsidR="0079481D">
        <w:rPr>
          <w:rFonts w:ascii="Arial" w:hAnsi="Arial" w:cs="Arial"/>
        </w:rPr>
        <w:t xml:space="preserve"> initially</w:t>
      </w:r>
      <w:r w:rsidR="00560CE5">
        <w:rPr>
          <w:rFonts w:ascii="Arial" w:hAnsi="Arial" w:cs="Arial"/>
        </w:rPr>
        <w:t xml:space="preserve"> been formulated to meet </w:t>
      </w:r>
      <w:r w:rsidR="0079481D">
        <w:rPr>
          <w:rFonts w:ascii="Arial" w:hAnsi="Arial" w:cs="Arial"/>
        </w:rPr>
        <w:t>an appropriate standard</w:t>
      </w:r>
      <w:r w:rsidR="00560CE5">
        <w:rPr>
          <w:rFonts w:ascii="Arial" w:hAnsi="Arial" w:cs="Arial"/>
        </w:rPr>
        <w:t xml:space="preserve">, </w:t>
      </w:r>
      <w:r w:rsidR="006D001A">
        <w:rPr>
          <w:rFonts w:ascii="Arial" w:hAnsi="Arial" w:cs="Arial"/>
        </w:rPr>
        <w:t xml:space="preserve">the subsequent </w:t>
      </w:r>
      <w:r w:rsidR="00560CE5">
        <w:rPr>
          <w:rFonts w:ascii="Arial" w:hAnsi="Arial" w:cs="Arial"/>
        </w:rPr>
        <w:t>investment in flexible resources would certainly have been more economically efficient.</w:t>
      </w:r>
    </w:p>
    <w:p w14:paraId="7D9FC45F" w14:textId="77777777" w:rsidR="00560CE5" w:rsidRDefault="00560CE5" w:rsidP="00423AFB">
      <w:pPr>
        <w:pStyle w:val="ColorfulShading-Accent31"/>
        <w:ind w:left="-360"/>
        <w:rPr>
          <w:rFonts w:ascii="Arial" w:hAnsi="Arial" w:cs="Arial"/>
        </w:rPr>
      </w:pPr>
    </w:p>
    <w:p w14:paraId="753D6E2A" w14:textId="77777777" w:rsidR="00560CE5" w:rsidRPr="00A51F6E" w:rsidRDefault="00113EA1" w:rsidP="00423AFB">
      <w:pPr>
        <w:pStyle w:val="ColorfulShading-Accent31"/>
        <w:ind w:left="-360"/>
        <w:rPr>
          <w:rFonts w:ascii="Arial" w:hAnsi="Arial" w:cs="Arial"/>
          <w:bCs/>
        </w:rPr>
      </w:pPr>
      <w:r w:rsidRPr="00A51F6E">
        <w:rPr>
          <w:rFonts w:ascii="Arial" w:hAnsi="Arial" w:cs="Arial"/>
          <w:bCs/>
        </w:rPr>
        <w:t xml:space="preserve">The PJM example </w:t>
      </w:r>
      <w:r w:rsidR="0059652E" w:rsidRPr="00A51F6E">
        <w:rPr>
          <w:rFonts w:ascii="Arial" w:hAnsi="Arial" w:cs="Arial"/>
          <w:bCs/>
        </w:rPr>
        <w:t>provides evidence that</w:t>
      </w:r>
      <w:r w:rsidRPr="00A51F6E">
        <w:rPr>
          <w:rFonts w:ascii="Arial" w:hAnsi="Arial" w:cs="Arial"/>
          <w:bCs/>
        </w:rPr>
        <w:t xml:space="preserve"> r</w:t>
      </w:r>
      <w:r w:rsidR="00560CE5" w:rsidRPr="00A51F6E">
        <w:rPr>
          <w:rFonts w:ascii="Arial" w:hAnsi="Arial" w:cs="Arial"/>
          <w:bCs/>
        </w:rPr>
        <w:t xml:space="preserve">egulatory concessions resulting in the addition of inferior products, relative to those that already exist, undermine the development of technologies that </w:t>
      </w:r>
      <w:r w:rsidR="00945A71" w:rsidRPr="00A51F6E">
        <w:rPr>
          <w:rFonts w:ascii="Arial" w:hAnsi="Arial" w:cs="Arial"/>
          <w:bCs/>
        </w:rPr>
        <w:t>c</w:t>
      </w:r>
      <w:r w:rsidR="00560CE5" w:rsidRPr="00A51F6E">
        <w:rPr>
          <w:rFonts w:ascii="Arial" w:hAnsi="Arial" w:cs="Arial"/>
          <w:bCs/>
        </w:rPr>
        <w:t>ould meet or exceed the requirements of the current Ancillary Service products.</w:t>
      </w:r>
    </w:p>
    <w:p w14:paraId="50B832A0" w14:textId="77777777" w:rsidR="00D5653F" w:rsidRDefault="00D5653F" w:rsidP="00423AFB">
      <w:pPr>
        <w:pStyle w:val="ColorfulShading-Accent31"/>
        <w:ind w:left="-360"/>
        <w:rPr>
          <w:rFonts w:ascii="Arial" w:hAnsi="Arial" w:cs="Arial"/>
          <w:bCs/>
          <w:u w:val="single"/>
        </w:rPr>
      </w:pPr>
    </w:p>
    <w:p w14:paraId="457AF738" w14:textId="77777777" w:rsidR="00D5653F" w:rsidRPr="00A51F6E" w:rsidRDefault="004A26A7" w:rsidP="00423AFB">
      <w:pPr>
        <w:pStyle w:val="ColorfulShading-Accent31"/>
        <w:ind w:left="-360"/>
        <w:rPr>
          <w:rFonts w:ascii="Arial" w:hAnsi="Arial" w:cs="Arial"/>
          <w:bCs/>
        </w:rPr>
      </w:pPr>
      <w:r w:rsidRPr="00A51F6E">
        <w:rPr>
          <w:rFonts w:ascii="Arial" w:hAnsi="Arial" w:cs="Arial"/>
          <w:bCs/>
        </w:rPr>
        <w:t>T</w:t>
      </w:r>
      <w:r w:rsidR="00D5653F" w:rsidRPr="00A51F6E">
        <w:rPr>
          <w:rFonts w:ascii="Arial" w:hAnsi="Arial" w:cs="Arial"/>
          <w:bCs/>
        </w:rPr>
        <w:t xml:space="preserve">he following items outline Apex’s view of a higher, </w:t>
      </w:r>
      <w:r w:rsidR="008270C3" w:rsidRPr="00A51F6E">
        <w:rPr>
          <w:rFonts w:ascii="Arial" w:hAnsi="Arial" w:cs="Arial"/>
          <w:bCs/>
        </w:rPr>
        <w:t xml:space="preserve">more </w:t>
      </w:r>
      <w:r w:rsidR="00CA4A06" w:rsidRPr="00A51F6E">
        <w:rPr>
          <w:rFonts w:ascii="Arial" w:hAnsi="Arial" w:cs="Arial"/>
          <w:bCs/>
        </w:rPr>
        <w:t>appropriate</w:t>
      </w:r>
      <w:r w:rsidR="00D5653F" w:rsidRPr="00A51F6E">
        <w:rPr>
          <w:rFonts w:ascii="Arial" w:hAnsi="Arial" w:cs="Arial"/>
          <w:bCs/>
        </w:rPr>
        <w:t xml:space="preserve"> standard</w:t>
      </w:r>
      <w:r w:rsidR="00443CED">
        <w:rPr>
          <w:rFonts w:ascii="Arial" w:hAnsi="Arial" w:cs="Arial"/>
          <w:bCs/>
        </w:rPr>
        <w:t xml:space="preserve"> for the FF</w:t>
      </w:r>
      <w:r w:rsidR="000D4E17">
        <w:rPr>
          <w:rFonts w:ascii="Arial" w:hAnsi="Arial" w:cs="Arial"/>
          <w:bCs/>
        </w:rPr>
        <w:t>R product</w:t>
      </w:r>
      <w:r w:rsidR="00D5653F" w:rsidRPr="00A51F6E">
        <w:rPr>
          <w:rFonts w:ascii="Arial" w:hAnsi="Arial" w:cs="Arial"/>
          <w:bCs/>
        </w:rPr>
        <w:t>.</w:t>
      </w:r>
    </w:p>
    <w:p w14:paraId="196B0A0B" w14:textId="77777777" w:rsidR="00453018" w:rsidRPr="00F367D2" w:rsidRDefault="00453018" w:rsidP="00453018">
      <w:pPr>
        <w:pStyle w:val="NormalArial"/>
        <w:tabs>
          <w:tab w:val="left" w:pos="2040"/>
        </w:tabs>
        <w:rPr>
          <w:rFonts w:cs="Arial"/>
          <w:sz w:val="22"/>
          <w:szCs w:val="22"/>
        </w:rPr>
      </w:pPr>
      <w:r w:rsidRPr="00F367D2">
        <w:rPr>
          <w:rFonts w:cs="Arial"/>
          <w:sz w:val="22"/>
          <w:szCs w:val="22"/>
        </w:rPr>
        <w:tab/>
      </w:r>
    </w:p>
    <w:p w14:paraId="3A6D14A6" w14:textId="4896984C" w:rsidR="00E52A1E" w:rsidRPr="00E52A1E" w:rsidRDefault="00D6474E" w:rsidP="00F367D2">
      <w:pPr>
        <w:pStyle w:val="ColorfulShading-Accent31"/>
        <w:numPr>
          <w:ilvl w:val="0"/>
          <w:numId w:val="3"/>
        </w:numPr>
        <w:ind w:left="360"/>
        <w:rPr>
          <w:rFonts w:ascii="Arial" w:hAnsi="Arial" w:cs="Arial"/>
        </w:rPr>
      </w:pPr>
      <w:r w:rsidRPr="00F367D2">
        <w:rPr>
          <w:rFonts w:ascii="Arial" w:hAnsi="Arial" w:cs="Arial"/>
          <w:b/>
          <w:bCs/>
        </w:rPr>
        <w:t>The</w:t>
      </w:r>
      <w:r w:rsidR="00453018" w:rsidRPr="00F367D2">
        <w:rPr>
          <w:rFonts w:ascii="Arial" w:hAnsi="Arial" w:cs="Arial"/>
          <w:b/>
          <w:bCs/>
        </w:rPr>
        <w:t xml:space="preserve"> </w:t>
      </w:r>
      <w:r w:rsidRPr="00F367D2">
        <w:rPr>
          <w:rFonts w:ascii="Arial" w:hAnsi="Arial" w:cs="Arial"/>
          <w:b/>
          <w:bCs/>
        </w:rPr>
        <w:t xml:space="preserve">proposed frequency trigger </w:t>
      </w:r>
      <w:r w:rsidR="00586119" w:rsidRPr="00F367D2">
        <w:rPr>
          <w:rFonts w:ascii="Arial" w:hAnsi="Arial" w:cs="Arial"/>
          <w:b/>
          <w:bCs/>
        </w:rPr>
        <w:t xml:space="preserve">of 59.850 Hz for </w:t>
      </w:r>
      <w:r w:rsidR="00B113BE" w:rsidRPr="00F367D2">
        <w:rPr>
          <w:rFonts w:ascii="Arial" w:hAnsi="Arial" w:cs="Arial"/>
          <w:b/>
          <w:bCs/>
        </w:rPr>
        <w:t>Fast Frequency Response (</w:t>
      </w:r>
      <w:r w:rsidR="00453018" w:rsidRPr="00F367D2">
        <w:rPr>
          <w:rFonts w:ascii="Arial" w:hAnsi="Arial" w:cs="Arial"/>
          <w:b/>
          <w:bCs/>
        </w:rPr>
        <w:t>FFR</w:t>
      </w:r>
      <w:r w:rsidR="00B113BE" w:rsidRPr="00F367D2">
        <w:rPr>
          <w:rFonts w:ascii="Arial" w:hAnsi="Arial" w:cs="Arial"/>
          <w:b/>
          <w:bCs/>
        </w:rPr>
        <w:t>)</w:t>
      </w:r>
      <w:r w:rsidR="00586119" w:rsidRPr="00F367D2">
        <w:rPr>
          <w:rFonts w:ascii="Arial" w:hAnsi="Arial" w:cs="Arial"/>
          <w:b/>
          <w:bCs/>
        </w:rPr>
        <w:t xml:space="preserve"> would result in </w:t>
      </w:r>
      <w:r w:rsidR="00EC2059">
        <w:rPr>
          <w:rFonts w:ascii="Arial" w:hAnsi="Arial" w:cs="Arial"/>
          <w:b/>
          <w:bCs/>
        </w:rPr>
        <w:t xml:space="preserve">negligible deployments, and thus the </w:t>
      </w:r>
      <w:r w:rsidR="00586119" w:rsidRPr="00F367D2">
        <w:rPr>
          <w:rFonts w:ascii="Arial" w:hAnsi="Arial" w:cs="Arial"/>
          <w:b/>
          <w:bCs/>
        </w:rPr>
        <w:t xml:space="preserve">expected frequency </w:t>
      </w:r>
      <w:r w:rsidR="00EC2059">
        <w:rPr>
          <w:rFonts w:ascii="Arial" w:hAnsi="Arial" w:cs="Arial"/>
          <w:b/>
          <w:bCs/>
        </w:rPr>
        <w:t>correction would</w:t>
      </w:r>
      <w:r w:rsidR="00586119" w:rsidRPr="00F367D2">
        <w:rPr>
          <w:rFonts w:ascii="Arial" w:hAnsi="Arial" w:cs="Arial"/>
          <w:b/>
          <w:bCs/>
        </w:rPr>
        <w:t xml:space="preserve"> </w:t>
      </w:r>
      <w:r w:rsidR="00FF7E2A">
        <w:rPr>
          <w:rFonts w:ascii="Arial" w:hAnsi="Arial" w:cs="Arial"/>
          <w:b/>
          <w:bCs/>
        </w:rPr>
        <w:t xml:space="preserve">be </w:t>
      </w:r>
      <w:r w:rsidR="00586119" w:rsidRPr="00F367D2">
        <w:rPr>
          <w:rFonts w:ascii="Arial" w:hAnsi="Arial" w:cs="Arial"/>
          <w:b/>
          <w:bCs/>
        </w:rPr>
        <w:t xml:space="preserve">far inferior to Responsive Reserve </w:t>
      </w:r>
      <w:r w:rsidR="00F4433E" w:rsidRPr="00F367D2">
        <w:rPr>
          <w:rFonts w:ascii="Arial" w:hAnsi="Arial" w:cs="Arial"/>
          <w:b/>
          <w:bCs/>
        </w:rPr>
        <w:t>(RRS)</w:t>
      </w:r>
      <w:r w:rsidR="00A06808">
        <w:rPr>
          <w:rFonts w:ascii="Arial" w:hAnsi="Arial" w:cs="Arial"/>
          <w:b/>
          <w:bCs/>
        </w:rPr>
        <w:t xml:space="preserve"> supplied by generators</w:t>
      </w:r>
      <w:r w:rsidR="00C56A7A" w:rsidRPr="00F367D2">
        <w:rPr>
          <w:rFonts w:ascii="Arial" w:hAnsi="Arial" w:cs="Arial"/>
          <w:b/>
          <w:bCs/>
        </w:rPr>
        <w:t>.</w:t>
      </w:r>
      <w:r w:rsidR="00C56A7A" w:rsidRPr="00F367D2">
        <w:rPr>
          <w:rFonts w:ascii="Arial" w:hAnsi="Arial" w:cs="Arial"/>
        </w:rPr>
        <w:br/>
      </w:r>
    </w:p>
    <w:p w14:paraId="05BDF72E" w14:textId="77777777" w:rsidR="00EC17E5" w:rsidRDefault="00EC17E5" w:rsidP="00E52A1E">
      <w:pPr>
        <w:pStyle w:val="ColorfulShading-Accent31"/>
        <w:ind w:left="360"/>
        <w:rPr>
          <w:rFonts w:ascii="Arial" w:hAnsi="Arial" w:cs="Arial"/>
        </w:rPr>
      </w:pPr>
      <w:r w:rsidRPr="00F367D2">
        <w:rPr>
          <w:rFonts w:ascii="Arial" w:hAnsi="Arial" w:cs="Arial"/>
        </w:rPr>
        <w:t>RRS</w:t>
      </w:r>
      <w:r>
        <w:rPr>
          <w:rFonts w:ascii="Arial" w:hAnsi="Arial" w:cs="Arial"/>
        </w:rPr>
        <w:t>-gen</w:t>
      </w:r>
      <w:r w:rsidRPr="00F367D2">
        <w:rPr>
          <w:rFonts w:ascii="Arial" w:hAnsi="Arial" w:cs="Arial"/>
        </w:rPr>
        <w:t xml:space="preserve"> </w:t>
      </w:r>
      <w:r w:rsidR="00FA2B59">
        <w:rPr>
          <w:rFonts w:ascii="Arial" w:hAnsi="Arial" w:cs="Arial"/>
        </w:rPr>
        <w:t xml:space="preserve">provides PFR by </w:t>
      </w:r>
      <w:r w:rsidRPr="00F367D2">
        <w:rPr>
          <w:rFonts w:ascii="Arial" w:hAnsi="Arial" w:cs="Arial"/>
        </w:rPr>
        <w:t>respond</w:t>
      </w:r>
      <w:r w:rsidR="00FA2B59">
        <w:rPr>
          <w:rFonts w:ascii="Arial" w:hAnsi="Arial" w:cs="Arial"/>
        </w:rPr>
        <w:t>ing</w:t>
      </w:r>
      <w:r w:rsidRPr="00F367D2">
        <w:rPr>
          <w:rFonts w:ascii="Arial" w:hAnsi="Arial" w:cs="Arial"/>
        </w:rPr>
        <w:t xml:space="preserve"> to frequency deviations based on a 5% droop setting (for most generation types) and +/-0.017 Hz deadband.  Based on 2016 1-minute average frequency data, RRS generators provided primary frequency response </w:t>
      </w:r>
      <w:r w:rsidR="008B1D7C">
        <w:rPr>
          <w:rFonts w:ascii="Arial" w:hAnsi="Arial" w:cs="Arial"/>
        </w:rPr>
        <w:t>83,775 minutes (15.9</w:t>
      </w:r>
      <w:r w:rsidRPr="00F367D2">
        <w:rPr>
          <w:rFonts w:ascii="Arial" w:hAnsi="Arial" w:cs="Arial"/>
        </w:rPr>
        <w:t>% of all 1-minute intervals) when syste</w:t>
      </w:r>
      <w:r w:rsidR="00A467E2">
        <w:rPr>
          <w:rFonts w:ascii="Arial" w:hAnsi="Arial" w:cs="Arial"/>
        </w:rPr>
        <w:t>m frequency dipped below the PFR</w:t>
      </w:r>
      <w:r w:rsidRPr="00F367D2">
        <w:rPr>
          <w:rFonts w:ascii="Arial" w:hAnsi="Arial" w:cs="Arial"/>
        </w:rPr>
        <w:t xml:space="preserve"> deadband of </w:t>
      </w:r>
      <w:r>
        <w:rPr>
          <w:rFonts w:ascii="Arial" w:hAnsi="Arial" w:cs="Arial"/>
        </w:rPr>
        <w:t>59.983 Hz</w:t>
      </w:r>
      <w:r w:rsidR="00D14E70">
        <w:rPr>
          <w:rFonts w:ascii="Arial" w:hAnsi="Arial" w:cs="Arial"/>
        </w:rPr>
        <w:t xml:space="preserve"> (see Exhibit 1 &amp; 2)</w:t>
      </w:r>
      <w:r>
        <w:rPr>
          <w:rFonts w:ascii="Arial" w:hAnsi="Arial" w:cs="Arial"/>
        </w:rPr>
        <w:t>.  Th</w:t>
      </w:r>
      <w:r w:rsidR="00FF7E2A">
        <w:rPr>
          <w:rFonts w:ascii="Arial" w:hAnsi="Arial" w:cs="Arial"/>
        </w:rPr>
        <w:t>is frequent</w:t>
      </w:r>
      <w:r>
        <w:rPr>
          <w:rFonts w:ascii="Arial" w:hAnsi="Arial" w:cs="Arial"/>
        </w:rPr>
        <w:t xml:space="preserve"> PFR deployment </w:t>
      </w:r>
      <w:r w:rsidR="00FF7E2A">
        <w:rPr>
          <w:rFonts w:ascii="Arial" w:hAnsi="Arial" w:cs="Arial"/>
        </w:rPr>
        <w:t xml:space="preserve">results in </w:t>
      </w:r>
      <w:r>
        <w:rPr>
          <w:rFonts w:ascii="Arial" w:hAnsi="Arial" w:cs="Arial"/>
        </w:rPr>
        <w:t>a material improvement in ERCOT Control Performance 1 (“CPS1”) scores</w:t>
      </w:r>
      <w:r w:rsidR="00B81058">
        <w:rPr>
          <w:rFonts w:ascii="Arial" w:hAnsi="Arial" w:cs="Arial"/>
        </w:rPr>
        <w:t>, relative to less frequent PFR deployment with a larger deadband</w:t>
      </w:r>
      <w:r>
        <w:rPr>
          <w:rFonts w:ascii="Arial" w:hAnsi="Arial" w:cs="Arial"/>
        </w:rPr>
        <w:t xml:space="preserve">.  The </w:t>
      </w:r>
      <w:r w:rsidR="00B81058">
        <w:rPr>
          <w:rFonts w:ascii="Arial" w:hAnsi="Arial" w:cs="Arial"/>
        </w:rPr>
        <w:t xml:space="preserve">RRS-gen </w:t>
      </w:r>
      <w:r>
        <w:rPr>
          <w:rFonts w:ascii="Arial" w:hAnsi="Arial" w:cs="Arial"/>
        </w:rPr>
        <w:t>contribution to improved CPS1 scores in turn permits</w:t>
      </w:r>
      <w:r w:rsidR="006173DF">
        <w:rPr>
          <w:rFonts w:ascii="Arial" w:hAnsi="Arial" w:cs="Arial"/>
        </w:rPr>
        <w:t xml:space="preserve"> a reduction in procurement of</w:t>
      </w:r>
      <w:r>
        <w:rPr>
          <w:rFonts w:ascii="Arial" w:hAnsi="Arial" w:cs="Arial"/>
        </w:rPr>
        <w:t xml:space="preserve"> Regulation Services (per the ERCOT Methodologies for Determining Minimum Ancillary Service Requirements). </w:t>
      </w:r>
    </w:p>
    <w:p w14:paraId="63C04F24" w14:textId="77777777" w:rsidR="00EC17E5" w:rsidRDefault="00EC17E5" w:rsidP="00E52A1E">
      <w:pPr>
        <w:pStyle w:val="ColorfulShading-Accent31"/>
        <w:ind w:left="360"/>
        <w:rPr>
          <w:rFonts w:ascii="Arial" w:hAnsi="Arial" w:cs="Arial"/>
        </w:rPr>
      </w:pPr>
    </w:p>
    <w:p w14:paraId="63A8F117" w14:textId="77777777" w:rsidR="00453018" w:rsidRPr="00F367D2" w:rsidRDefault="00D01E4B" w:rsidP="00E52A1E">
      <w:pPr>
        <w:pStyle w:val="ColorfulShading-Accent31"/>
        <w:ind w:left="360"/>
        <w:rPr>
          <w:rFonts w:ascii="Arial" w:hAnsi="Arial" w:cs="Arial"/>
        </w:rPr>
      </w:pPr>
      <w:r>
        <w:rPr>
          <w:rFonts w:ascii="Arial" w:hAnsi="Arial" w:cs="Arial"/>
        </w:rPr>
        <w:t xml:space="preserve">According to </w:t>
      </w:r>
      <w:r w:rsidR="00EC17E5">
        <w:rPr>
          <w:rFonts w:ascii="Arial" w:hAnsi="Arial" w:cs="Arial"/>
        </w:rPr>
        <w:t>ERCOT</w:t>
      </w:r>
      <w:r>
        <w:rPr>
          <w:rFonts w:ascii="Arial" w:hAnsi="Arial" w:cs="Arial"/>
        </w:rPr>
        <w:t>,</w:t>
      </w:r>
      <w:r w:rsidR="00FF7E2A">
        <w:rPr>
          <w:rFonts w:ascii="Arial" w:hAnsi="Arial" w:cs="Arial"/>
        </w:rPr>
        <w:t xml:space="preserve"> </w:t>
      </w:r>
      <w:r w:rsidR="00EC17E5">
        <w:rPr>
          <w:rFonts w:ascii="Arial" w:hAnsi="Arial" w:cs="Arial"/>
        </w:rPr>
        <w:t>system frequency dip</w:t>
      </w:r>
      <w:r w:rsidR="00FF7E2A">
        <w:rPr>
          <w:rFonts w:ascii="Arial" w:hAnsi="Arial" w:cs="Arial"/>
        </w:rPr>
        <w:t>ped</w:t>
      </w:r>
      <w:r w:rsidR="00EC17E5">
        <w:rPr>
          <w:rFonts w:ascii="Arial" w:hAnsi="Arial" w:cs="Arial"/>
        </w:rPr>
        <w:t xml:space="preserve"> below 59.850 Hz </w:t>
      </w:r>
      <w:r w:rsidR="00FF7E2A">
        <w:rPr>
          <w:rFonts w:ascii="Arial" w:hAnsi="Arial" w:cs="Arial"/>
        </w:rPr>
        <w:t>on 11 occasions during 2016</w:t>
      </w:r>
      <w:r w:rsidR="00EC17E5">
        <w:rPr>
          <w:rFonts w:ascii="Arial" w:hAnsi="Arial" w:cs="Arial"/>
        </w:rPr>
        <w:t xml:space="preserve">, but </w:t>
      </w:r>
      <w:r w:rsidR="00FF7E2A">
        <w:rPr>
          <w:rFonts w:ascii="Arial" w:hAnsi="Arial" w:cs="Arial"/>
        </w:rPr>
        <w:t xml:space="preserve">using the TRE </w:t>
      </w:r>
      <w:r w:rsidR="00FF7E2A" w:rsidRPr="00F367D2">
        <w:rPr>
          <w:rFonts w:ascii="Arial" w:hAnsi="Arial" w:cs="Arial"/>
        </w:rPr>
        <w:t xml:space="preserve">1-minute average system frequency </w:t>
      </w:r>
      <w:r w:rsidR="00FF7E2A">
        <w:rPr>
          <w:rFonts w:ascii="Arial" w:hAnsi="Arial" w:cs="Arial"/>
        </w:rPr>
        <w:t xml:space="preserve">data, there is not a single </w:t>
      </w:r>
      <w:r w:rsidR="00D14E70">
        <w:rPr>
          <w:rFonts w:ascii="Arial" w:hAnsi="Arial" w:cs="Arial"/>
        </w:rPr>
        <w:t>clock-minute</w:t>
      </w:r>
      <w:r w:rsidR="00FF7E2A">
        <w:rPr>
          <w:rFonts w:ascii="Arial" w:hAnsi="Arial" w:cs="Arial"/>
        </w:rPr>
        <w:t xml:space="preserve"> that </w:t>
      </w:r>
      <w:r w:rsidR="00FF7E2A" w:rsidRPr="00F367D2">
        <w:rPr>
          <w:rFonts w:ascii="Arial" w:hAnsi="Arial" w:cs="Arial"/>
        </w:rPr>
        <w:t xml:space="preserve">would have </w:t>
      </w:r>
      <w:r w:rsidR="00FF7E2A">
        <w:rPr>
          <w:rFonts w:ascii="Arial" w:hAnsi="Arial" w:cs="Arial"/>
        </w:rPr>
        <w:t>trigger</w:t>
      </w:r>
      <w:r w:rsidR="00B81058">
        <w:rPr>
          <w:rFonts w:ascii="Arial" w:hAnsi="Arial" w:cs="Arial"/>
        </w:rPr>
        <w:t>ed</w:t>
      </w:r>
      <w:r w:rsidR="00FF7E2A" w:rsidRPr="00F367D2">
        <w:rPr>
          <w:rFonts w:ascii="Arial" w:hAnsi="Arial" w:cs="Arial"/>
        </w:rPr>
        <w:t xml:space="preserve"> </w:t>
      </w:r>
      <w:r w:rsidR="00B81058">
        <w:rPr>
          <w:rFonts w:ascii="Arial" w:hAnsi="Arial" w:cs="Arial"/>
        </w:rPr>
        <w:t>FFR deployment at</w:t>
      </w:r>
      <w:r w:rsidR="00FF7E2A" w:rsidRPr="00F367D2">
        <w:rPr>
          <w:rFonts w:ascii="Arial" w:hAnsi="Arial" w:cs="Arial"/>
        </w:rPr>
        <w:t xml:space="preserve"> 59.850 Hz</w:t>
      </w:r>
      <w:r w:rsidR="00FF7E2A">
        <w:rPr>
          <w:rFonts w:ascii="Arial" w:hAnsi="Arial" w:cs="Arial"/>
        </w:rPr>
        <w:t>.</w:t>
      </w:r>
      <w:r w:rsidR="00EC17E5">
        <w:rPr>
          <w:rFonts w:ascii="Arial" w:hAnsi="Arial" w:cs="Arial"/>
        </w:rPr>
        <w:t xml:space="preserve">  </w:t>
      </w:r>
      <w:r w:rsidR="00B81058">
        <w:rPr>
          <w:rFonts w:ascii="Arial" w:hAnsi="Arial" w:cs="Arial"/>
        </w:rPr>
        <w:t>Such a low</w:t>
      </w:r>
      <w:r w:rsidR="00EC17E5">
        <w:rPr>
          <w:rFonts w:ascii="Arial" w:hAnsi="Arial" w:cs="Arial"/>
        </w:rPr>
        <w:t xml:space="preserve"> FFR deployment trigger </w:t>
      </w:r>
      <w:r w:rsidR="00D45027">
        <w:rPr>
          <w:rFonts w:ascii="Arial" w:hAnsi="Arial" w:cs="Arial"/>
        </w:rPr>
        <w:t>and the resultant</w:t>
      </w:r>
      <w:r w:rsidR="006B431D">
        <w:rPr>
          <w:rFonts w:ascii="Arial" w:hAnsi="Arial" w:cs="Arial"/>
        </w:rPr>
        <w:t xml:space="preserve"> minimal deployment </w:t>
      </w:r>
      <w:r w:rsidR="00D45027">
        <w:rPr>
          <w:rFonts w:ascii="Arial" w:hAnsi="Arial" w:cs="Arial"/>
        </w:rPr>
        <w:t xml:space="preserve">would yield </w:t>
      </w:r>
      <w:r w:rsidR="006B431D">
        <w:rPr>
          <w:rFonts w:ascii="Arial" w:hAnsi="Arial" w:cs="Arial"/>
        </w:rPr>
        <w:t>little to no improvement in CPS1 scores</w:t>
      </w:r>
      <w:r w:rsidR="00B81058">
        <w:rPr>
          <w:rFonts w:ascii="Arial" w:hAnsi="Arial" w:cs="Arial"/>
        </w:rPr>
        <w:t xml:space="preserve"> (which </w:t>
      </w:r>
      <w:r w:rsidR="00AA05E6">
        <w:rPr>
          <w:rFonts w:ascii="Arial" w:hAnsi="Arial" w:cs="Arial"/>
        </w:rPr>
        <w:t>are</w:t>
      </w:r>
      <w:r w:rsidR="00B81058">
        <w:rPr>
          <w:rFonts w:ascii="Arial" w:hAnsi="Arial" w:cs="Arial"/>
        </w:rPr>
        <w:t xml:space="preserve"> measured using the 1-</w:t>
      </w:r>
      <w:r w:rsidR="00FF7E2A">
        <w:rPr>
          <w:rFonts w:ascii="Arial" w:hAnsi="Arial" w:cs="Arial"/>
        </w:rPr>
        <w:t>minute data)</w:t>
      </w:r>
      <w:r w:rsidR="006B431D">
        <w:rPr>
          <w:rFonts w:ascii="Arial" w:hAnsi="Arial" w:cs="Arial"/>
        </w:rPr>
        <w:t xml:space="preserve">.  </w:t>
      </w:r>
    </w:p>
    <w:p w14:paraId="6335F777" w14:textId="77777777" w:rsidR="009E3E59" w:rsidRPr="00F367D2" w:rsidRDefault="009E3E59" w:rsidP="00F367D2">
      <w:pPr>
        <w:pStyle w:val="ColorfulShading-Accent31"/>
        <w:ind w:left="360"/>
        <w:rPr>
          <w:rFonts w:ascii="Arial" w:hAnsi="Arial" w:cs="Arial"/>
        </w:rPr>
      </w:pPr>
    </w:p>
    <w:p w14:paraId="28637097" w14:textId="77777777" w:rsidR="00E52A1E" w:rsidRPr="00E52A1E" w:rsidRDefault="00361A2F" w:rsidP="009E3E59">
      <w:pPr>
        <w:pStyle w:val="ColorfulShading-Accent31"/>
        <w:numPr>
          <w:ilvl w:val="0"/>
          <w:numId w:val="3"/>
        </w:numPr>
        <w:ind w:left="360"/>
        <w:rPr>
          <w:rFonts w:ascii="Arial" w:hAnsi="Arial" w:cs="Arial"/>
          <w:b/>
          <w:bCs/>
        </w:rPr>
      </w:pPr>
      <w:r>
        <w:rPr>
          <w:rFonts w:ascii="Arial" w:hAnsi="Arial" w:cs="Arial"/>
          <w:b/>
          <w:bCs/>
        </w:rPr>
        <w:t>B</w:t>
      </w:r>
      <w:r w:rsidRPr="00F367D2">
        <w:rPr>
          <w:rFonts w:ascii="Arial" w:hAnsi="Arial" w:cs="Arial"/>
          <w:b/>
          <w:bCs/>
        </w:rPr>
        <w:t>ased on 2016 system frequenc</w:t>
      </w:r>
      <w:r w:rsidR="00404DED">
        <w:rPr>
          <w:rFonts w:ascii="Arial" w:hAnsi="Arial" w:cs="Arial"/>
          <w:b/>
          <w:bCs/>
        </w:rPr>
        <w:t>y data</w:t>
      </w:r>
      <w:r>
        <w:rPr>
          <w:rFonts w:ascii="Arial" w:hAnsi="Arial" w:cs="Arial"/>
          <w:b/>
          <w:bCs/>
        </w:rPr>
        <w:t>, FFR should provide “up” response at a</w:t>
      </w:r>
      <w:r w:rsidR="004269EE" w:rsidRPr="00F367D2">
        <w:rPr>
          <w:rFonts w:ascii="Arial" w:hAnsi="Arial" w:cs="Arial"/>
          <w:b/>
          <w:bCs/>
        </w:rPr>
        <w:t xml:space="preserve"> frequency trigger of </w:t>
      </w:r>
      <w:r w:rsidR="00560CE5">
        <w:rPr>
          <w:rFonts w:ascii="Arial" w:hAnsi="Arial" w:cs="Arial"/>
          <w:b/>
          <w:bCs/>
        </w:rPr>
        <w:t xml:space="preserve">at least </w:t>
      </w:r>
      <w:r w:rsidR="004269EE" w:rsidRPr="00F367D2">
        <w:rPr>
          <w:rFonts w:ascii="Arial" w:hAnsi="Arial" w:cs="Arial"/>
          <w:b/>
          <w:bCs/>
        </w:rPr>
        <w:t xml:space="preserve">59.955 Hz </w:t>
      </w:r>
      <w:r>
        <w:rPr>
          <w:rFonts w:ascii="Arial" w:hAnsi="Arial" w:cs="Arial"/>
          <w:b/>
          <w:bCs/>
        </w:rPr>
        <w:t xml:space="preserve">in order </w:t>
      </w:r>
      <w:r w:rsidR="004269EE" w:rsidRPr="00F367D2">
        <w:rPr>
          <w:rFonts w:ascii="Arial" w:hAnsi="Arial" w:cs="Arial"/>
          <w:b/>
          <w:bCs/>
        </w:rPr>
        <w:t xml:space="preserve">to match the expected </w:t>
      </w:r>
      <w:r>
        <w:rPr>
          <w:rFonts w:ascii="Arial" w:hAnsi="Arial" w:cs="Arial"/>
          <w:b/>
          <w:bCs/>
        </w:rPr>
        <w:t xml:space="preserve">frequency </w:t>
      </w:r>
      <w:r w:rsidR="00EC2059">
        <w:rPr>
          <w:rFonts w:ascii="Arial" w:hAnsi="Arial" w:cs="Arial"/>
          <w:b/>
          <w:bCs/>
        </w:rPr>
        <w:t>correction</w:t>
      </w:r>
      <w:r>
        <w:rPr>
          <w:rFonts w:ascii="Arial" w:hAnsi="Arial" w:cs="Arial"/>
          <w:b/>
          <w:bCs/>
        </w:rPr>
        <w:t xml:space="preserve"> of RRS</w:t>
      </w:r>
      <w:r w:rsidR="00795E66">
        <w:rPr>
          <w:rFonts w:ascii="Arial" w:hAnsi="Arial" w:cs="Arial"/>
          <w:b/>
          <w:bCs/>
        </w:rPr>
        <w:t xml:space="preserve"> </w:t>
      </w:r>
      <w:r w:rsidR="007122A9">
        <w:rPr>
          <w:rFonts w:ascii="Arial" w:hAnsi="Arial" w:cs="Arial"/>
          <w:b/>
          <w:bCs/>
        </w:rPr>
        <w:t>supplied by</w:t>
      </w:r>
      <w:r w:rsidR="00EC2059">
        <w:rPr>
          <w:rFonts w:ascii="Arial" w:hAnsi="Arial" w:cs="Arial"/>
          <w:b/>
          <w:bCs/>
        </w:rPr>
        <w:t xml:space="preserve"> generators</w:t>
      </w:r>
      <w:r>
        <w:rPr>
          <w:rFonts w:ascii="Arial" w:hAnsi="Arial" w:cs="Arial"/>
          <w:b/>
          <w:bCs/>
        </w:rPr>
        <w:t>.</w:t>
      </w:r>
      <w:r w:rsidR="00C56A7A" w:rsidRPr="00F367D2">
        <w:rPr>
          <w:rFonts w:ascii="Arial" w:hAnsi="Arial" w:cs="Arial"/>
          <w:b/>
          <w:bCs/>
        </w:rPr>
        <w:br/>
      </w:r>
    </w:p>
    <w:p w14:paraId="09E31AF7" w14:textId="77777777" w:rsidR="00776DC1" w:rsidRDefault="001E6D4B" w:rsidP="006B431D">
      <w:pPr>
        <w:pStyle w:val="ColorfulShading-Accent31"/>
        <w:ind w:left="360"/>
        <w:rPr>
          <w:rFonts w:ascii="Arial" w:hAnsi="Arial" w:cs="Arial"/>
        </w:rPr>
      </w:pPr>
      <w:r>
        <w:rPr>
          <w:rFonts w:ascii="Arial" w:hAnsi="Arial" w:cs="Arial"/>
        </w:rPr>
        <w:t>I</w:t>
      </w:r>
      <w:r w:rsidR="008D059F">
        <w:rPr>
          <w:rFonts w:ascii="Arial" w:hAnsi="Arial" w:cs="Arial"/>
        </w:rPr>
        <w:t>n order to be as valuable as RRS-gen</w:t>
      </w:r>
      <w:r>
        <w:rPr>
          <w:rFonts w:ascii="Arial" w:hAnsi="Arial" w:cs="Arial"/>
        </w:rPr>
        <w:t xml:space="preserve">, FFR </w:t>
      </w:r>
      <w:r w:rsidR="008D059F">
        <w:rPr>
          <w:rFonts w:ascii="Arial" w:hAnsi="Arial" w:cs="Arial"/>
        </w:rPr>
        <w:t xml:space="preserve">deployments </w:t>
      </w:r>
      <w:r>
        <w:rPr>
          <w:rFonts w:ascii="Arial" w:hAnsi="Arial" w:cs="Arial"/>
        </w:rPr>
        <w:t>should produce a similar impact on ERCOT’s CPS</w:t>
      </w:r>
      <w:r w:rsidR="00D14E70">
        <w:rPr>
          <w:rFonts w:ascii="Arial" w:hAnsi="Arial" w:cs="Arial"/>
        </w:rPr>
        <w:t>1</w:t>
      </w:r>
      <w:r>
        <w:rPr>
          <w:rFonts w:ascii="Arial" w:hAnsi="Arial" w:cs="Arial"/>
        </w:rPr>
        <w:t xml:space="preserve"> score.  It is important to note that </w:t>
      </w:r>
      <w:r w:rsidR="004269EE" w:rsidRPr="00F367D2">
        <w:rPr>
          <w:rFonts w:ascii="Arial" w:hAnsi="Arial" w:cs="Arial"/>
        </w:rPr>
        <w:t xml:space="preserve">FFR </w:t>
      </w:r>
      <w:r w:rsidR="007122A9">
        <w:rPr>
          <w:rFonts w:ascii="Arial" w:hAnsi="Arial" w:cs="Arial"/>
        </w:rPr>
        <w:t>is designed to</w:t>
      </w:r>
      <w:r w:rsidR="00EC2059">
        <w:rPr>
          <w:rFonts w:ascii="Arial" w:hAnsi="Arial" w:cs="Arial"/>
        </w:rPr>
        <w:t xml:space="preserve"> “up” deploy</w:t>
      </w:r>
      <w:r w:rsidR="004269EE" w:rsidRPr="00F367D2">
        <w:rPr>
          <w:rFonts w:ascii="Arial" w:hAnsi="Arial" w:cs="Arial"/>
        </w:rPr>
        <w:t xml:space="preserve"> 100% </w:t>
      </w:r>
      <w:r w:rsidR="00EC2059">
        <w:rPr>
          <w:rFonts w:ascii="Arial" w:hAnsi="Arial" w:cs="Arial"/>
        </w:rPr>
        <w:t xml:space="preserve">of its award </w:t>
      </w:r>
      <w:r w:rsidR="004269EE" w:rsidRPr="00F367D2">
        <w:rPr>
          <w:rFonts w:ascii="Arial" w:hAnsi="Arial" w:cs="Arial"/>
        </w:rPr>
        <w:t>in 30 cycles</w:t>
      </w:r>
      <w:r w:rsidR="00A15E87" w:rsidRPr="00F367D2">
        <w:rPr>
          <w:rFonts w:ascii="Arial" w:hAnsi="Arial" w:cs="Arial"/>
        </w:rPr>
        <w:t xml:space="preserve"> when the frequency trigger is met</w:t>
      </w:r>
      <w:r w:rsidR="008D059F">
        <w:rPr>
          <w:rFonts w:ascii="Arial" w:hAnsi="Arial" w:cs="Arial"/>
        </w:rPr>
        <w:t>,</w:t>
      </w:r>
      <w:r>
        <w:rPr>
          <w:rFonts w:ascii="Arial" w:hAnsi="Arial" w:cs="Arial"/>
        </w:rPr>
        <w:t xml:space="preserve"> while</w:t>
      </w:r>
      <w:r w:rsidR="00A15E87" w:rsidRPr="00F367D2">
        <w:rPr>
          <w:rFonts w:ascii="Arial" w:hAnsi="Arial" w:cs="Arial"/>
        </w:rPr>
        <w:t xml:space="preserve"> RRS</w:t>
      </w:r>
      <w:r w:rsidR="008D059F">
        <w:rPr>
          <w:rFonts w:ascii="Arial" w:hAnsi="Arial" w:cs="Arial"/>
        </w:rPr>
        <w:t>-gen</w:t>
      </w:r>
      <w:r w:rsidR="00A15E87" w:rsidRPr="00F367D2">
        <w:rPr>
          <w:rFonts w:ascii="Arial" w:hAnsi="Arial" w:cs="Arial"/>
        </w:rPr>
        <w:t xml:space="preserve"> deploys on an </w:t>
      </w:r>
      <w:r w:rsidR="00EC2059">
        <w:rPr>
          <w:rFonts w:ascii="Arial" w:hAnsi="Arial" w:cs="Arial"/>
        </w:rPr>
        <w:t>increasing linear basis from its</w:t>
      </w:r>
      <w:r w:rsidR="00A15E87" w:rsidRPr="00F367D2">
        <w:rPr>
          <w:rFonts w:ascii="Arial" w:hAnsi="Arial" w:cs="Arial"/>
        </w:rPr>
        <w:t xml:space="preserve"> trigger point</w:t>
      </w:r>
      <w:r w:rsidR="00EC2059">
        <w:rPr>
          <w:rFonts w:ascii="Arial" w:hAnsi="Arial" w:cs="Arial"/>
        </w:rPr>
        <w:t xml:space="preserve"> of 59.983 Hz</w:t>
      </w:r>
      <w:r w:rsidR="00D14E70">
        <w:rPr>
          <w:rFonts w:ascii="Arial" w:hAnsi="Arial" w:cs="Arial"/>
        </w:rPr>
        <w:t xml:space="preserve"> (see Exhibit 3)</w:t>
      </w:r>
      <w:r w:rsidR="00453018" w:rsidRPr="00F367D2">
        <w:rPr>
          <w:rFonts w:ascii="Arial" w:hAnsi="Arial" w:cs="Arial"/>
        </w:rPr>
        <w:t>.</w:t>
      </w:r>
      <w:r w:rsidR="00EC2059">
        <w:rPr>
          <w:rStyle w:val="FootnoteReference"/>
          <w:rFonts w:ascii="Arial" w:hAnsi="Arial" w:cs="Arial"/>
        </w:rPr>
        <w:footnoteReference w:id="1"/>
      </w:r>
      <w:r w:rsidR="00A15E87" w:rsidRPr="00F367D2">
        <w:rPr>
          <w:rFonts w:ascii="Arial" w:hAnsi="Arial" w:cs="Arial"/>
        </w:rPr>
        <w:t xml:space="preserve">  To find an equivalency between FFR and RRS</w:t>
      </w:r>
      <w:r w:rsidR="008D059F">
        <w:rPr>
          <w:rFonts w:ascii="Arial" w:hAnsi="Arial" w:cs="Arial"/>
        </w:rPr>
        <w:t>-gen</w:t>
      </w:r>
      <w:r w:rsidR="00A15E87" w:rsidRPr="00F367D2">
        <w:rPr>
          <w:rFonts w:ascii="Arial" w:hAnsi="Arial" w:cs="Arial"/>
        </w:rPr>
        <w:t xml:space="preserve">, </w:t>
      </w:r>
      <w:r w:rsidR="008D059F">
        <w:rPr>
          <w:rFonts w:ascii="Arial" w:hAnsi="Arial" w:cs="Arial"/>
        </w:rPr>
        <w:t xml:space="preserve">RRS-gen </w:t>
      </w:r>
      <w:r w:rsidR="00CD7666" w:rsidRPr="00F367D2">
        <w:rPr>
          <w:rFonts w:ascii="Arial" w:hAnsi="Arial" w:cs="Arial"/>
        </w:rPr>
        <w:t xml:space="preserve">“up” </w:t>
      </w:r>
      <w:r w:rsidR="00A15E87" w:rsidRPr="00F367D2">
        <w:rPr>
          <w:rFonts w:ascii="Arial" w:hAnsi="Arial" w:cs="Arial"/>
        </w:rPr>
        <w:t xml:space="preserve">deployment for each minute of 2016 is calculated based on the actual </w:t>
      </w:r>
      <w:r w:rsidR="003314DD">
        <w:rPr>
          <w:rFonts w:ascii="Arial" w:hAnsi="Arial" w:cs="Arial"/>
        </w:rPr>
        <w:t>1-minute frequencies</w:t>
      </w:r>
      <w:r w:rsidR="00A15E87" w:rsidRPr="00F367D2">
        <w:rPr>
          <w:rFonts w:ascii="Arial" w:hAnsi="Arial" w:cs="Arial"/>
        </w:rPr>
        <w:t xml:space="preserve">.  Based on this method, </w:t>
      </w:r>
      <w:r>
        <w:rPr>
          <w:rFonts w:ascii="Arial" w:hAnsi="Arial" w:cs="Arial"/>
        </w:rPr>
        <w:t xml:space="preserve">Apex has determined </w:t>
      </w:r>
      <w:r w:rsidR="00C56A7A" w:rsidRPr="00F367D2">
        <w:rPr>
          <w:rFonts w:ascii="Arial" w:hAnsi="Arial" w:cs="Arial"/>
        </w:rPr>
        <w:t>the FFR trigger should be set at 59.955 Hz for the primary fre</w:t>
      </w:r>
      <w:r w:rsidR="00CD7666" w:rsidRPr="00F367D2">
        <w:rPr>
          <w:rFonts w:ascii="Arial" w:hAnsi="Arial" w:cs="Arial"/>
        </w:rPr>
        <w:t>que</w:t>
      </w:r>
      <w:r w:rsidR="00C56A7A" w:rsidRPr="00F367D2">
        <w:rPr>
          <w:rFonts w:ascii="Arial" w:hAnsi="Arial" w:cs="Arial"/>
        </w:rPr>
        <w:t>ncy response to be equivalent to RRS</w:t>
      </w:r>
      <w:r w:rsidR="008D059F">
        <w:rPr>
          <w:rFonts w:ascii="Arial" w:hAnsi="Arial" w:cs="Arial"/>
        </w:rPr>
        <w:t>-gen</w:t>
      </w:r>
      <w:r w:rsidR="00C56A7A" w:rsidRPr="00F367D2">
        <w:rPr>
          <w:rFonts w:ascii="Arial" w:hAnsi="Arial" w:cs="Arial"/>
        </w:rPr>
        <w:t xml:space="preserve"> (see Table A).</w:t>
      </w:r>
    </w:p>
    <w:p w14:paraId="688E1B7E" w14:textId="77777777" w:rsidR="00776DC1" w:rsidRDefault="00776DC1">
      <w:pPr>
        <w:rPr>
          <w:rFonts w:ascii="Arial" w:eastAsia="Calibri" w:hAnsi="Arial" w:cs="Arial"/>
          <w:sz w:val="22"/>
          <w:szCs w:val="22"/>
        </w:rPr>
      </w:pPr>
      <w:r>
        <w:rPr>
          <w:rFonts w:ascii="Arial" w:hAnsi="Arial" w:cs="Arial"/>
        </w:rPr>
        <w:br w:type="page"/>
      </w:r>
    </w:p>
    <w:p w14:paraId="2EC19F98" w14:textId="77777777" w:rsidR="00776DC1" w:rsidRPr="00F367D2" w:rsidRDefault="00776DC1" w:rsidP="005D70E6">
      <w:pPr>
        <w:pStyle w:val="ColorfulShading-Accent31"/>
        <w:ind w:left="360"/>
        <w:outlineLvl w:val="0"/>
        <w:rPr>
          <w:rFonts w:ascii="Arial" w:hAnsi="Arial" w:cs="Arial"/>
          <w:b/>
          <w:bCs/>
        </w:rPr>
      </w:pPr>
      <w:r w:rsidRPr="00F367D2">
        <w:rPr>
          <w:rFonts w:ascii="Arial" w:hAnsi="Arial" w:cs="Arial"/>
          <w:b/>
          <w:bCs/>
        </w:rPr>
        <w:t>Table A: Equivalent “up” frequency response below 60Hz for FFR &amp; RRS</w:t>
      </w:r>
    </w:p>
    <w:tbl>
      <w:tblPr>
        <w:tblW w:w="990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650"/>
        <w:gridCol w:w="1651"/>
        <w:gridCol w:w="1651"/>
        <w:gridCol w:w="1650"/>
        <w:gridCol w:w="1651"/>
        <w:gridCol w:w="1651"/>
      </w:tblGrid>
      <w:tr w:rsidR="00776DC1" w:rsidRPr="004C3DFF" w14:paraId="763C21C0" w14:textId="77777777" w:rsidTr="00A51F6E">
        <w:tc>
          <w:tcPr>
            <w:tcW w:w="1650" w:type="dxa"/>
            <w:shd w:val="clear" w:color="auto" w:fill="auto"/>
            <w:vAlign w:val="bottom"/>
          </w:tcPr>
          <w:p w14:paraId="5514567F" w14:textId="77777777" w:rsidR="00776DC1" w:rsidRPr="004C3DFF" w:rsidRDefault="00776DC1" w:rsidP="00D45027">
            <w:pPr>
              <w:pStyle w:val="ColorfulShading-Accent31"/>
              <w:ind w:left="-25"/>
              <w:rPr>
                <w:rFonts w:ascii="Arial" w:hAnsi="Arial" w:cs="Arial"/>
                <w:b/>
                <w:bCs/>
              </w:rPr>
            </w:pPr>
            <w:r w:rsidRPr="004C3DFF">
              <w:rPr>
                <w:rFonts w:ascii="Arial" w:hAnsi="Arial" w:cs="Arial"/>
                <w:b/>
                <w:bCs/>
              </w:rPr>
              <w:t>Product</w:t>
            </w:r>
          </w:p>
        </w:tc>
        <w:tc>
          <w:tcPr>
            <w:tcW w:w="1651" w:type="dxa"/>
            <w:shd w:val="clear" w:color="auto" w:fill="auto"/>
            <w:vAlign w:val="bottom"/>
          </w:tcPr>
          <w:p w14:paraId="08471C88" w14:textId="77777777" w:rsidR="00776DC1" w:rsidRPr="004C3DFF" w:rsidRDefault="00776DC1" w:rsidP="00D45027">
            <w:pPr>
              <w:pStyle w:val="ColorfulShading-Accent31"/>
              <w:ind w:left="0"/>
              <w:rPr>
                <w:rFonts w:ascii="Arial" w:hAnsi="Arial" w:cs="Arial"/>
                <w:b/>
                <w:bCs/>
              </w:rPr>
            </w:pPr>
            <w:r w:rsidRPr="004C3DFF">
              <w:rPr>
                <w:rFonts w:ascii="Arial" w:hAnsi="Arial" w:cs="Arial"/>
                <w:b/>
                <w:bCs/>
              </w:rPr>
              <w:t>Frequency trigger</w:t>
            </w:r>
          </w:p>
        </w:tc>
        <w:tc>
          <w:tcPr>
            <w:tcW w:w="1651" w:type="dxa"/>
            <w:shd w:val="clear" w:color="auto" w:fill="auto"/>
            <w:vAlign w:val="bottom"/>
          </w:tcPr>
          <w:p w14:paraId="2B1E5171" w14:textId="77777777" w:rsidR="00776DC1" w:rsidRPr="004C3DFF" w:rsidRDefault="00776DC1" w:rsidP="00D45027">
            <w:pPr>
              <w:pStyle w:val="ColorfulShading-Accent31"/>
              <w:ind w:left="13"/>
              <w:rPr>
                <w:rFonts w:ascii="Arial" w:hAnsi="Arial" w:cs="Arial"/>
                <w:b/>
                <w:bCs/>
              </w:rPr>
            </w:pPr>
            <w:r w:rsidRPr="004C3DFF">
              <w:rPr>
                <w:rFonts w:ascii="Arial" w:hAnsi="Arial" w:cs="Arial"/>
                <w:b/>
                <w:bCs/>
              </w:rPr>
              <w:t>Number of 1-minute intervals at or below trigger</w:t>
            </w:r>
          </w:p>
        </w:tc>
        <w:tc>
          <w:tcPr>
            <w:tcW w:w="1650" w:type="dxa"/>
            <w:shd w:val="clear" w:color="auto" w:fill="auto"/>
            <w:vAlign w:val="bottom"/>
          </w:tcPr>
          <w:p w14:paraId="45273331" w14:textId="77777777" w:rsidR="00776DC1" w:rsidRPr="004C3DFF" w:rsidRDefault="00776DC1" w:rsidP="00D45027">
            <w:pPr>
              <w:pStyle w:val="ColorfulShading-Accent31"/>
              <w:ind w:left="0"/>
              <w:rPr>
                <w:rFonts w:ascii="Arial" w:hAnsi="Arial" w:cs="Arial"/>
                <w:b/>
                <w:bCs/>
              </w:rPr>
            </w:pPr>
            <w:r w:rsidRPr="004C3DFF">
              <w:rPr>
                <w:rFonts w:ascii="Arial" w:hAnsi="Arial" w:cs="Arial"/>
                <w:b/>
                <w:bCs/>
              </w:rPr>
              <w:t>Average deployment from 100 MW award when triggered</w:t>
            </w:r>
          </w:p>
        </w:tc>
        <w:tc>
          <w:tcPr>
            <w:tcW w:w="1651" w:type="dxa"/>
            <w:shd w:val="clear" w:color="auto" w:fill="auto"/>
            <w:vAlign w:val="bottom"/>
          </w:tcPr>
          <w:p w14:paraId="0BE3C229" w14:textId="77777777" w:rsidR="00776DC1" w:rsidRPr="004C3DFF" w:rsidRDefault="00776DC1" w:rsidP="00D45027">
            <w:pPr>
              <w:pStyle w:val="ColorfulShading-Accent31"/>
              <w:ind w:left="15"/>
              <w:rPr>
                <w:rFonts w:ascii="Arial" w:hAnsi="Arial" w:cs="Arial"/>
                <w:b/>
                <w:bCs/>
              </w:rPr>
            </w:pPr>
            <w:r w:rsidRPr="004C3DFF">
              <w:rPr>
                <w:rFonts w:ascii="Arial" w:hAnsi="Arial" w:cs="Arial"/>
                <w:b/>
                <w:bCs/>
              </w:rPr>
              <w:t xml:space="preserve">Average deployment from 100 MW </w:t>
            </w:r>
            <w:r>
              <w:rPr>
                <w:rFonts w:ascii="Arial" w:hAnsi="Arial" w:cs="Arial"/>
                <w:b/>
                <w:bCs/>
              </w:rPr>
              <w:t>across all minutes in</w:t>
            </w:r>
            <w:r w:rsidRPr="004C3DFF">
              <w:rPr>
                <w:rFonts w:ascii="Arial" w:hAnsi="Arial" w:cs="Arial"/>
                <w:b/>
                <w:bCs/>
              </w:rPr>
              <w:t xml:space="preserve"> 2016</w:t>
            </w:r>
          </w:p>
        </w:tc>
        <w:tc>
          <w:tcPr>
            <w:tcW w:w="1651" w:type="dxa"/>
            <w:shd w:val="clear" w:color="auto" w:fill="auto"/>
            <w:vAlign w:val="bottom"/>
          </w:tcPr>
          <w:p w14:paraId="3B9C4CD4" w14:textId="77777777" w:rsidR="00776DC1" w:rsidRPr="004C3DFF" w:rsidRDefault="00776DC1" w:rsidP="00D45027">
            <w:pPr>
              <w:pStyle w:val="ColorfulShading-Accent31"/>
              <w:ind w:left="15"/>
              <w:rPr>
                <w:rFonts w:ascii="Arial" w:hAnsi="Arial" w:cs="Arial"/>
                <w:b/>
                <w:bCs/>
              </w:rPr>
            </w:pPr>
            <w:r w:rsidRPr="004C3DFF">
              <w:rPr>
                <w:rFonts w:ascii="Arial" w:hAnsi="Arial" w:cs="Arial"/>
                <w:b/>
                <w:bCs/>
              </w:rPr>
              <w:t xml:space="preserve">Average </w:t>
            </w:r>
            <w:r>
              <w:rPr>
                <w:rFonts w:ascii="Arial" w:hAnsi="Arial" w:cs="Arial"/>
                <w:b/>
                <w:bCs/>
              </w:rPr>
              <w:t>2016 CPS1 score improvement</w:t>
            </w:r>
            <w:r w:rsidRPr="004C3DFF">
              <w:rPr>
                <w:rFonts w:ascii="Arial" w:hAnsi="Arial" w:cs="Arial"/>
                <w:b/>
                <w:bCs/>
              </w:rPr>
              <w:t xml:space="preserve"> from </w:t>
            </w:r>
            <w:r>
              <w:rPr>
                <w:rFonts w:ascii="Arial" w:hAnsi="Arial" w:cs="Arial"/>
                <w:b/>
                <w:bCs/>
              </w:rPr>
              <w:t>incr. 100 MW</w:t>
            </w:r>
          </w:p>
        </w:tc>
      </w:tr>
      <w:tr w:rsidR="00776DC1" w:rsidRPr="004C3DFF" w14:paraId="66E846D5" w14:textId="77777777" w:rsidTr="00A51F6E">
        <w:tc>
          <w:tcPr>
            <w:tcW w:w="1650" w:type="dxa"/>
            <w:shd w:val="clear" w:color="auto" w:fill="auto"/>
          </w:tcPr>
          <w:p w14:paraId="7BE7C08D" w14:textId="77777777" w:rsidR="00776DC1" w:rsidRPr="004C3DFF" w:rsidRDefault="00776DC1" w:rsidP="00D45027">
            <w:pPr>
              <w:pStyle w:val="ColorfulShading-Accent31"/>
              <w:ind w:left="-25"/>
              <w:rPr>
                <w:rFonts w:ascii="Arial" w:hAnsi="Arial" w:cs="Arial"/>
                <w:bCs/>
              </w:rPr>
            </w:pPr>
            <w:r w:rsidRPr="004C3DFF">
              <w:rPr>
                <w:rFonts w:ascii="Arial" w:hAnsi="Arial" w:cs="Arial"/>
                <w:bCs/>
              </w:rPr>
              <w:t>RRS (generators)</w:t>
            </w:r>
          </w:p>
        </w:tc>
        <w:tc>
          <w:tcPr>
            <w:tcW w:w="1651" w:type="dxa"/>
            <w:shd w:val="clear" w:color="auto" w:fill="auto"/>
          </w:tcPr>
          <w:p w14:paraId="04D2E088" w14:textId="77777777" w:rsidR="00776DC1" w:rsidRPr="004C3DFF" w:rsidRDefault="00776DC1" w:rsidP="00D45027">
            <w:pPr>
              <w:pStyle w:val="ColorfulShading-Accent31"/>
              <w:ind w:left="0"/>
              <w:rPr>
                <w:rFonts w:ascii="Arial" w:hAnsi="Arial" w:cs="Arial"/>
                <w:bCs/>
              </w:rPr>
            </w:pPr>
            <w:r w:rsidRPr="004C3DFF">
              <w:rPr>
                <w:rFonts w:ascii="Arial" w:hAnsi="Arial" w:cs="Arial"/>
                <w:bCs/>
              </w:rPr>
              <w:t>59.983</w:t>
            </w:r>
            <w:r>
              <w:rPr>
                <w:rFonts w:ascii="Arial" w:hAnsi="Arial" w:cs="Arial"/>
                <w:bCs/>
              </w:rPr>
              <w:t xml:space="preserve"> </w:t>
            </w:r>
            <w:r w:rsidRPr="004C3DFF">
              <w:rPr>
                <w:rFonts w:ascii="Arial" w:hAnsi="Arial" w:cs="Arial"/>
                <w:bCs/>
              </w:rPr>
              <w:t>Hz</w:t>
            </w:r>
          </w:p>
        </w:tc>
        <w:tc>
          <w:tcPr>
            <w:tcW w:w="1651" w:type="dxa"/>
            <w:shd w:val="clear" w:color="auto" w:fill="auto"/>
          </w:tcPr>
          <w:p w14:paraId="28FC65E6" w14:textId="77777777" w:rsidR="00776DC1" w:rsidRDefault="00776DC1" w:rsidP="00D45027">
            <w:pPr>
              <w:pStyle w:val="ColorfulShading-Accent31"/>
              <w:ind w:left="13"/>
              <w:rPr>
                <w:rFonts w:ascii="Arial" w:hAnsi="Arial" w:cs="Arial"/>
                <w:bCs/>
              </w:rPr>
            </w:pPr>
            <w:r>
              <w:rPr>
                <w:rFonts w:ascii="Arial" w:hAnsi="Arial" w:cs="Arial"/>
                <w:bCs/>
              </w:rPr>
              <w:t>83,775</w:t>
            </w:r>
            <w:r w:rsidRPr="004C3DFF">
              <w:rPr>
                <w:rFonts w:ascii="Arial" w:hAnsi="Arial" w:cs="Arial"/>
                <w:bCs/>
              </w:rPr>
              <w:t xml:space="preserve"> min/y</w:t>
            </w:r>
            <w:r>
              <w:rPr>
                <w:rFonts w:ascii="Arial" w:hAnsi="Arial" w:cs="Arial"/>
                <w:bCs/>
              </w:rPr>
              <w:t>r</w:t>
            </w:r>
          </w:p>
          <w:p w14:paraId="75DDEDA3" w14:textId="77777777" w:rsidR="00776DC1" w:rsidRPr="004C3DFF" w:rsidRDefault="00776DC1" w:rsidP="00D45027">
            <w:pPr>
              <w:pStyle w:val="ColorfulShading-Accent31"/>
              <w:ind w:left="13"/>
              <w:rPr>
                <w:rFonts w:ascii="Arial" w:hAnsi="Arial" w:cs="Arial"/>
                <w:bCs/>
              </w:rPr>
            </w:pPr>
            <w:r>
              <w:rPr>
                <w:rFonts w:ascii="Arial" w:hAnsi="Arial" w:cs="Arial"/>
                <w:bCs/>
              </w:rPr>
              <w:t>(15.896%)</w:t>
            </w:r>
          </w:p>
        </w:tc>
        <w:tc>
          <w:tcPr>
            <w:tcW w:w="1650" w:type="dxa"/>
            <w:shd w:val="clear" w:color="auto" w:fill="auto"/>
          </w:tcPr>
          <w:p w14:paraId="5DF2722F" w14:textId="77777777" w:rsidR="00776DC1" w:rsidRPr="004C3DFF" w:rsidRDefault="00776DC1" w:rsidP="00D45027">
            <w:pPr>
              <w:pStyle w:val="ColorfulShading-Accent31"/>
              <w:ind w:left="0"/>
              <w:rPr>
                <w:rFonts w:ascii="Arial" w:hAnsi="Arial" w:cs="Arial"/>
                <w:bCs/>
              </w:rPr>
            </w:pPr>
            <w:r w:rsidRPr="004C3DFF">
              <w:rPr>
                <w:rFonts w:ascii="Arial" w:hAnsi="Arial" w:cs="Arial"/>
                <w:bCs/>
              </w:rPr>
              <w:t>1.</w:t>
            </w:r>
            <w:r>
              <w:rPr>
                <w:rFonts w:ascii="Arial" w:hAnsi="Arial" w:cs="Arial"/>
                <w:bCs/>
              </w:rPr>
              <w:t>24</w:t>
            </w:r>
            <w:r w:rsidRPr="004C3DFF">
              <w:rPr>
                <w:rFonts w:ascii="Arial" w:hAnsi="Arial" w:cs="Arial"/>
                <w:bCs/>
              </w:rPr>
              <w:t xml:space="preserve"> MW</w:t>
            </w:r>
          </w:p>
        </w:tc>
        <w:tc>
          <w:tcPr>
            <w:tcW w:w="1651" w:type="dxa"/>
            <w:shd w:val="clear" w:color="auto" w:fill="auto"/>
          </w:tcPr>
          <w:p w14:paraId="39136B89" w14:textId="77777777" w:rsidR="00776DC1" w:rsidRPr="004C3DFF" w:rsidRDefault="00776DC1" w:rsidP="00D45027">
            <w:pPr>
              <w:pStyle w:val="ColorfulShading-Accent31"/>
              <w:ind w:left="15"/>
              <w:rPr>
                <w:rFonts w:ascii="Arial" w:hAnsi="Arial" w:cs="Arial"/>
                <w:bCs/>
              </w:rPr>
            </w:pPr>
            <w:r w:rsidRPr="004C3DFF">
              <w:rPr>
                <w:rFonts w:ascii="Arial" w:hAnsi="Arial" w:cs="Arial"/>
                <w:bCs/>
              </w:rPr>
              <w:t>0</w:t>
            </w:r>
            <w:r>
              <w:rPr>
                <w:rFonts w:ascii="Arial" w:hAnsi="Arial" w:cs="Arial"/>
                <w:bCs/>
              </w:rPr>
              <w:t>.197</w:t>
            </w:r>
            <w:r w:rsidRPr="004C3DFF">
              <w:rPr>
                <w:rFonts w:ascii="Arial" w:hAnsi="Arial" w:cs="Arial"/>
                <w:bCs/>
              </w:rPr>
              <w:t xml:space="preserve"> MW</w:t>
            </w:r>
          </w:p>
        </w:tc>
        <w:tc>
          <w:tcPr>
            <w:tcW w:w="1651" w:type="dxa"/>
            <w:shd w:val="clear" w:color="auto" w:fill="auto"/>
          </w:tcPr>
          <w:p w14:paraId="39114747" w14:textId="77777777" w:rsidR="00776DC1" w:rsidRPr="004C3DFF" w:rsidRDefault="00776DC1" w:rsidP="00D45027">
            <w:pPr>
              <w:pStyle w:val="ColorfulShading-Accent31"/>
              <w:ind w:left="15"/>
              <w:rPr>
                <w:rFonts w:ascii="Arial" w:hAnsi="Arial" w:cs="Arial"/>
                <w:bCs/>
              </w:rPr>
            </w:pPr>
            <w:r>
              <w:rPr>
                <w:rFonts w:ascii="Arial" w:hAnsi="Arial" w:cs="Arial"/>
                <w:bCs/>
              </w:rPr>
              <w:t>0.8%</w:t>
            </w:r>
          </w:p>
        </w:tc>
      </w:tr>
      <w:tr w:rsidR="00776DC1" w:rsidRPr="004C3DFF" w14:paraId="016BDA12" w14:textId="77777777" w:rsidTr="00A51F6E">
        <w:tc>
          <w:tcPr>
            <w:tcW w:w="1650" w:type="dxa"/>
            <w:shd w:val="clear" w:color="auto" w:fill="auto"/>
          </w:tcPr>
          <w:p w14:paraId="77F243A0" w14:textId="77777777" w:rsidR="00776DC1" w:rsidRPr="004C3DFF" w:rsidRDefault="00776DC1" w:rsidP="00D45027">
            <w:pPr>
              <w:pStyle w:val="ColorfulShading-Accent31"/>
              <w:ind w:left="0"/>
              <w:rPr>
                <w:rFonts w:ascii="Arial" w:hAnsi="Arial" w:cs="Arial"/>
                <w:bCs/>
              </w:rPr>
            </w:pPr>
            <w:r w:rsidRPr="004C3DFF">
              <w:rPr>
                <w:rFonts w:ascii="Arial" w:hAnsi="Arial" w:cs="Arial"/>
                <w:bCs/>
              </w:rPr>
              <w:t>FFR (</w:t>
            </w:r>
            <w:r>
              <w:rPr>
                <w:rFonts w:ascii="Arial" w:hAnsi="Arial" w:cs="Arial"/>
                <w:bCs/>
              </w:rPr>
              <w:t>Apex proposal</w:t>
            </w:r>
            <w:r w:rsidRPr="004C3DFF">
              <w:rPr>
                <w:rFonts w:ascii="Arial" w:hAnsi="Arial" w:cs="Arial"/>
                <w:bCs/>
              </w:rPr>
              <w:t>)</w:t>
            </w:r>
          </w:p>
        </w:tc>
        <w:tc>
          <w:tcPr>
            <w:tcW w:w="1651" w:type="dxa"/>
            <w:shd w:val="clear" w:color="auto" w:fill="auto"/>
          </w:tcPr>
          <w:p w14:paraId="241940B2" w14:textId="77777777" w:rsidR="00776DC1" w:rsidRPr="004C3DFF" w:rsidRDefault="00776DC1" w:rsidP="00D45027">
            <w:pPr>
              <w:pStyle w:val="ColorfulShading-Accent31"/>
              <w:ind w:left="0"/>
              <w:rPr>
                <w:rFonts w:ascii="Arial" w:hAnsi="Arial" w:cs="Arial"/>
                <w:bCs/>
              </w:rPr>
            </w:pPr>
            <w:r w:rsidRPr="004C3DFF">
              <w:rPr>
                <w:rFonts w:ascii="Arial" w:hAnsi="Arial" w:cs="Arial"/>
                <w:bCs/>
              </w:rPr>
              <w:t>59.955</w:t>
            </w:r>
            <w:r>
              <w:rPr>
                <w:rFonts w:ascii="Arial" w:hAnsi="Arial" w:cs="Arial"/>
                <w:bCs/>
              </w:rPr>
              <w:t xml:space="preserve"> </w:t>
            </w:r>
            <w:r w:rsidRPr="004C3DFF">
              <w:rPr>
                <w:rFonts w:ascii="Arial" w:hAnsi="Arial" w:cs="Arial"/>
                <w:bCs/>
              </w:rPr>
              <w:t>Hz</w:t>
            </w:r>
          </w:p>
        </w:tc>
        <w:tc>
          <w:tcPr>
            <w:tcW w:w="1651" w:type="dxa"/>
            <w:shd w:val="clear" w:color="auto" w:fill="auto"/>
          </w:tcPr>
          <w:p w14:paraId="77D3B1F8" w14:textId="77777777" w:rsidR="00776DC1" w:rsidRDefault="00776DC1" w:rsidP="00D45027">
            <w:pPr>
              <w:pStyle w:val="ColorfulShading-Accent31"/>
              <w:ind w:left="13"/>
              <w:rPr>
                <w:rFonts w:ascii="Arial" w:hAnsi="Arial" w:cs="Arial"/>
                <w:bCs/>
              </w:rPr>
            </w:pPr>
            <w:r>
              <w:rPr>
                <w:rFonts w:ascii="Arial" w:hAnsi="Arial" w:cs="Arial"/>
                <w:bCs/>
              </w:rPr>
              <w:t>1,039</w:t>
            </w:r>
            <w:r w:rsidRPr="004C3DFF">
              <w:rPr>
                <w:rFonts w:ascii="Arial" w:hAnsi="Arial" w:cs="Arial"/>
                <w:bCs/>
              </w:rPr>
              <w:t xml:space="preserve"> min/yr</w:t>
            </w:r>
          </w:p>
          <w:p w14:paraId="0F5F77F9" w14:textId="77777777" w:rsidR="00776DC1" w:rsidRPr="004C3DFF" w:rsidRDefault="00776DC1" w:rsidP="00D45027">
            <w:pPr>
              <w:pStyle w:val="ColorfulShading-Accent31"/>
              <w:ind w:left="13"/>
              <w:rPr>
                <w:rFonts w:ascii="Arial" w:hAnsi="Arial" w:cs="Arial"/>
                <w:bCs/>
              </w:rPr>
            </w:pPr>
            <w:r>
              <w:rPr>
                <w:rFonts w:ascii="Arial" w:hAnsi="Arial" w:cs="Arial"/>
                <w:bCs/>
              </w:rPr>
              <w:t>(0.197%)</w:t>
            </w:r>
          </w:p>
        </w:tc>
        <w:tc>
          <w:tcPr>
            <w:tcW w:w="1650" w:type="dxa"/>
            <w:shd w:val="clear" w:color="auto" w:fill="auto"/>
          </w:tcPr>
          <w:p w14:paraId="5C8A4F1E" w14:textId="77777777" w:rsidR="00776DC1" w:rsidRPr="004C3DFF" w:rsidRDefault="00776DC1" w:rsidP="00D45027">
            <w:pPr>
              <w:pStyle w:val="ColorfulShading-Accent31"/>
              <w:ind w:left="0"/>
              <w:rPr>
                <w:rFonts w:ascii="Arial" w:hAnsi="Arial" w:cs="Arial"/>
                <w:bCs/>
              </w:rPr>
            </w:pPr>
            <w:r w:rsidRPr="004C3DFF">
              <w:rPr>
                <w:rFonts w:ascii="Arial" w:hAnsi="Arial" w:cs="Arial"/>
                <w:bCs/>
              </w:rPr>
              <w:t>100 MW</w:t>
            </w:r>
          </w:p>
        </w:tc>
        <w:tc>
          <w:tcPr>
            <w:tcW w:w="1651" w:type="dxa"/>
            <w:shd w:val="clear" w:color="auto" w:fill="auto"/>
          </w:tcPr>
          <w:p w14:paraId="410A0C90" w14:textId="77777777" w:rsidR="00776DC1" w:rsidRPr="004C3DFF" w:rsidRDefault="00776DC1" w:rsidP="00D45027">
            <w:pPr>
              <w:pStyle w:val="ColorfulShading-Accent31"/>
              <w:ind w:left="15"/>
              <w:rPr>
                <w:rFonts w:ascii="Arial" w:hAnsi="Arial" w:cs="Arial"/>
                <w:bCs/>
              </w:rPr>
            </w:pPr>
            <w:r>
              <w:rPr>
                <w:rFonts w:ascii="Arial" w:hAnsi="Arial" w:cs="Arial"/>
                <w:bCs/>
              </w:rPr>
              <w:t>0.197</w:t>
            </w:r>
            <w:r w:rsidRPr="004C3DFF">
              <w:rPr>
                <w:rFonts w:ascii="Arial" w:hAnsi="Arial" w:cs="Arial"/>
                <w:bCs/>
              </w:rPr>
              <w:t xml:space="preserve"> MW</w:t>
            </w:r>
          </w:p>
        </w:tc>
        <w:tc>
          <w:tcPr>
            <w:tcW w:w="1651" w:type="dxa"/>
            <w:shd w:val="clear" w:color="auto" w:fill="auto"/>
          </w:tcPr>
          <w:p w14:paraId="3990C1E9" w14:textId="77777777" w:rsidR="00776DC1" w:rsidRPr="004C3DFF" w:rsidRDefault="00776DC1" w:rsidP="00D45027">
            <w:pPr>
              <w:pStyle w:val="ColorfulShading-Accent31"/>
              <w:ind w:left="15"/>
              <w:rPr>
                <w:rFonts w:ascii="Arial" w:hAnsi="Arial" w:cs="Arial"/>
                <w:bCs/>
              </w:rPr>
            </w:pPr>
            <w:r>
              <w:rPr>
                <w:rFonts w:ascii="Arial" w:hAnsi="Arial" w:cs="Arial"/>
                <w:bCs/>
              </w:rPr>
              <w:t>0.8%</w:t>
            </w:r>
          </w:p>
        </w:tc>
      </w:tr>
      <w:tr w:rsidR="00776DC1" w:rsidRPr="004C3DFF" w14:paraId="3EA303A1" w14:textId="77777777" w:rsidTr="00A51F6E">
        <w:tc>
          <w:tcPr>
            <w:tcW w:w="1650" w:type="dxa"/>
            <w:shd w:val="clear" w:color="auto" w:fill="auto"/>
          </w:tcPr>
          <w:p w14:paraId="21999086" w14:textId="77777777" w:rsidR="00776DC1" w:rsidRPr="004C3DFF" w:rsidRDefault="00776DC1" w:rsidP="00D45027">
            <w:pPr>
              <w:pStyle w:val="ColorfulShading-Accent31"/>
              <w:ind w:left="0"/>
              <w:rPr>
                <w:rFonts w:ascii="Arial" w:hAnsi="Arial" w:cs="Arial"/>
                <w:bCs/>
              </w:rPr>
            </w:pPr>
            <w:r>
              <w:rPr>
                <w:rFonts w:ascii="Arial" w:hAnsi="Arial" w:cs="Arial"/>
                <w:bCs/>
              </w:rPr>
              <w:t>FFR (ERCOT proposal)</w:t>
            </w:r>
          </w:p>
        </w:tc>
        <w:tc>
          <w:tcPr>
            <w:tcW w:w="1651" w:type="dxa"/>
            <w:shd w:val="clear" w:color="auto" w:fill="auto"/>
          </w:tcPr>
          <w:p w14:paraId="1B4A3010" w14:textId="77777777" w:rsidR="00776DC1" w:rsidRPr="004C3DFF" w:rsidRDefault="00776DC1" w:rsidP="00D45027">
            <w:pPr>
              <w:pStyle w:val="ColorfulShading-Accent31"/>
              <w:ind w:left="0"/>
              <w:rPr>
                <w:rFonts w:ascii="Arial" w:hAnsi="Arial" w:cs="Arial"/>
                <w:bCs/>
              </w:rPr>
            </w:pPr>
            <w:r>
              <w:rPr>
                <w:rFonts w:ascii="Arial" w:hAnsi="Arial" w:cs="Arial"/>
                <w:bCs/>
              </w:rPr>
              <w:t>59.850 Hz</w:t>
            </w:r>
          </w:p>
        </w:tc>
        <w:tc>
          <w:tcPr>
            <w:tcW w:w="1651" w:type="dxa"/>
            <w:shd w:val="clear" w:color="auto" w:fill="auto"/>
          </w:tcPr>
          <w:p w14:paraId="08228A74" w14:textId="77777777" w:rsidR="00776DC1" w:rsidRDefault="00776DC1" w:rsidP="00D45027">
            <w:pPr>
              <w:pStyle w:val="ColorfulShading-Accent31"/>
              <w:ind w:left="13"/>
              <w:rPr>
                <w:rFonts w:ascii="Arial" w:hAnsi="Arial" w:cs="Arial"/>
                <w:bCs/>
              </w:rPr>
            </w:pPr>
            <w:r>
              <w:rPr>
                <w:rFonts w:ascii="Arial" w:hAnsi="Arial" w:cs="Arial"/>
                <w:bCs/>
              </w:rPr>
              <w:t>0 min/yr</w:t>
            </w:r>
          </w:p>
          <w:p w14:paraId="30263B8D" w14:textId="77777777" w:rsidR="00776DC1" w:rsidRPr="004C3DFF" w:rsidRDefault="00776DC1" w:rsidP="00D45027">
            <w:pPr>
              <w:pStyle w:val="ColorfulShading-Accent31"/>
              <w:ind w:left="13"/>
              <w:rPr>
                <w:rFonts w:ascii="Arial" w:hAnsi="Arial" w:cs="Arial"/>
                <w:bCs/>
              </w:rPr>
            </w:pPr>
            <w:r>
              <w:rPr>
                <w:rFonts w:ascii="Arial" w:hAnsi="Arial" w:cs="Arial"/>
                <w:bCs/>
              </w:rPr>
              <w:t>(~0%)</w:t>
            </w:r>
          </w:p>
        </w:tc>
        <w:tc>
          <w:tcPr>
            <w:tcW w:w="1650" w:type="dxa"/>
            <w:shd w:val="clear" w:color="auto" w:fill="auto"/>
          </w:tcPr>
          <w:p w14:paraId="45C76348" w14:textId="77777777" w:rsidR="00776DC1" w:rsidRPr="004C3DFF" w:rsidRDefault="00776DC1" w:rsidP="00D45027">
            <w:pPr>
              <w:pStyle w:val="ColorfulShading-Accent31"/>
              <w:ind w:left="0"/>
              <w:rPr>
                <w:rFonts w:ascii="Arial" w:hAnsi="Arial" w:cs="Arial"/>
                <w:bCs/>
              </w:rPr>
            </w:pPr>
            <w:r>
              <w:rPr>
                <w:rFonts w:ascii="Arial" w:hAnsi="Arial" w:cs="Arial"/>
                <w:bCs/>
              </w:rPr>
              <w:t>NA</w:t>
            </w:r>
          </w:p>
        </w:tc>
        <w:tc>
          <w:tcPr>
            <w:tcW w:w="1651" w:type="dxa"/>
            <w:shd w:val="clear" w:color="auto" w:fill="auto"/>
          </w:tcPr>
          <w:p w14:paraId="0D389531" w14:textId="77777777" w:rsidR="00776DC1" w:rsidRPr="004C3DFF" w:rsidRDefault="00776DC1" w:rsidP="00D45027">
            <w:pPr>
              <w:pStyle w:val="ColorfulShading-Accent31"/>
              <w:ind w:left="15"/>
              <w:rPr>
                <w:rFonts w:ascii="Arial" w:hAnsi="Arial" w:cs="Arial"/>
                <w:bCs/>
              </w:rPr>
            </w:pPr>
            <w:r>
              <w:rPr>
                <w:rFonts w:ascii="Arial" w:hAnsi="Arial" w:cs="Arial"/>
                <w:bCs/>
              </w:rPr>
              <w:t>~0 MW</w:t>
            </w:r>
          </w:p>
        </w:tc>
        <w:tc>
          <w:tcPr>
            <w:tcW w:w="1651" w:type="dxa"/>
            <w:shd w:val="clear" w:color="auto" w:fill="auto"/>
          </w:tcPr>
          <w:p w14:paraId="4EC0344B" w14:textId="77777777" w:rsidR="00776DC1" w:rsidRPr="004C3DFF" w:rsidRDefault="00776DC1" w:rsidP="00D45027">
            <w:pPr>
              <w:pStyle w:val="ColorfulShading-Accent31"/>
              <w:ind w:left="15"/>
              <w:rPr>
                <w:rFonts w:ascii="Arial" w:hAnsi="Arial" w:cs="Arial"/>
                <w:bCs/>
              </w:rPr>
            </w:pPr>
            <w:r>
              <w:rPr>
                <w:rFonts w:ascii="Arial" w:hAnsi="Arial" w:cs="Arial"/>
                <w:bCs/>
              </w:rPr>
              <w:t>~0%</w:t>
            </w:r>
          </w:p>
        </w:tc>
      </w:tr>
    </w:tbl>
    <w:p w14:paraId="0ECEFDED" w14:textId="77777777" w:rsidR="00453018" w:rsidRDefault="00CF432D" w:rsidP="006B431D">
      <w:pPr>
        <w:pStyle w:val="ColorfulShading-Accent31"/>
        <w:ind w:left="360"/>
        <w:rPr>
          <w:rFonts w:ascii="Arial" w:hAnsi="Arial" w:cs="Arial"/>
          <w:bCs/>
        </w:rPr>
      </w:pPr>
      <w:r w:rsidRPr="00F367D2">
        <w:rPr>
          <w:rFonts w:ascii="Arial" w:hAnsi="Arial" w:cs="Arial"/>
        </w:rPr>
        <w:br/>
      </w:r>
    </w:p>
    <w:p w14:paraId="35F016AF" w14:textId="635118BE" w:rsidR="00423AFB" w:rsidRPr="00E52A1E" w:rsidRDefault="00423AFB" w:rsidP="00423AFB">
      <w:pPr>
        <w:pStyle w:val="ColorfulShading-Accent31"/>
        <w:numPr>
          <w:ilvl w:val="0"/>
          <w:numId w:val="3"/>
        </w:numPr>
        <w:ind w:left="360"/>
        <w:rPr>
          <w:rFonts w:ascii="Arial" w:hAnsi="Arial" w:cs="Arial"/>
          <w:bCs/>
        </w:rPr>
      </w:pPr>
      <w:r w:rsidRPr="00F367D2">
        <w:rPr>
          <w:rFonts w:ascii="Arial" w:hAnsi="Arial" w:cs="Arial"/>
          <w:b/>
          <w:bCs/>
        </w:rPr>
        <w:t>FFR should provide “down” response at a 60.038 Hz trigger</w:t>
      </w:r>
      <w:r>
        <w:rPr>
          <w:rFonts w:ascii="Arial" w:hAnsi="Arial" w:cs="Arial"/>
          <w:b/>
          <w:bCs/>
        </w:rPr>
        <w:t>,</w:t>
      </w:r>
      <w:r w:rsidRPr="00F367D2">
        <w:rPr>
          <w:rFonts w:ascii="Arial" w:hAnsi="Arial" w:cs="Arial"/>
          <w:b/>
          <w:bCs/>
        </w:rPr>
        <w:t xml:space="preserve"> when available</w:t>
      </w:r>
      <w:r>
        <w:rPr>
          <w:rFonts w:ascii="Arial" w:hAnsi="Arial" w:cs="Arial"/>
          <w:b/>
          <w:bCs/>
        </w:rPr>
        <w:t>,</w:t>
      </w:r>
      <w:r w:rsidRPr="00F367D2">
        <w:rPr>
          <w:rFonts w:ascii="Arial" w:hAnsi="Arial" w:cs="Arial"/>
          <w:b/>
          <w:bCs/>
        </w:rPr>
        <w:t xml:space="preserve"> to match the </w:t>
      </w:r>
      <w:r w:rsidR="009D50BD">
        <w:rPr>
          <w:rFonts w:ascii="Arial" w:hAnsi="Arial" w:cs="Arial"/>
          <w:b/>
          <w:bCs/>
        </w:rPr>
        <w:t>expected P</w:t>
      </w:r>
      <w:r>
        <w:rPr>
          <w:rFonts w:ascii="Arial" w:hAnsi="Arial" w:cs="Arial"/>
          <w:b/>
          <w:bCs/>
        </w:rPr>
        <w:t xml:space="preserve">rimary </w:t>
      </w:r>
      <w:r w:rsidR="009D50BD">
        <w:rPr>
          <w:rFonts w:ascii="Arial" w:hAnsi="Arial" w:cs="Arial"/>
          <w:b/>
          <w:bCs/>
        </w:rPr>
        <w:t>F</w:t>
      </w:r>
      <w:r>
        <w:rPr>
          <w:rFonts w:ascii="Arial" w:hAnsi="Arial" w:cs="Arial"/>
          <w:b/>
          <w:bCs/>
        </w:rPr>
        <w:t xml:space="preserve">requency </w:t>
      </w:r>
      <w:r w:rsidR="009D50BD">
        <w:rPr>
          <w:rFonts w:ascii="Arial" w:hAnsi="Arial" w:cs="Arial"/>
          <w:b/>
          <w:bCs/>
        </w:rPr>
        <w:t>R</w:t>
      </w:r>
      <w:r>
        <w:rPr>
          <w:rFonts w:ascii="Arial" w:hAnsi="Arial" w:cs="Arial"/>
          <w:b/>
          <w:bCs/>
        </w:rPr>
        <w:t xml:space="preserve">esponse of </w:t>
      </w:r>
      <w:r w:rsidRPr="00F367D2">
        <w:rPr>
          <w:rFonts w:ascii="Arial" w:hAnsi="Arial" w:cs="Arial"/>
          <w:b/>
          <w:bCs/>
        </w:rPr>
        <w:t>RRS</w:t>
      </w:r>
      <w:r>
        <w:rPr>
          <w:rFonts w:ascii="Arial" w:hAnsi="Arial" w:cs="Arial"/>
          <w:b/>
          <w:bCs/>
        </w:rPr>
        <w:t>-gen</w:t>
      </w:r>
      <w:r w:rsidRPr="00F367D2">
        <w:rPr>
          <w:rFonts w:ascii="Arial" w:hAnsi="Arial" w:cs="Arial"/>
          <w:b/>
          <w:bCs/>
        </w:rPr>
        <w:t>.</w:t>
      </w:r>
    </w:p>
    <w:p w14:paraId="56A30A25" w14:textId="77777777" w:rsidR="00423AFB" w:rsidRDefault="00423AFB" w:rsidP="00423AFB">
      <w:pPr>
        <w:pStyle w:val="ColorfulShading-Accent31"/>
        <w:ind w:left="360"/>
        <w:rPr>
          <w:rFonts w:ascii="Arial" w:hAnsi="Arial" w:cs="Arial"/>
          <w:bCs/>
        </w:rPr>
      </w:pPr>
    </w:p>
    <w:p w14:paraId="47C90DB9" w14:textId="77777777" w:rsidR="00423AFB" w:rsidRDefault="00423AFB" w:rsidP="00423AFB">
      <w:pPr>
        <w:pStyle w:val="ColorfulShading-Accent31"/>
        <w:ind w:left="360"/>
        <w:rPr>
          <w:rFonts w:ascii="Arial" w:hAnsi="Arial" w:cs="Arial"/>
          <w:bCs/>
        </w:rPr>
      </w:pPr>
      <w:r>
        <w:rPr>
          <w:rFonts w:ascii="Arial" w:hAnsi="Arial" w:cs="Arial"/>
          <w:bCs/>
        </w:rPr>
        <w:t xml:space="preserve">Pursuant to PFR mandate BAL-001-TRE-1, most online generators </w:t>
      </w:r>
      <w:r w:rsidRPr="00F367D2">
        <w:rPr>
          <w:rFonts w:ascii="Arial" w:hAnsi="Arial" w:cs="Arial"/>
          <w:bCs/>
        </w:rPr>
        <w:t xml:space="preserve">must </w:t>
      </w:r>
      <w:r>
        <w:rPr>
          <w:rFonts w:ascii="Arial" w:hAnsi="Arial" w:cs="Arial"/>
          <w:bCs/>
        </w:rPr>
        <w:t>also respond</w:t>
      </w:r>
      <w:r w:rsidRPr="00F367D2">
        <w:rPr>
          <w:rFonts w:ascii="Arial" w:hAnsi="Arial" w:cs="Arial"/>
          <w:bCs/>
        </w:rPr>
        <w:t xml:space="preserve"> to frequency deviations at or above 60.017 Hz</w:t>
      </w:r>
      <w:r>
        <w:rPr>
          <w:rStyle w:val="FootnoteReference"/>
          <w:rFonts w:ascii="Arial" w:hAnsi="Arial" w:cs="Arial"/>
          <w:bCs/>
        </w:rPr>
        <w:footnoteReference w:id="2"/>
      </w:r>
      <w:r w:rsidRPr="00F367D2">
        <w:rPr>
          <w:rFonts w:ascii="Arial" w:hAnsi="Arial" w:cs="Arial"/>
          <w:bCs/>
        </w:rPr>
        <w:t xml:space="preserve">.  </w:t>
      </w:r>
      <w:r>
        <w:rPr>
          <w:rFonts w:ascii="Arial" w:hAnsi="Arial" w:cs="Arial"/>
          <w:bCs/>
        </w:rPr>
        <w:t>PFR</w:t>
      </w:r>
      <w:r w:rsidRPr="00F367D2">
        <w:rPr>
          <w:rFonts w:ascii="Arial" w:hAnsi="Arial" w:cs="Arial"/>
          <w:bCs/>
        </w:rPr>
        <w:t xml:space="preserve"> suppliers are required to provide this </w:t>
      </w:r>
      <w:r>
        <w:rPr>
          <w:rFonts w:ascii="Arial" w:hAnsi="Arial" w:cs="Arial"/>
          <w:bCs/>
        </w:rPr>
        <w:t xml:space="preserve">“down” </w:t>
      </w:r>
      <w:r w:rsidRPr="00F367D2">
        <w:rPr>
          <w:rFonts w:ascii="Arial" w:hAnsi="Arial" w:cs="Arial"/>
          <w:bCs/>
        </w:rPr>
        <w:t xml:space="preserve">response to the extent that the unit output exceeds the Low Sustained Limit.  </w:t>
      </w:r>
      <w:r>
        <w:rPr>
          <w:rFonts w:ascii="Arial" w:hAnsi="Arial" w:cs="Arial"/>
          <w:bCs/>
        </w:rPr>
        <w:t>While BAL-001-TRE-1 applies to “generators”, it is unclear if Energy Storage Resources would need to comply with PFR requirements.  Therefore, it is important that Energy Storage Resources that supply FFR are treated in an equivalent manner to generation supplying RRS since the FFR product would be paid the same as RRS-gen.</w:t>
      </w:r>
    </w:p>
    <w:p w14:paraId="07205BB6" w14:textId="77777777" w:rsidR="00423AFB" w:rsidRDefault="00423AFB" w:rsidP="00423AFB">
      <w:pPr>
        <w:pStyle w:val="ColorfulShading-Accent31"/>
        <w:ind w:left="360"/>
        <w:rPr>
          <w:rFonts w:ascii="Arial" w:hAnsi="Arial" w:cs="Arial"/>
          <w:bCs/>
        </w:rPr>
      </w:pPr>
    </w:p>
    <w:p w14:paraId="7F6AFF00" w14:textId="77777777" w:rsidR="00193095" w:rsidRDefault="00423AFB" w:rsidP="00423AFB">
      <w:pPr>
        <w:pStyle w:val="ColorfulShading-Accent31"/>
        <w:ind w:left="360"/>
        <w:rPr>
          <w:rFonts w:ascii="Arial" w:hAnsi="Arial" w:cs="Arial"/>
        </w:rPr>
      </w:pPr>
      <w:r w:rsidRPr="00F367D2">
        <w:rPr>
          <w:rFonts w:ascii="Arial" w:hAnsi="Arial" w:cs="Arial"/>
        </w:rPr>
        <w:t>To find an equivalency between FFR and RRS</w:t>
      </w:r>
      <w:r>
        <w:rPr>
          <w:rFonts w:ascii="Arial" w:hAnsi="Arial" w:cs="Arial"/>
        </w:rPr>
        <w:t>-gen</w:t>
      </w:r>
      <w:r w:rsidRPr="00F367D2">
        <w:rPr>
          <w:rFonts w:ascii="Arial" w:hAnsi="Arial" w:cs="Arial"/>
        </w:rPr>
        <w:t>,</w:t>
      </w:r>
      <w:r>
        <w:rPr>
          <w:rFonts w:ascii="Arial" w:hAnsi="Arial" w:cs="Arial"/>
        </w:rPr>
        <w:t xml:space="preserve"> RRS-gen</w:t>
      </w:r>
      <w:r w:rsidRPr="00F367D2">
        <w:rPr>
          <w:rFonts w:ascii="Arial" w:hAnsi="Arial" w:cs="Arial"/>
        </w:rPr>
        <w:t xml:space="preserve"> “down” deployment for each minute of 2016 is calculated based on the actual 1-minute </w:t>
      </w:r>
      <w:r>
        <w:rPr>
          <w:rFonts w:ascii="Arial" w:hAnsi="Arial" w:cs="Arial"/>
        </w:rPr>
        <w:t>frequencies</w:t>
      </w:r>
      <w:r w:rsidRPr="00F367D2">
        <w:rPr>
          <w:rFonts w:ascii="Arial" w:hAnsi="Arial" w:cs="Arial"/>
        </w:rPr>
        <w:t>.  Based on this method, the FFR trigger should be set at 60.038 Hz for the primary frequency response to be equivalent to RRS (see Table B).</w:t>
      </w:r>
    </w:p>
    <w:p w14:paraId="46C59172" w14:textId="77777777" w:rsidR="00193095" w:rsidRDefault="00193095">
      <w:pPr>
        <w:rPr>
          <w:rFonts w:ascii="Arial" w:eastAsia="Calibri" w:hAnsi="Arial" w:cs="Arial"/>
          <w:sz w:val="22"/>
          <w:szCs w:val="22"/>
        </w:rPr>
      </w:pPr>
      <w:r>
        <w:rPr>
          <w:rFonts w:ascii="Arial" w:hAnsi="Arial" w:cs="Arial"/>
        </w:rPr>
        <w:br w:type="page"/>
      </w:r>
    </w:p>
    <w:p w14:paraId="2469925D" w14:textId="77777777" w:rsidR="00193095" w:rsidRPr="00F367D2" w:rsidRDefault="00193095" w:rsidP="005D70E6">
      <w:pPr>
        <w:pStyle w:val="ColorfulShading-Accent31"/>
        <w:tabs>
          <w:tab w:val="left" w:pos="450"/>
        </w:tabs>
        <w:ind w:left="450" w:hanging="90"/>
        <w:outlineLvl w:val="0"/>
        <w:rPr>
          <w:rFonts w:ascii="Arial" w:hAnsi="Arial" w:cs="Arial"/>
          <w:b/>
          <w:bCs/>
        </w:rPr>
      </w:pPr>
      <w:r w:rsidRPr="00F367D2">
        <w:rPr>
          <w:rFonts w:ascii="Arial" w:hAnsi="Arial" w:cs="Arial"/>
          <w:b/>
          <w:bCs/>
        </w:rPr>
        <w:t>Table B: Equivalent “down” frequency response above 60Hz for FFR &amp; RRS</w:t>
      </w:r>
      <w:r>
        <w:rPr>
          <w:rStyle w:val="FootnoteReference"/>
          <w:rFonts w:ascii="Arial" w:hAnsi="Arial" w:cs="Arial"/>
          <w:b/>
          <w:bCs/>
        </w:rPr>
        <w:footnoteReference w:id="3"/>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650"/>
        <w:gridCol w:w="1650"/>
        <w:gridCol w:w="1650"/>
        <w:gridCol w:w="1650"/>
        <w:gridCol w:w="1650"/>
        <w:gridCol w:w="1650"/>
      </w:tblGrid>
      <w:tr w:rsidR="00193095" w:rsidRPr="004C3DFF" w14:paraId="3BD8D2E9" w14:textId="77777777" w:rsidTr="00A51F6E">
        <w:tc>
          <w:tcPr>
            <w:tcW w:w="1650" w:type="dxa"/>
            <w:shd w:val="clear" w:color="auto" w:fill="auto"/>
            <w:vAlign w:val="bottom"/>
          </w:tcPr>
          <w:p w14:paraId="0120CC5C" w14:textId="77777777" w:rsidR="00193095" w:rsidRPr="004C3DFF" w:rsidRDefault="00193095" w:rsidP="00193095">
            <w:pPr>
              <w:pStyle w:val="ColorfulShading-Accent31"/>
              <w:tabs>
                <w:tab w:val="left" w:pos="450"/>
              </w:tabs>
              <w:ind w:left="0"/>
              <w:rPr>
                <w:rFonts w:ascii="Arial" w:hAnsi="Arial" w:cs="Arial"/>
                <w:b/>
                <w:bCs/>
              </w:rPr>
            </w:pPr>
            <w:r w:rsidRPr="004C3DFF">
              <w:rPr>
                <w:rFonts w:ascii="Arial" w:hAnsi="Arial" w:cs="Arial"/>
                <w:b/>
                <w:bCs/>
              </w:rPr>
              <w:t>Product</w:t>
            </w:r>
          </w:p>
        </w:tc>
        <w:tc>
          <w:tcPr>
            <w:tcW w:w="1650" w:type="dxa"/>
            <w:shd w:val="clear" w:color="auto" w:fill="auto"/>
            <w:vAlign w:val="bottom"/>
          </w:tcPr>
          <w:p w14:paraId="624C9F57" w14:textId="77777777" w:rsidR="00193095" w:rsidRPr="004C3DFF" w:rsidRDefault="00193095" w:rsidP="00193095">
            <w:pPr>
              <w:pStyle w:val="ColorfulShading-Accent31"/>
              <w:tabs>
                <w:tab w:val="left" w:pos="450"/>
              </w:tabs>
              <w:ind w:left="0"/>
              <w:rPr>
                <w:rFonts w:ascii="Arial" w:hAnsi="Arial" w:cs="Arial"/>
                <w:b/>
                <w:bCs/>
              </w:rPr>
            </w:pPr>
            <w:r w:rsidRPr="004C3DFF">
              <w:rPr>
                <w:rFonts w:ascii="Arial" w:hAnsi="Arial" w:cs="Arial"/>
                <w:b/>
                <w:bCs/>
              </w:rPr>
              <w:t>Frequency trigger</w:t>
            </w:r>
          </w:p>
        </w:tc>
        <w:tc>
          <w:tcPr>
            <w:tcW w:w="1650" w:type="dxa"/>
            <w:shd w:val="clear" w:color="auto" w:fill="auto"/>
            <w:vAlign w:val="bottom"/>
          </w:tcPr>
          <w:p w14:paraId="3089B61B" w14:textId="77777777" w:rsidR="00193095" w:rsidRPr="004C3DFF" w:rsidRDefault="00193095" w:rsidP="00193095">
            <w:pPr>
              <w:pStyle w:val="ColorfulShading-Accent31"/>
              <w:tabs>
                <w:tab w:val="left" w:pos="450"/>
              </w:tabs>
              <w:ind w:left="13"/>
              <w:rPr>
                <w:rFonts w:ascii="Arial" w:hAnsi="Arial" w:cs="Arial"/>
                <w:b/>
                <w:bCs/>
              </w:rPr>
            </w:pPr>
            <w:r w:rsidRPr="004C3DFF">
              <w:rPr>
                <w:rFonts w:ascii="Arial" w:hAnsi="Arial" w:cs="Arial"/>
                <w:b/>
                <w:bCs/>
              </w:rPr>
              <w:t>Number of 1-minute intervals at or above trigger</w:t>
            </w:r>
          </w:p>
        </w:tc>
        <w:tc>
          <w:tcPr>
            <w:tcW w:w="1650" w:type="dxa"/>
            <w:shd w:val="clear" w:color="auto" w:fill="auto"/>
            <w:vAlign w:val="bottom"/>
          </w:tcPr>
          <w:p w14:paraId="2E1C0586" w14:textId="77777777" w:rsidR="00193095" w:rsidRPr="004C3DFF" w:rsidRDefault="00193095" w:rsidP="00193095">
            <w:pPr>
              <w:pStyle w:val="ColorfulShading-Accent31"/>
              <w:tabs>
                <w:tab w:val="left" w:pos="450"/>
              </w:tabs>
              <w:ind w:left="0"/>
              <w:rPr>
                <w:rFonts w:ascii="Arial" w:hAnsi="Arial" w:cs="Arial"/>
                <w:b/>
                <w:bCs/>
              </w:rPr>
            </w:pPr>
            <w:r w:rsidRPr="004C3DFF">
              <w:rPr>
                <w:rFonts w:ascii="Arial" w:hAnsi="Arial" w:cs="Arial"/>
                <w:b/>
                <w:bCs/>
              </w:rPr>
              <w:t>Average deployment from 100 MW award when triggered</w:t>
            </w:r>
          </w:p>
        </w:tc>
        <w:tc>
          <w:tcPr>
            <w:tcW w:w="1650" w:type="dxa"/>
            <w:shd w:val="clear" w:color="auto" w:fill="auto"/>
            <w:vAlign w:val="bottom"/>
          </w:tcPr>
          <w:p w14:paraId="040CA5BF" w14:textId="77777777" w:rsidR="00193095" w:rsidRPr="004C3DFF" w:rsidRDefault="00193095" w:rsidP="00193095">
            <w:pPr>
              <w:pStyle w:val="ColorfulShading-Accent31"/>
              <w:tabs>
                <w:tab w:val="left" w:pos="450"/>
              </w:tabs>
              <w:ind w:left="15"/>
              <w:rPr>
                <w:rFonts w:ascii="Arial" w:hAnsi="Arial" w:cs="Arial"/>
                <w:b/>
                <w:bCs/>
              </w:rPr>
            </w:pPr>
            <w:r w:rsidRPr="004C3DFF">
              <w:rPr>
                <w:rFonts w:ascii="Arial" w:hAnsi="Arial" w:cs="Arial"/>
                <w:b/>
                <w:bCs/>
              </w:rPr>
              <w:t>Average deployment from 100 MW award in 2016</w:t>
            </w:r>
          </w:p>
        </w:tc>
        <w:tc>
          <w:tcPr>
            <w:tcW w:w="1650" w:type="dxa"/>
            <w:shd w:val="clear" w:color="auto" w:fill="auto"/>
            <w:vAlign w:val="bottom"/>
          </w:tcPr>
          <w:p w14:paraId="743F4F79" w14:textId="77777777" w:rsidR="00193095" w:rsidRPr="004C3DFF" w:rsidRDefault="00193095" w:rsidP="00193095">
            <w:pPr>
              <w:pStyle w:val="ColorfulShading-Accent31"/>
              <w:tabs>
                <w:tab w:val="left" w:pos="450"/>
              </w:tabs>
              <w:ind w:left="15"/>
              <w:rPr>
                <w:rFonts w:ascii="Arial" w:hAnsi="Arial" w:cs="Arial"/>
                <w:b/>
                <w:bCs/>
              </w:rPr>
            </w:pPr>
            <w:r w:rsidRPr="004C3DFF">
              <w:rPr>
                <w:rFonts w:ascii="Arial" w:hAnsi="Arial" w:cs="Arial"/>
                <w:b/>
                <w:bCs/>
              </w:rPr>
              <w:t xml:space="preserve">Average </w:t>
            </w:r>
            <w:r>
              <w:rPr>
                <w:rFonts w:ascii="Arial" w:hAnsi="Arial" w:cs="Arial"/>
                <w:b/>
                <w:bCs/>
              </w:rPr>
              <w:t>2016 CPS1 score improvement</w:t>
            </w:r>
            <w:r w:rsidRPr="004C3DFF">
              <w:rPr>
                <w:rFonts w:ascii="Arial" w:hAnsi="Arial" w:cs="Arial"/>
                <w:b/>
                <w:bCs/>
              </w:rPr>
              <w:t xml:space="preserve"> from </w:t>
            </w:r>
            <w:r>
              <w:rPr>
                <w:rFonts w:ascii="Arial" w:hAnsi="Arial" w:cs="Arial"/>
                <w:b/>
                <w:bCs/>
              </w:rPr>
              <w:t>incr. 100 MW</w:t>
            </w:r>
          </w:p>
        </w:tc>
      </w:tr>
      <w:tr w:rsidR="00193095" w:rsidRPr="004C3DFF" w14:paraId="07B12A47" w14:textId="77777777" w:rsidTr="00A51F6E">
        <w:trPr>
          <w:trHeight w:val="530"/>
        </w:trPr>
        <w:tc>
          <w:tcPr>
            <w:tcW w:w="1650" w:type="dxa"/>
            <w:shd w:val="clear" w:color="auto" w:fill="auto"/>
          </w:tcPr>
          <w:p w14:paraId="08201B86" w14:textId="77777777" w:rsidR="00193095" w:rsidRPr="004C3DFF" w:rsidRDefault="00193095" w:rsidP="00193095">
            <w:pPr>
              <w:pStyle w:val="ColorfulShading-Accent31"/>
              <w:tabs>
                <w:tab w:val="left" w:pos="450"/>
              </w:tabs>
              <w:ind w:left="0"/>
              <w:rPr>
                <w:rFonts w:ascii="Arial" w:hAnsi="Arial" w:cs="Arial"/>
                <w:bCs/>
              </w:rPr>
            </w:pPr>
            <w:r w:rsidRPr="004C3DFF">
              <w:rPr>
                <w:rFonts w:ascii="Arial" w:hAnsi="Arial" w:cs="Arial"/>
                <w:bCs/>
              </w:rPr>
              <w:t>RRS (generators)</w:t>
            </w:r>
          </w:p>
        </w:tc>
        <w:tc>
          <w:tcPr>
            <w:tcW w:w="1650" w:type="dxa"/>
            <w:shd w:val="clear" w:color="auto" w:fill="auto"/>
          </w:tcPr>
          <w:p w14:paraId="52CCA637" w14:textId="77777777" w:rsidR="00193095" w:rsidRPr="004C3DFF" w:rsidRDefault="00193095" w:rsidP="00193095">
            <w:pPr>
              <w:pStyle w:val="ColorfulShading-Accent31"/>
              <w:tabs>
                <w:tab w:val="left" w:pos="450"/>
              </w:tabs>
              <w:ind w:left="0"/>
              <w:rPr>
                <w:rFonts w:ascii="Arial" w:hAnsi="Arial" w:cs="Arial"/>
                <w:bCs/>
              </w:rPr>
            </w:pPr>
            <w:r w:rsidRPr="004C3DFF">
              <w:rPr>
                <w:rFonts w:ascii="Arial" w:hAnsi="Arial" w:cs="Arial"/>
                <w:bCs/>
              </w:rPr>
              <w:t>60.017 Hz</w:t>
            </w:r>
          </w:p>
        </w:tc>
        <w:tc>
          <w:tcPr>
            <w:tcW w:w="1650" w:type="dxa"/>
            <w:shd w:val="clear" w:color="auto" w:fill="auto"/>
          </w:tcPr>
          <w:p w14:paraId="10117136" w14:textId="77777777" w:rsidR="00193095" w:rsidRDefault="00193095" w:rsidP="00193095">
            <w:pPr>
              <w:pStyle w:val="ColorfulShading-Accent31"/>
              <w:tabs>
                <w:tab w:val="left" w:pos="450"/>
              </w:tabs>
              <w:ind w:left="13"/>
              <w:rPr>
                <w:rFonts w:ascii="Arial" w:hAnsi="Arial" w:cs="Arial"/>
                <w:bCs/>
              </w:rPr>
            </w:pPr>
            <w:r>
              <w:rPr>
                <w:rFonts w:ascii="Arial" w:hAnsi="Arial" w:cs="Arial"/>
                <w:bCs/>
              </w:rPr>
              <w:t>45,322</w:t>
            </w:r>
            <w:r w:rsidRPr="004C3DFF">
              <w:rPr>
                <w:rFonts w:ascii="Arial" w:hAnsi="Arial" w:cs="Arial"/>
                <w:bCs/>
              </w:rPr>
              <w:t xml:space="preserve"> min/yr</w:t>
            </w:r>
          </w:p>
          <w:p w14:paraId="0830E74F" w14:textId="77777777" w:rsidR="00193095" w:rsidRPr="004C3DFF" w:rsidRDefault="00193095" w:rsidP="00193095">
            <w:pPr>
              <w:pStyle w:val="ColorfulShading-Accent31"/>
              <w:tabs>
                <w:tab w:val="left" w:pos="450"/>
              </w:tabs>
              <w:ind w:left="13"/>
              <w:rPr>
                <w:rFonts w:ascii="Arial" w:hAnsi="Arial" w:cs="Arial"/>
                <w:bCs/>
              </w:rPr>
            </w:pPr>
            <w:r>
              <w:rPr>
                <w:rFonts w:ascii="Arial" w:hAnsi="Arial" w:cs="Arial"/>
                <w:bCs/>
              </w:rPr>
              <w:t>(8.600%)</w:t>
            </w:r>
          </w:p>
        </w:tc>
        <w:tc>
          <w:tcPr>
            <w:tcW w:w="1650" w:type="dxa"/>
            <w:shd w:val="clear" w:color="auto" w:fill="auto"/>
          </w:tcPr>
          <w:p w14:paraId="57266823" w14:textId="77777777" w:rsidR="00193095" w:rsidRPr="004C3DFF" w:rsidRDefault="00193095" w:rsidP="00193095">
            <w:pPr>
              <w:pStyle w:val="ColorfulShading-Accent31"/>
              <w:tabs>
                <w:tab w:val="left" w:pos="450"/>
              </w:tabs>
              <w:ind w:left="0"/>
              <w:rPr>
                <w:rFonts w:ascii="Arial" w:hAnsi="Arial" w:cs="Arial"/>
                <w:bCs/>
              </w:rPr>
            </w:pPr>
            <w:r>
              <w:rPr>
                <w:rFonts w:ascii="Arial" w:hAnsi="Arial" w:cs="Arial"/>
                <w:bCs/>
              </w:rPr>
              <w:t>0.72</w:t>
            </w:r>
            <w:r w:rsidRPr="004C3DFF">
              <w:rPr>
                <w:rFonts w:ascii="Arial" w:hAnsi="Arial" w:cs="Arial"/>
                <w:bCs/>
              </w:rPr>
              <w:t xml:space="preserve"> MW</w:t>
            </w:r>
          </w:p>
        </w:tc>
        <w:tc>
          <w:tcPr>
            <w:tcW w:w="1650" w:type="dxa"/>
            <w:shd w:val="clear" w:color="auto" w:fill="auto"/>
          </w:tcPr>
          <w:p w14:paraId="7775E785" w14:textId="77777777" w:rsidR="00193095" w:rsidRPr="004C3DFF" w:rsidRDefault="00193095" w:rsidP="00193095">
            <w:pPr>
              <w:pStyle w:val="ColorfulShading-Accent31"/>
              <w:tabs>
                <w:tab w:val="left" w:pos="450"/>
              </w:tabs>
              <w:ind w:left="15"/>
              <w:rPr>
                <w:rFonts w:ascii="Arial" w:hAnsi="Arial" w:cs="Arial"/>
                <w:bCs/>
              </w:rPr>
            </w:pPr>
            <w:r>
              <w:rPr>
                <w:rFonts w:ascii="Arial" w:hAnsi="Arial" w:cs="Arial"/>
                <w:bCs/>
              </w:rPr>
              <w:t>0.062</w:t>
            </w:r>
            <w:r w:rsidRPr="004C3DFF">
              <w:rPr>
                <w:rFonts w:ascii="Arial" w:hAnsi="Arial" w:cs="Arial"/>
                <w:bCs/>
              </w:rPr>
              <w:t xml:space="preserve"> MW</w:t>
            </w:r>
          </w:p>
        </w:tc>
        <w:tc>
          <w:tcPr>
            <w:tcW w:w="1650" w:type="dxa"/>
            <w:shd w:val="clear" w:color="auto" w:fill="auto"/>
          </w:tcPr>
          <w:p w14:paraId="013FCD3C" w14:textId="77777777" w:rsidR="00193095" w:rsidRPr="004C3DFF" w:rsidRDefault="00193095" w:rsidP="00193095">
            <w:pPr>
              <w:pStyle w:val="ColorfulShading-Accent31"/>
              <w:tabs>
                <w:tab w:val="left" w:pos="450"/>
              </w:tabs>
              <w:ind w:left="15"/>
              <w:rPr>
                <w:rFonts w:ascii="Arial" w:hAnsi="Arial" w:cs="Arial"/>
                <w:bCs/>
              </w:rPr>
            </w:pPr>
            <w:r>
              <w:rPr>
                <w:rFonts w:ascii="Arial" w:hAnsi="Arial" w:cs="Arial"/>
                <w:bCs/>
              </w:rPr>
              <w:t>0.3%</w:t>
            </w:r>
          </w:p>
        </w:tc>
      </w:tr>
      <w:tr w:rsidR="00193095" w:rsidRPr="004C3DFF" w14:paraId="02456D37" w14:textId="77777777" w:rsidTr="00A51F6E">
        <w:tc>
          <w:tcPr>
            <w:tcW w:w="1650" w:type="dxa"/>
            <w:shd w:val="clear" w:color="auto" w:fill="auto"/>
          </w:tcPr>
          <w:p w14:paraId="32AF911B" w14:textId="77777777" w:rsidR="00193095" w:rsidRPr="004C3DFF" w:rsidRDefault="00193095" w:rsidP="00D45027">
            <w:pPr>
              <w:pStyle w:val="ColorfulShading-Accent31"/>
              <w:ind w:left="0"/>
              <w:rPr>
                <w:rFonts w:ascii="Arial" w:hAnsi="Arial" w:cs="Arial"/>
                <w:bCs/>
              </w:rPr>
            </w:pPr>
            <w:r w:rsidRPr="004C3DFF">
              <w:rPr>
                <w:rFonts w:ascii="Arial" w:hAnsi="Arial" w:cs="Arial"/>
                <w:bCs/>
              </w:rPr>
              <w:t>FFR (</w:t>
            </w:r>
            <w:r>
              <w:rPr>
                <w:rFonts w:ascii="Arial" w:hAnsi="Arial" w:cs="Arial"/>
                <w:bCs/>
              </w:rPr>
              <w:t>Apex proposal</w:t>
            </w:r>
            <w:r w:rsidRPr="004C3DFF">
              <w:rPr>
                <w:rFonts w:ascii="Arial" w:hAnsi="Arial" w:cs="Arial"/>
                <w:bCs/>
              </w:rPr>
              <w:t>)</w:t>
            </w:r>
          </w:p>
        </w:tc>
        <w:tc>
          <w:tcPr>
            <w:tcW w:w="1650" w:type="dxa"/>
            <w:shd w:val="clear" w:color="auto" w:fill="auto"/>
          </w:tcPr>
          <w:p w14:paraId="145E7757" w14:textId="77777777" w:rsidR="00193095" w:rsidRPr="004C3DFF" w:rsidRDefault="00193095" w:rsidP="00D45027">
            <w:pPr>
              <w:pStyle w:val="ColorfulShading-Accent31"/>
              <w:ind w:left="0"/>
              <w:rPr>
                <w:rFonts w:ascii="Arial" w:hAnsi="Arial" w:cs="Arial"/>
                <w:bCs/>
              </w:rPr>
            </w:pPr>
            <w:r w:rsidRPr="004C3DFF">
              <w:rPr>
                <w:rFonts w:ascii="Arial" w:hAnsi="Arial" w:cs="Arial"/>
                <w:bCs/>
              </w:rPr>
              <w:t>60.038</w:t>
            </w:r>
            <w:r>
              <w:rPr>
                <w:rFonts w:ascii="Arial" w:hAnsi="Arial" w:cs="Arial"/>
                <w:bCs/>
              </w:rPr>
              <w:t xml:space="preserve"> </w:t>
            </w:r>
            <w:r w:rsidRPr="004C3DFF">
              <w:rPr>
                <w:rFonts w:ascii="Arial" w:hAnsi="Arial" w:cs="Arial"/>
                <w:bCs/>
              </w:rPr>
              <w:t>Hz</w:t>
            </w:r>
          </w:p>
        </w:tc>
        <w:tc>
          <w:tcPr>
            <w:tcW w:w="1650" w:type="dxa"/>
            <w:shd w:val="clear" w:color="auto" w:fill="auto"/>
          </w:tcPr>
          <w:p w14:paraId="0714FB1F" w14:textId="77777777" w:rsidR="00193095" w:rsidRDefault="00193095" w:rsidP="00D45027">
            <w:pPr>
              <w:pStyle w:val="ColorfulShading-Accent31"/>
              <w:ind w:left="13"/>
              <w:rPr>
                <w:rFonts w:ascii="Arial" w:hAnsi="Arial" w:cs="Arial"/>
                <w:bCs/>
              </w:rPr>
            </w:pPr>
            <w:r>
              <w:rPr>
                <w:rFonts w:ascii="Arial" w:hAnsi="Arial" w:cs="Arial"/>
                <w:bCs/>
              </w:rPr>
              <w:t>325</w:t>
            </w:r>
            <w:r w:rsidRPr="004C3DFF">
              <w:rPr>
                <w:rFonts w:ascii="Arial" w:hAnsi="Arial" w:cs="Arial"/>
                <w:bCs/>
              </w:rPr>
              <w:t xml:space="preserve"> min/yr</w:t>
            </w:r>
          </w:p>
          <w:p w14:paraId="4AF27A10" w14:textId="77777777" w:rsidR="00193095" w:rsidRPr="004C3DFF" w:rsidRDefault="00193095" w:rsidP="00D45027">
            <w:pPr>
              <w:pStyle w:val="ColorfulShading-Accent31"/>
              <w:ind w:left="13"/>
              <w:rPr>
                <w:rFonts w:ascii="Arial" w:hAnsi="Arial" w:cs="Arial"/>
                <w:bCs/>
              </w:rPr>
            </w:pPr>
            <w:r>
              <w:rPr>
                <w:rFonts w:ascii="Arial" w:hAnsi="Arial" w:cs="Arial"/>
                <w:bCs/>
              </w:rPr>
              <w:t>(0.062%)</w:t>
            </w:r>
          </w:p>
        </w:tc>
        <w:tc>
          <w:tcPr>
            <w:tcW w:w="1650" w:type="dxa"/>
            <w:shd w:val="clear" w:color="auto" w:fill="auto"/>
          </w:tcPr>
          <w:p w14:paraId="534196EF" w14:textId="77777777" w:rsidR="00193095" w:rsidRPr="004C3DFF" w:rsidRDefault="00193095" w:rsidP="00D45027">
            <w:pPr>
              <w:pStyle w:val="ColorfulShading-Accent31"/>
              <w:ind w:left="0"/>
              <w:rPr>
                <w:rFonts w:ascii="Arial" w:hAnsi="Arial" w:cs="Arial"/>
                <w:bCs/>
              </w:rPr>
            </w:pPr>
            <w:r w:rsidRPr="004C3DFF">
              <w:rPr>
                <w:rFonts w:ascii="Arial" w:hAnsi="Arial" w:cs="Arial"/>
                <w:bCs/>
              </w:rPr>
              <w:t>100 MW</w:t>
            </w:r>
          </w:p>
        </w:tc>
        <w:tc>
          <w:tcPr>
            <w:tcW w:w="1650" w:type="dxa"/>
            <w:shd w:val="clear" w:color="auto" w:fill="auto"/>
          </w:tcPr>
          <w:p w14:paraId="16482C30" w14:textId="77777777" w:rsidR="00193095" w:rsidRPr="004C3DFF" w:rsidRDefault="00193095" w:rsidP="00D45027">
            <w:pPr>
              <w:pStyle w:val="ColorfulShading-Accent31"/>
              <w:ind w:left="15"/>
              <w:rPr>
                <w:rFonts w:ascii="Arial" w:hAnsi="Arial" w:cs="Arial"/>
                <w:bCs/>
              </w:rPr>
            </w:pPr>
            <w:r w:rsidRPr="004C3DFF">
              <w:rPr>
                <w:rFonts w:ascii="Arial" w:hAnsi="Arial" w:cs="Arial"/>
                <w:bCs/>
              </w:rPr>
              <w:t>0.06</w:t>
            </w:r>
            <w:r>
              <w:rPr>
                <w:rFonts w:ascii="Arial" w:hAnsi="Arial" w:cs="Arial"/>
                <w:bCs/>
              </w:rPr>
              <w:t>2</w:t>
            </w:r>
            <w:r w:rsidRPr="004C3DFF">
              <w:rPr>
                <w:rFonts w:ascii="Arial" w:hAnsi="Arial" w:cs="Arial"/>
                <w:bCs/>
              </w:rPr>
              <w:t xml:space="preserve"> MW</w:t>
            </w:r>
          </w:p>
        </w:tc>
        <w:tc>
          <w:tcPr>
            <w:tcW w:w="1650" w:type="dxa"/>
            <w:shd w:val="clear" w:color="auto" w:fill="auto"/>
          </w:tcPr>
          <w:p w14:paraId="69D3ED59" w14:textId="77777777" w:rsidR="00193095" w:rsidRPr="004C3DFF" w:rsidRDefault="00193095" w:rsidP="00D45027">
            <w:pPr>
              <w:pStyle w:val="ColorfulShading-Accent31"/>
              <w:ind w:left="15"/>
              <w:rPr>
                <w:rFonts w:ascii="Arial" w:hAnsi="Arial" w:cs="Arial"/>
                <w:bCs/>
              </w:rPr>
            </w:pPr>
            <w:r>
              <w:rPr>
                <w:rFonts w:ascii="Arial" w:hAnsi="Arial" w:cs="Arial"/>
                <w:bCs/>
              </w:rPr>
              <w:t>0.3%</w:t>
            </w:r>
          </w:p>
        </w:tc>
      </w:tr>
      <w:tr w:rsidR="00193095" w:rsidRPr="004C3DFF" w14:paraId="0889F050" w14:textId="77777777" w:rsidTr="00A51F6E">
        <w:tc>
          <w:tcPr>
            <w:tcW w:w="1650" w:type="dxa"/>
            <w:shd w:val="clear" w:color="auto" w:fill="auto"/>
          </w:tcPr>
          <w:p w14:paraId="3C7B9073" w14:textId="77777777" w:rsidR="00193095" w:rsidRPr="004C3DFF" w:rsidRDefault="00193095" w:rsidP="00D45027">
            <w:pPr>
              <w:pStyle w:val="ColorfulShading-Accent31"/>
              <w:ind w:left="0"/>
              <w:rPr>
                <w:rFonts w:ascii="Arial" w:hAnsi="Arial" w:cs="Arial"/>
                <w:bCs/>
              </w:rPr>
            </w:pPr>
            <w:r>
              <w:rPr>
                <w:rFonts w:ascii="Arial" w:hAnsi="Arial" w:cs="Arial"/>
                <w:bCs/>
              </w:rPr>
              <w:t>FFR (ERCOT proposal)</w:t>
            </w:r>
          </w:p>
        </w:tc>
        <w:tc>
          <w:tcPr>
            <w:tcW w:w="1650" w:type="dxa"/>
            <w:shd w:val="clear" w:color="auto" w:fill="auto"/>
          </w:tcPr>
          <w:p w14:paraId="6B6171D4" w14:textId="77777777" w:rsidR="00193095" w:rsidRPr="004C3DFF" w:rsidRDefault="00193095" w:rsidP="00D45027">
            <w:pPr>
              <w:pStyle w:val="ColorfulShading-Accent31"/>
              <w:ind w:left="0"/>
              <w:rPr>
                <w:rFonts w:ascii="Arial" w:hAnsi="Arial" w:cs="Arial"/>
                <w:bCs/>
              </w:rPr>
            </w:pPr>
            <w:r>
              <w:rPr>
                <w:rFonts w:ascii="Arial" w:hAnsi="Arial" w:cs="Arial"/>
                <w:bCs/>
              </w:rPr>
              <w:t>NA</w:t>
            </w:r>
          </w:p>
        </w:tc>
        <w:tc>
          <w:tcPr>
            <w:tcW w:w="1650" w:type="dxa"/>
            <w:shd w:val="clear" w:color="auto" w:fill="auto"/>
          </w:tcPr>
          <w:p w14:paraId="1458D1FF" w14:textId="77777777" w:rsidR="00193095" w:rsidRPr="004C3DFF" w:rsidRDefault="00193095" w:rsidP="00D45027">
            <w:pPr>
              <w:pStyle w:val="ColorfulShading-Accent31"/>
              <w:ind w:left="13"/>
              <w:rPr>
                <w:rFonts w:ascii="Arial" w:hAnsi="Arial" w:cs="Arial"/>
                <w:bCs/>
              </w:rPr>
            </w:pPr>
            <w:r>
              <w:rPr>
                <w:rFonts w:ascii="Arial" w:hAnsi="Arial" w:cs="Arial"/>
                <w:bCs/>
              </w:rPr>
              <w:t>NA</w:t>
            </w:r>
          </w:p>
        </w:tc>
        <w:tc>
          <w:tcPr>
            <w:tcW w:w="1650" w:type="dxa"/>
            <w:shd w:val="clear" w:color="auto" w:fill="auto"/>
          </w:tcPr>
          <w:p w14:paraId="2E7CE068" w14:textId="77777777" w:rsidR="00193095" w:rsidRPr="004C3DFF" w:rsidRDefault="00193095" w:rsidP="00D45027">
            <w:pPr>
              <w:pStyle w:val="ColorfulShading-Accent31"/>
              <w:ind w:left="0"/>
              <w:rPr>
                <w:rFonts w:ascii="Arial" w:hAnsi="Arial" w:cs="Arial"/>
                <w:bCs/>
              </w:rPr>
            </w:pPr>
            <w:r>
              <w:rPr>
                <w:rFonts w:ascii="Arial" w:hAnsi="Arial" w:cs="Arial"/>
                <w:bCs/>
              </w:rPr>
              <w:t>NA</w:t>
            </w:r>
          </w:p>
        </w:tc>
        <w:tc>
          <w:tcPr>
            <w:tcW w:w="1650" w:type="dxa"/>
            <w:shd w:val="clear" w:color="auto" w:fill="auto"/>
          </w:tcPr>
          <w:p w14:paraId="07B9B52D" w14:textId="77777777" w:rsidR="00193095" w:rsidRPr="004C3DFF" w:rsidRDefault="00193095" w:rsidP="00D45027">
            <w:pPr>
              <w:pStyle w:val="ColorfulShading-Accent31"/>
              <w:ind w:left="15"/>
              <w:rPr>
                <w:rFonts w:ascii="Arial" w:hAnsi="Arial" w:cs="Arial"/>
                <w:bCs/>
              </w:rPr>
            </w:pPr>
            <w:r>
              <w:rPr>
                <w:rFonts w:ascii="Arial" w:hAnsi="Arial" w:cs="Arial"/>
                <w:bCs/>
              </w:rPr>
              <w:t>0 MW</w:t>
            </w:r>
          </w:p>
        </w:tc>
        <w:tc>
          <w:tcPr>
            <w:tcW w:w="1650" w:type="dxa"/>
            <w:shd w:val="clear" w:color="auto" w:fill="auto"/>
          </w:tcPr>
          <w:p w14:paraId="7A682615" w14:textId="77777777" w:rsidR="00193095" w:rsidRPr="004C3DFF" w:rsidRDefault="00193095" w:rsidP="00D45027">
            <w:pPr>
              <w:pStyle w:val="ColorfulShading-Accent31"/>
              <w:ind w:left="15"/>
              <w:rPr>
                <w:rFonts w:ascii="Arial" w:hAnsi="Arial" w:cs="Arial"/>
                <w:bCs/>
              </w:rPr>
            </w:pPr>
            <w:r>
              <w:rPr>
                <w:rFonts w:ascii="Arial" w:hAnsi="Arial" w:cs="Arial"/>
                <w:bCs/>
              </w:rPr>
              <w:t>0%</w:t>
            </w:r>
          </w:p>
        </w:tc>
      </w:tr>
    </w:tbl>
    <w:p w14:paraId="2ED4EA21" w14:textId="77777777" w:rsidR="00193095" w:rsidRDefault="00193095" w:rsidP="00423AFB">
      <w:pPr>
        <w:pStyle w:val="ColorfulShading-Accent31"/>
        <w:ind w:left="360"/>
        <w:rPr>
          <w:rFonts w:ascii="Arial" w:hAnsi="Arial" w:cs="Arial"/>
          <w:bCs/>
        </w:rPr>
      </w:pPr>
    </w:p>
    <w:p w14:paraId="3926CF40" w14:textId="77777777" w:rsidR="000D5666" w:rsidRDefault="000D5666" w:rsidP="006D001A">
      <w:pPr>
        <w:rPr>
          <w:rFonts w:ascii="Arial" w:hAnsi="Arial" w:cs="Arial"/>
          <w:bCs/>
        </w:rPr>
      </w:pPr>
    </w:p>
    <w:p w14:paraId="20E9AD3C" w14:textId="77777777" w:rsidR="00423AFB" w:rsidRPr="006D001A" w:rsidRDefault="00423AFB" w:rsidP="006D001A">
      <w:pPr>
        <w:pStyle w:val="ColorfulShading-Accent31"/>
        <w:numPr>
          <w:ilvl w:val="0"/>
          <w:numId w:val="3"/>
        </w:numPr>
        <w:ind w:left="360"/>
        <w:rPr>
          <w:rFonts w:ascii="Arial" w:hAnsi="Arial" w:cs="Arial"/>
          <w:bCs/>
        </w:rPr>
      </w:pPr>
      <w:r>
        <w:rPr>
          <w:rFonts w:ascii="Arial" w:hAnsi="Arial" w:cs="Arial"/>
          <w:b/>
          <w:bCs/>
        </w:rPr>
        <w:t>NPRR draft should clarify how FFR would be prorated when offered supply exceeds the product volume limit for FFR or the RRS-Load and FFR offers exceed 50% of the total RRS procurement</w:t>
      </w:r>
      <w:r w:rsidRPr="00F367D2">
        <w:rPr>
          <w:rFonts w:ascii="Arial" w:hAnsi="Arial" w:cs="Arial"/>
          <w:b/>
          <w:bCs/>
        </w:rPr>
        <w:t>.</w:t>
      </w:r>
    </w:p>
    <w:p w14:paraId="3FA78840" w14:textId="77777777" w:rsidR="00423AFB" w:rsidRPr="00423AFB" w:rsidRDefault="00423AFB" w:rsidP="006D001A">
      <w:pPr>
        <w:rPr>
          <w:rFonts w:ascii="Arial" w:hAnsi="Arial" w:cs="Arial"/>
          <w:bCs/>
        </w:rPr>
      </w:pPr>
    </w:p>
    <w:p w14:paraId="75A4B7A2" w14:textId="7451DCDB" w:rsidR="00460547" w:rsidRDefault="00460547" w:rsidP="00460547">
      <w:pPr>
        <w:ind w:left="-1440"/>
        <w:rPr>
          <w:sz w:val="22"/>
          <w:szCs w:val="22"/>
        </w:rPr>
      </w:pPr>
      <w:r>
        <w:rPr>
          <w:sz w:val="22"/>
          <w:szCs w:val="22"/>
        </w:rPr>
        <w:br w:type="page"/>
      </w:r>
      <w:r>
        <w:rPr>
          <w:sz w:val="22"/>
          <w:szCs w:val="22"/>
        </w:rPr>
        <w:object w:dxaOrig="7183" w:dyaOrig="5399" w14:anchorId="3CD8B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45pt;height:458.9pt" o:ole="">
            <v:imagedata r:id="rId10" o:title=""/>
          </v:shape>
          <o:OLEObject Type="Embed" ProgID="PowerPoint.Slide.12" ShapeID="_x0000_i1025" DrawAspect="Content" ObjectID="_1570958198" r:id="rId11"/>
        </w:object>
      </w:r>
    </w:p>
    <w:p w14:paraId="552D0E4C" w14:textId="77777777" w:rsidR="00460547" w:rsidRDefault="00460547" w:rsidP="00460547">
      <w:pPr>
        <w:ind w:left="-1440"/>
        <w:rPr>
          <w:sz w:val="22"/>
          <w:szCs w:val="22"/>
        </w:rPr>
      </w:pPr>
      <w:r>
        <w:rPr>
          <w:sz w:val="22"/>
          <w:szCs w:val="22"/>
        </w:rPr>
        <w:object w:dxaOrig="7183" w:dyaOrig="5399" w14:anchorId="574A7DFC">
          <v:shape id="_x0000_i1026" type="#_x0000_t75" style="width:610.45pt;height:458.9pt" o:ole="">
            <v:imagedata r:id="rId12" o:title=""/>
          </v:shape>
          <o:OLEObject Type="Embed" ProgID="PowerPoint.Slide.12" ShapeID="_x0000_i1026" DrawAspect="Content" ObjectID="_1570958199" r:id="rId13"/>
        </w:object>
      </w:r>
    </w:p>
    <w:p w14:paraId="6828A2D4" w14:textId="0DB99649" w:rsidR="00460547" w:rsidRDefault="00460547" w:rsidP="00460547">
      <w:pPr>
        <w:ind w:left="-1440"/>
        <w:rPr>
          <w:sz w:val="22"/>
          <w:szCs w:val="22"/>
        </w:rPr>
      </w:pPr>
      <w:r>
        <w:rPr>
          <w:sz w:val="22"/>
          <w:szCs w:val="22"/>
        </w:rPr>
        <w:object w:dxaOrig="7183" w:dyaOrig="5399" w14:anchorId="1352A9C6">
          <v:shape id="_x0000_i1027" type="#_x0000_t75" style="width:610.45pt;height:458.9pt" o:ole="">
            <v:imagedata r:id="rId14" o:title=""/>
          </v:shape>
          <o:OLEObject Type="Embed" ProgID="PowerPoint.Slide.12" ShapeID="_x0000_i1027" DrawAspect="Content" ObjectID="_1570958200" r:id="rId15"/>
        </w:object>
      </w:r>
    </w:p>
    <w:p w14:paraId="43CFE3B1" w14:textId="77777777" w:rsidR="009D50BD" w:rsidRPr="00F367D2" w:rsidRDefault="009D50BD" w:rsidP="009D50BD">
      <w:pPr>
        <w:pStyle w:val="NormalArial"/>
        <w:rPr>
          <w:rFonts w:cs="Arial"/>
          <w:sz w:val="22"/>
          <w:szCs w:val="2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D50BD" w:rsidRPr="00F367D2" w14:paraId="6553BE8D" w14:textId="77777777" w:rsidTr="00C8599E">
        <w:trPr>
          <w:trHeight w:val="350"/>
        </w:trPr>
        <w:tc>
          <w:tcPr>
            <w:tcW w:w="10440" w:type="dxa"/>
            <w:tcBorders>
              <w:bottom w:val="single" w:sz="4" w:space="0" w:color="auto"/>
            </w:tcBorders>
            <w:shd w:val="clear" w:color="auto" w:fill="FFFFFF"/>
            <w:vAlign w:val="center"/>
          </w:tcPr>
          <w:p w14:paraId="195ECFB9" w14:textId="77777777" w:rsidR="009D50BD" w:rsidRPr="00F367D2" w:rsidRDefault="009D50BD" w:rsidP="00C8599E">
            <w:pPr>
              <w:pStyle w:val="Header"/>
              <w:jc w:val="center"/>
              <w:rPr>
                <w:sz w:val="22"/>
                <w:szCs w:val="22"/>
              </w:rPr>
            </w:pPr>
            <w:r w:rsidRPr="00F367D2">
              <w:rPr>
                <w:sz w:val="22"/>
                <w:szCs w:val="22"/>
              </w:rPr>
              <w:t>Revised Cover Page Language</w:t>
            </w:r>
          </w:p>
        </w:tc>
      </w:tr>
    </w:tbl>
    <w:p w14:paraId="58C218F6" w14:textId="77777777" w:rsidR="009D50BD" w:rsidRPr="00F367D2" w:rsidRDefault="009D50BD" w:rsidP="009D50BD">
      <w:pPr>
        <w:pStyle w:val="NormalArial"/>
        <w:spacing w:before="120" w:after="120"/>
        <w:rPr>
          <w:sz w:val="22"/>
          <w:szCs w:val="22"/>
        </w:rPr>
      </w:pPr>
      <w:r w:rsidRPr="00F367D2">
        <w:rPr>
          <w:sz w:val="22"/>
          <w:szCs w:val="22"/>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D50BD" w:rsidRPr="00F367D2" w14:paraId="459E258F" w14:textId="77777777" w:rsidTr="00C8599E">
        <w:trPr>
          <w:trHeight w:val="350"/>
        </w:trPr>
        <w:tc>
          <w:tcPr>
            <w:tcW w:w="10440" w:type="dxa"/>
            <w:tcBorders>
              <w:bottom w:val="single" w:sz="4" w:space="0" w:color="auto"/>
            </w:tcBorders>
            <w:shd w:val="clear" w:color="auto" w:fill="FFFFFF"/>
            <w:vAlign w:val="center"/>
          </w:tcPr>
          <w:p w14:paraId="29448B3B" w14:textId="77777777" w:rsidR="009D50BD" w:rsidRPr="00F367D2" w:rsidRDefault="009D50BD" w:rsidP="00C8599E">
            <w:pPr>
              <w:pStyle w:val="Header"/>
              <w:jc w:val="center"/>
              <w:rPr>
                <w:sz w:val="22"/>
                <w:szCs w:val="22"/>
              </w:rPr>
            </w:pPr>
            <w:r w:rsidRPr="00F367D2">
              <w:rPr>
                <w:sz w:val="22"/>
                <w:szCs w:val="22"/>
              </w:rPr>
              <w:t>Revised Proposed Protocol Language</w:t>
            </w:r>
          </w:p>
        </w:tc>
      </w:tr>
    </w:tbl>
    <w:p w14:paraId="5F13B198" w14:textId="77777777" w:rsidR="009D50BD" w:rsidRDefault="009D50BD" w:rsidP="009D50BD">
      <w:pPr>
        <w:pStyle w:val="NormalArial"/>
        <w:spacing w:before="120" w:after="120"/>
        <w:rPr>
          <w:sz w:val="22"/>
          <w:szCs w:val="22"/>
        </w:rPr>
      </w:pPr>
      <w:r w:rsidRPr="00F367D2">
        <w:rPr>
          <w:sz w:val="22"/>
          <w:szCs w:val="22"/>
        </w:rPr>
        <w:t>None</w:t>
      </w:r>
    </w:p>
    <w:p w14:paraId="581340AB" w14:textId="77777777" w:rsidR="00460547" w:rsidRPr="00D41EA6" w:rsidRDefault="00460547">
      <w:pPr>
        <w:rPr>
          <w:sz w:val="22"/>
          <w:szCs w:val="22"/>
        </w:rPr>
      </w:pPr>
    </w:p>
    <w:p w14:paraId="270099B4" w14:textId="104D99A2" w:rsidR="00460547" w:rsidRDefault="00460547" w:rsidP="00D41EA6"/>
    <w:p w14:paraId="326BAFDA" w14:textId="77777777" w:rsidR="00460547" w:rsidRDefault="00460547" w:rsidP="00B113BE">
      <w:pPr>
        <w:pStyle w:val="NormalArial"/>
        <w:spacing w:before="120" w:after="120"/>
        <w:rPr>
          <w:sz w:val="22"/>
          <w:szCs w:val="22"/>
        </w:rPr>
      </w:pPr>
    </w:p>
    <w:p w14:paraId="68461470" w14:textId="08375171" w:rsidR="00460547" w:rsidRPr="00F367D2" w:rsidRDefault="00460547" w:rsidP="00460547">
      <w:pPr>
        <w:pStyle w:val="NormalArial"/>
        <w:spacing w:before="120" w:after="120"/>
        <w:ind w:left="-1440"/>
        <w:rPr>
          <w:sz w:val="22"/>
          <w:szCs w:val="22"/>
        </w:rPr>
      </w:pPr>
    </w:p>
    <w:sectPr w:rsidR="00460547" w:rsidRPr="00F367D2" w:rsidSect="00F367D2">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BA526" w14:textId="77777777" w:rsidR="001C291D" w:rsidRDefault="001C291D">
      <w:r>
        <w:separator/>
      </w:r>
    </w:p>
  </w:endnote>
  <w:endnote w:type="continuationSeparator" w:id="0">
    <w:p w14:paraId="5634B5AC" w14:textId="77777777" w:rsidR="001C291D" w:rsidRDefault="001C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332F" w14:textId="3506A373" w:rsidR="006F60D4" w:rsidRDefault="006F60D4" w:rsidP="006F60D4">
    <w:pPr>
      <w:pStyle w:val="Footer"/>
      <w:tabs>
        <w:tab w:val="clear" w:pos="4320"/>
        <w:tab w:val="clear" w:pos="8640"/>
        <w:tab w:val="right" w:pos="9360"/>
      </w:tabs>
      <w:rPr>
        <w:rFonts w:ascii="Arial" w:hAnsi="Arial" w:cs="Arial"/>
        <w:sz w:val="18"/>
      </w:rPr>
    </w:pPr>
    <w:r>
      <w:rPr>
        <w:rFonts w:ascii="Arial" w:hAnsi="Arial" w:cs="Arial"/>
        <w:sz w:val="18"/>
      </w:rPr>
      <w:t>828NPRR-13 Apex Comments 103117</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4357F">
      <w:rPr>
        <w:rFonts w:ascii="Arial" w:hAnsi="Arial" w:cs="Arial"/>
        <w:noProof/>
        <w:sz w:val="18"/>
      </w:rPr>
      <w:t>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4357F">
      <w:rPr>
        <w:rFonts w:ascii="Arial" w:hAnsi="Arial" w:cs="Arial"/>
        <w:noProof/>
        <w:sz w:val="18"/>
      </w:rPr>
      <w:t>7</w:t>
    </w:r>
    <w:r w:rsidRPr="00412DCA">
      <w:rPr>
        <w:rFonts w:ascii="Arial" w:hAnsi="Arial" w:cs="Arial"/>
        <w:sz w:val="18"/>
      </w:rPr>
      <w:fldChar w:fldCharType="end"/>
    </w:r>
  </w:p>
  <w:p w14:paraId="35F28FFD" w14:textId="1DCEDFCC" w:rsidR="00D45027" w:rsidRPr="006F60D4" w:rsidRDefault="006F60D4" w:rsidP="006F60D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3F8F5" w14:textId="77777777" w:rsidR="001C291D" w:rsidRDefault="001C291D">
      <w:r>
        <w:separator/>
      </w:r>
    </w:p>
  </w:footnote>
  <w:footnote w:type="continuationSeparator" w:id="0">
    <w:p w14:paraId="6DDF0FBB" w14:textId="77777777" w:rsidR="001C291D" w:rsidRDefault="001C291D">
      <w:r>
        <w:continuationSeparator/>
      </w:r>
    </w:p>
  </w:footnote>
  <w:footnote w:id="1">
    <w:p w14:paraId="1348C3D4" w14:textId="77777777" w:rsidR="00D45027" w:rsidRPr="00E81DB3" w:rsidRDefault="00D45027" w:rsidP="00E81DB3">
      <w:pPr>
        <w:pStyle w:val="FootnoteText"/>
        <w:ind w:left="180" w:hanging="180"/>
        <w:rPr>
          <w:rFonts w:ascii="Arial" w:hAnsi="Arial" w:cs="Arial"/>
          <w:sz w:val="20"/>
        </w:rPr>
      </w:pPr>
      <w:r w:rsidRPr="00E81DB3">
        <w:rPr>
          <w:rStyle w:val="FootnoteReference"/>
          <w:rFonts w:ascii="Arial" w:hAnsi="Arial" w:cs="Arial"/>
        </w:rPr>
        <w:footnoteRef/>
      </w:r>
      <w:r w:rsidRPr="00E81DB3">
        <w:rPr>
          <w:rFonts w:ascii="Arial" w:hAnsi="Arial" w:cs="Arial"/>
        </w:rPr>
        <w:t xml:space="preserve"> </w:t>
      </w:r>
      <w:r w:rsidRPr="00E81DB3">
        <w:rPr>
          <w:rFonts w:ascii="Arial" w:hAnsi="Arial" w:cs="Arial"/>
          <w:sz w:val="20"/>
        </w:rPr>
        <w:t>PFR up deployment = [(Hz</w:t>
      </w:r>
      <w:r w:rsidRPr="00E81DB3">
        <w:rPr>
          <w:rFonts w:ascii="Arial" w:hAnsi="Arial" w:cs="Arial"/>
          <w:sz w:val="20"/>
          <w:vertAlign w:val="subscript"/>
        </w:rPr>
        <w:t>actual</w:t>
      </w:r>
      <w:r w:rsidRPr="00E81DB3">
        <w:rPr>
          <w:rFonts w:ascii="Arial" w:hAnsi="Arial" w:cs="Arial"/>
          <w:sz w:val="20"/>
        </w:rPr>
        <w:t xml:space="preserve"> – 60.0 </w:t>
      </w:r>
      <w:r>
        <w:rPr>
          <w:rFonts w:ascii="Arial" w:hAnsi="Arial" w:cs="Arial"/>
          <w:sz w:val="20"/>
        </w:rPr>
        <w:t>– 0.017)/(60.0 * Droop – 0.017</w:t>
      </w:r>
      <w:r w:rsidRPr="00E81DB3">
        <w:rPr>
          <w:rFonts w:ascii="Arial" w:hAnsi="Arial" w:cs="Arial"/>
          <w:sz w:val="20"/>
        </w:rPr>
        <w:t>)] * NDC * -1; where Droop = 0.05 (for most generator types), NDC = Name plate capacity of unit</w:t>
      </w:r>
    </w:p>
  </w:footnote>
  <w:footnote w:id="2">
    <w:p w14:paraId="698D4E24" w14:textId="77777777" w:rsidR="00D45027" w:rsidRDefault="00D45027" w:rsidP="00423AFB">
      <w:pPr>
        <w:pStyle w:val="FootnoteText"/>
        <w:ind w:left="180" w:hanging="180"/>
      </w:pPr>
      <w:r w:rsidRPr="00E81DB3">
        <w:rPr>
          <w:rStyle w:val="FootnoteReference"/>
          <w:rFonts w:ascii="Arial" w:hAnsi="Arial" w:cs="Arial"/>
        </w:rPr>
        <w:footnoteRef/>
      </w:r>
      <w:r w:rsidRPr="00E81DB3">
        <w:rPr>
          <w:rFonts w:ascii="Arial" w:hAnsi="Arial" w:cs="Arial"/>
        </w:rPr>
        <w:t xml:space="preserve"> </w:t>
      </w:r>
      <w:r w:rsidRPr="00E81DB3">
        <w:rPr>
          <w:rFonts w:ascii="Arial" w:hAnsi="Arial" w:cs="Arial"/>
          <w:sz w:val="20"/>
        </w:rPr>
        <w:t>PFR down deployment = [(Hz</w:t>
      </w:r>
      <w:r w:rsidRPr="00E81DB3">
        <w:rPr>
          <w:rFonts w:ascii="Arial" w:hAnsi="Arial" w:cs="Arial"/>
          <w:sz w:val="20"/>
          <w:vertAlign w:val="subscript"/>
        </w:rPr>
        <w:t>actual</w:t>
      </w:r>
      <w:r w:rsidRPr="00E81DB3">
        <w:rPr>
          <w:rFonts w:ascii="Arial" w:hAnsi="Arial" w:cs="Arial"/>
          <w:sz w:val="20"/>
        </w:rPr>
        <w:t xml:space="preserve"> – 60.0 + </w:t>
      </w:r>
      <w:r>
        <w:rPr>
          <w:rFonts w:ascii="Arial" w:hAnsi="Arial" w:cs="Arial"/>
          <w:sz w:val="20"/>
        </w:rPr>
        <w:t>0.017</w:t>
      </w:r>
      <w:r w:rsidRPr="00E81DB3">
        <w:rPr>
          <w:rFonts w:ascii="Arial" w:hAnsi="Arial" w:cs="Arial"/>
          <w:sz w:val="20"/>
        </w:rPr>
        <w:t xml:space="preserve">)/(60.0 * Droop – </w:t>
      </w:r>
      <w:r>
        <w:rPr>
          <w:rFonts w:ascii="Arial" w:hAnsi="Arial" w:cs="Arial"/>
          <w:sz w:val="20"/>
        </w:rPr>
        <w:t>0.017</w:t>
      </w:r>
      <w:r w:rsidRPr="00E81DB3">
        <w:rPr>
          <w:rFonts w:ascii="Arial" w:hAnsi="Arial" w:cs="Arial"/>
          <w:sz w:val="20"/>
        </w:rPr>
        <w:t>)] * NDC * -1</w:t>
      </w:r>
    </w:p>
  </w:footnote>
  <w:footnote w:id="3">
    <w:p w14:paraId="6CFBA8C5" w14:textId="77777777" w:rsidR="00D45027" w:rsidRPr="00131900" w:rsidRDefault="00D45027" w:rsidP="00193095">
      <w:pPr>
        <w:pStyle w:val="FootnoteText"/>
        <w:rPr>
          <w:rFonts w:ascii="Arial" w:hAnsi="Arial" w:cs="Arial"/>
          <w:sz w:val="20"/>
          <w:szCs w:val="20"/>
        </w:rPr>
      </w:pPr>
      <w:r w:rsidRPr="00131900">
        <w:rPr>
          <w:rStyle w:val="FootnoteReference"/>
          <w:rFonts w:ascii="Arial" w:hAnsi="Arial" w:cs="Arial"/>
          <w:sz w:val="20"/>
          <w:szCs w:val="20"/>
        </w:rPr>
        <w:footnoteRef/>
      </w:r>
      <w:r w:rsidRPr="00131900">
        <w:rPr>
          <w:rFonts w:ascii="Arial" w:hAnsi="Arial" w:cs="Arial"/>
          <w:sz w:val="20"/>
          <w:szCs w:val="20"/>
        </w:rPr>
        <w:t xml:space="preserve"> Down deployment analysis assumes that FFR, RRS-gen, and online conventional resources have sufficient output above Low Sustained Load to accommodate the down deployment.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FE336" w14:textId="4ADAD475" w:rsidR="00D45027" w:rsidRPr="006F60D4" w:rsidRDefault="00D45027" w:rsidP="006F60D4">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4100840"/>
    <w:multiLevelType w:val="hybridMultilevel"/>
    <w:tmpl w:val="1AA6D0B6"/>
    <w:lvl w:ilvl="0" w:tplc="89E21C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16765"/>
    <w:multiLevelType w:val="hybridMultilevel"/>
    <w:tmpl w:val="ABF6A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59E5"/>
    <w:multiLevelType w:val="hybridMultilevel"/>
    <w:tmpl w:val="EC9813E0"/>
    <w:lvl w:ilvl="0" w:tplc="F69416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E11133F"/>
    <w:multiLevelType w:val="hybridMultilevel"/>
    <w:tmpl w:val="210E7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455E7"/>
    <w:rsid w:val="00075A94"/>
    <w:rsid w:val="000D4E17"/>
    <w:rsid w:val="000D5666"/>
    <w:rsid w:val="000E1535"/>
    <w:rsid w:val="00113EA1"/>
    <w:rsid w:val="00126960"/>
    <w:rsid w:val="00131900"/>
    <w:rsid w:val="00132855"/>
    <w:rsid w:val="00152993"/>
    <w:rsid w:val="00163434"/>
    <w:rsid w:val="00170297"/>
    <w:rsid w:val="00193095"/>
    <w:rsid w:val="001A227D"/>
    <w:rsid w:val="001A7BB6"/>
    <w:rsid w:val="001C291D"/>
    <w:rsid w:val="001D6313"/>
    <w:rsid w:val="001E2032"/>
    <w:rsid w:val="001E6D4B"/>
    <w:rsid w:val="0022731F"/>
    <w:rsid w:val="00242A1E"/>
    <w:rsid w:val="002767A5"/>
    <w:rsid w:val="00284198"/>
    <w:rsid w:val="002D5EB1"/>
    <w:rsid w:val="002D67B4"/>
    <w:rsid w:val="00300CB2"/>
    <w:rsid w:val="003010C0"/>
    <w:rsid w:val="003314DD"/>
    <w:rsid w:val="00332A97"/>
    <w:rsid w:val="00350C00"/>
    <w:rsid w:val="00361A2F"/>
    <w:rsid w:val="00366113"/>
    <w:rsid w:val="003C270C"/>
    <w:rsid w:val="003C6237"/>
    <w:rsid w:val="003D0994"/>
    <w:rsid w:val="003F514C"/>
    <w:rsid w:val="003F7545"/>
    <w:rsid w:val="00404DED"/>
    <w:rsid w:val="00406F6B"/>
    <w:rsid w:val="00423824"/>
    <w:rsid w:val="00423AFB"/>
    <w:rsid w:val="004269EE"/>
    <w:rsid w:val="00426FE8"/>
    <w:rsid w:val="0043567D"/>
    <w:rsid w:val="00443CED"/>
    <w:rsid w:val="00453018"/>
    <w:rsid w:val="00460547"/>
    <w:rsid w:val="00477F98"/>
    <w:rsid w:val="004A26A7"/>
    <w:rsid w:val="004B7B90"/>
    <w:rsid w:val="004C3DFF"/>
    <w:rsid w:val="004C474B"/>
    <w:rsid w:val="004E2C19"/>
    <w:rsid w:val="00501A76"/>
    <w:rsid w:val="005108EC"/>
    <w:rsid w:val="00541904"/>
    <w:rsid w:val="00560CE5"/>
    <w:rsid w:val="00561597"/>
    <w:rsid w:val="00586119"/>
    <w:rsid w:val="0059652E"/>
    <w:rsid w:val="005D284C"/>
    <w:rsid w:val="005D70E6"/>
    <w:rsid w:val="005F43CC"/>
    <w:rsid w:val="00604512"/>
    <w:rsid w:val="00615E23"/>
    <w:rsid w:val="006173DF"/>
    <w:rsid w:val="0062416B"/>
    <w:rsid w:val="00633E23"/>
    <w:rsid w:val="00657CD8"/>
    <w:rsid w:val="00673B94"/>
    <w:rsid w:val="00680AC6"/>
    <w:rsid w:val="006835D8"/>
    <w:rsid w:val="006A0C9E"/>
    <w:rsid w:val="006B431D"/>
    <w:rsid w:val="006C316E"/>
    <w:rsid w:val="006C68C4"/>
    <w:rsid w:val="006D001A"/>
    <w:rsid w:val="006D0F7C"/>
    <w:rsid w:val="006F0CED"/>
    <w:rsid w:val="006F5ECF"/>
    <w:rsid w:val="006F60D4"/>
    <w:rsid w:val="006F7515"/>
    <w:rsid w:val="006F7D99"/>
    <w:rsid w:val="007122A9"/>
    <w:rsid w:val="007269C4"/>
    <w:rsid w:val="00740E6B"/>
    <w:rsid w:val="0074209E"/>
    <w:rsid w:val="007529F8"/>
    <w:rsid w:val="00775E89"/>
    <w:rsid w:val="00776DC1"/>
    <w:rsid w:val="007947F2"/>
    <w:rsid w:val="0079481D"/>
    <w:rsid w:val="00795E66"/>
    <w:rsid w:val="007A17E1"/>
    <w:rsid w:val="007B343A"/>
    <w:rsid w:val="007F2CA8"/>
    <w:rsid w:val="007F43A9"/>
    <w:rsid w:val="007F517A"/>
    <w:rsid w:val="007F7161"/>
    <w:rsid w:val="00805B04"/>
    <w:rsid w:val="008135CB"/>
    <w:rsid w:val="008270C3"/>
    <w:rsid w:val="008277F4"/>
    <w:rsid w:val="008304BB"/>
    <w:rsid w:val="0085559E"/>
    <w:rsid w:val="00857E82"/>
    <w:rsid w:val="00896B1B"/>
    <w:rsid w:val="008B1D7C"/>
    <w:rsid w:val="008D059F"/>
    <w:rsid w:val="008E559E"/>
    <w:rsid w:val="00911BDD"/>
    <w:rsid w:val="00916080"/>
    <w:rsid w:val="00921A68"/>
    <w:rsid w:val="00927F9A"/>
    <w:rsid w:val="00931FA5"/>
    <w:rsid w:val="00945A71"/>
    <w:rsid w:val="00974EE0"/>
    <w:rsid w:val="00981238"/>
    <w:rsid w:val="00982505"/>
    <w:rsid w:val="009905E6"/>
    <w:rsid w:val="009B4F2D"/>
    <w:rsid w:val="009B5D17"/>
    <w:rsid w:val="009D50BD"/>
    <w:rsid w:val="009E3E59"/>
    <w:rsid w:val="009F726C"/>
    <w:rsid w:val="00A015C4"/>
    <w:rsid w:val="00A057EC"/>
    <w:rsid w:val="00A06808"/>
    <w:rsid w:val="00A15172"/>
    <w:rsid w:val="00A15E87"/>
    <w:rsid w:val="00A30295"/>
    <w:rsid w:val="00A370B3"/>
    <w:rsid w:val="00A41A5C"/>
    <w:rsid w:val="00A467E2"/>
    <w:rsid w:val="00A51F6E"/>
    <w:rsid w:val="00A65EF5"/>
    <w:rsid w:val="00A84B35"/>
    <w:rsid w:val="00AA02CE"/>
    <w:rsid w:val="00AA05E6"/>
    <w:rsid w:val="00AD3EC6"/>
    <w:rsid w:val="00AE2A01"/>
    <w:rsid w:val="00AF0595"/>
    <w:rsid w:val="00AF5A37"/>
    <w:rsid w:val="00B113BE"/>
    <w:rsid w:val="00B5080A"/>
    <w:rsid w:val="00B81058"/>
    <w:rsid w:val="00B943AE"/>
    <w:rsid w:val="00BA338E"/>
    <w:rsid w:val="00BA46DD"/>
    <w:rsid w:val="00BB6439"/>
    <w:rsid w:val="00BC164E"/>
    <w:rsid w:val="00BD7258"/>
    <w:rsid w:val="00BE3C56"/>
    <w:rsid w:val="00BF1A91"/>
    <w:rsid w:val="00C0598D"/>
    <w:rsid w:val="00C11956"/>
    <w:rsid w:val="00C44B6D"/>
    <w:rsid w:val="00C53A8C"/>
    <w:rsid w:val="00C56A7A"/>
    <w:rsid w:val="00C56F07"/>
    <w:rsid w:val="00C602E5"/>
    <w:rsid w:val="00C748FD"/>
    <w:rsid w:val="00C76A02"/>
    <w:rsid w:val="00CA1AB2"/>
    <w:rsid w:val="00CA1B36"/>
    <w:rsid w:val="00CA4A06"/>
    <w:rsid w:val="00CD7666"/>
    <w:rsid w:val="00CF432D"/>
    <w:rsid w:val="00D01D02"/>
    <w:rsid w:val="00D01E4B"/>
    <w:rsid w:val="00D038BD"/>
    <w:rsid w:val="00D14504"/>
    <w:rsid w:val="00D14E70"/>
    <w:rsid w:val="00D22947"/>
    <w:rsid w:val="00D4046E"/>
    <w:rsid w:val="00D41EA6"/>
    <w:rsid w:val="00D4362F"/>
    <w:rsid w:val="00D45027"/>
    <w:rsid w:val="00D5653F"/>
    <w:rsid w:val="00D6474E"/>
    <w:rsid w:val="00DA4B84"/>
    <w:rsid w:val="00DB0B5B"/>
    <w:rsid w:val="00DD4739"/>
    <w:rsid w:val="00DE5F33"/>
    <w:rsid w:val="00E07B54"/>
    <w:rsid w:val="00E07F31"/>
    <w:rsid w:val="00E1021E"/>
    <w:rsid w:val="00E11F78"/>
    <w:rsid w:val="00E211F9"/>
    <w:rsid w:val="00E4357F"/>
    <w:rsid w:val="00E52A1E"/>
    <w:rsid w:val="00E53AAB"/>
    <w:rsid w:val="00E621E1"/>
    <w:rsid w:val="00E71BA3"/>
    <w:rsid w:val="00E81DB3"/>
    <w:rsid w:val="00EA18CA"/>
    <w:rsid w:val="00EA2057"/>
    <w:rsid w:val="00EA7422"/>
    <w:rsid w:val="00EC17E5"/>
    <w:rsid w:val="00EC2059"/>
    <w:rsid w:val="00EC55B3"/>
    <w:rsid w:val="00EC55EA"/>
    <w:rsid w:val="00EC5B08"/>
    <w:rsid w:val="00EE5C57"/>
    <w:rsid w:val="00EE6681"/>
    <w:rsid w:val="00EE76AD"/>
    <w:rsid w:val="00F06C5C"/>
    <w:rsid w:val="00F10F79"/>
    <w:rsid w:val="00F1639E"/>
    <w:rsid w:val="00F367D2"/>
    <w:rsid w:val="00F4433E"/>
    <w:rsid w:val="00F6071D"/>
    <w:rsid w:val="00F90BA6"/>
    <w:rsid w:val="00F96FB2"/>
    <w:rsid w:val="00FA2B59"/>
    <w:rsid w:val="00FA3303"/>
    <w:rsid w:val="00FB51D8"/>
    <w:rsid w:val="00FC5A27"/>
    <w:rsid w:val="00FD08E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21A1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uiPriority="7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locked/>
    <w:rsid w:val="007F43A9"/>
    <w:rPr>
      <w:rFonts w:ascii="Arial" w:hAnsi="Arial"/>
      <w:b/>
      <w:bCs/>
      <w:sz w:val="24"/>
      <w:szCs w:val="24"/>
    </w:rPr>
  </w:style>
  <w:style w:type="paragraph" w:customStyle="1" w:styleId="ColorfulShading-Accent31">
    <w:name w:val="Colorful Shading - Accent 31"/>
    <w:basedOn w:val="Normal"/>
    <w:uiPriority w:val="34"/>
    <w:qFormat/>
    <w:rsid w:val="00453018"/>
    <w:pPr>
      <w:ind w:left="720"/>
    </w:pPr>
    <w:rPr>
      <w:rFonts w:ascii="Calibri" w:eastAsia="Calibri" w:hAnsi="Calibri" w:cs="Calibri"/>
      <w:sz w:val="22"/>
      <w:szCs w:val="22"/>
    </w:rPr>
  </w:style>
  <w:style w:type="paragraph" w:customStyle="1" w:styleId="LightGrid-Accent31">
    <w:name w:val="Light Grid - Accent 31"/>
    <w:basedOn w:val="Normal"/>
    <w:uiPriority w:val="72"/>
    <w:qFormat/>
    <w:rsid w:val="00E52A1E"/>
    <w:pPr>
      <w:ind w:left="720"/>
    </w:pPr>
  </w:style>
  <w:style w:type="paragraph" w:styleId="FootnoteText">
    <w:name w:val="footnote text"/>
    <w:basedOn w:val="Normal"/>
    <w:link w:val="FootnoteTextChar"/>
    <w:rsid w:val="00EC2059"/>
  </w:style>
  <w:style w:type="character" w:customStyle="1" w:styleId="FootnoteTextChar">
    <w:name w:val="Footnote Text Char"/>
    <w:link w:val="FootnoteText"/>
    <w:rsid w:val="00EC2059"/>
    <w:rPr>
      <w:sz w:val="24"/>
      <w:szCs w:val="24"/>
    </w:rPr>
  </w:style>
  <w:style w:type="character" w:styleId="FootnoteReference">
    <w:name w:val="footnote reference"/>
    <w:rsid w:val="00EC2059"/>
    <w:rPr>
      <w:vertAlign w:val="superscript"/>
    </w:rPr>
  </w:style>
  <w:style w:type="paragraph" w:customStyle="1" w:styleId="ColorfulShading-Accent11">
    <w:name w:val="Colorful Shading - Accent 11"/>
    <w:hidden/>
    <w:uiPriority w:val="99"/>
    <w:unhideWhenUsed/>
    <w:rsid w:val="00EE76AD"/>
    <w:rPr>
      <w:sz w:val="24"/>
      <w:szCs w:val="24"/>
    </w:rPr>
  </w:style>
  <w:style w:type="character" w:customStyle="1" w:styleId="FooterChar">
    <w:name w:val="Footer Char"/>
    <w:link w:val="Footer"/>
    <w:locked/>
    <w:rsid w:val="006F60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28" TargetMode="External"/><Relationship Id="rId13" Type="http://schemas.openxmlformats.org/officeDocument/2006/relationships/package" Target="embeddings/Microsoft_PowerPoint_Slide2.sl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5" Type="http://schemas.openxmlformats.org/officeDocument/2006/relationships/package" Target="embeddings/Microsoft_PowerPoint_Slide3.sldx"/><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ck.farley@apexcaes.co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F0A07D-AFA9-43F6-862C-F4979B56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1265</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8473</CharactersWithSpaces>
  <SharedDoc>false</SharedDoc>
  <HLinks>
    <vt:vector size="6" baseType="variant">
      <vt:variant>
        <vt:i4>1572933</vt:i4>
      </vt:variant>
      <vt:variant>
        <vt:i4>0</vt:i4>
      </vt:variant>
      <vt:variant>
        <vt:i4>0</vt:i4>
      </vt:variant>
      <vt:variant>
        <vt:i4>5</vt:i4>
      </vt:variant>
      <vt:variant>
        <vt:lpwstr>http://www.ercot.com/mktrules/issues/nprr828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C Phillips</cp:lastModifiedBy>
  <cp:revision>4</cp:revision>
  <cp:lastPrinted>2017-10-27T20:23:00Z</cp:lastPrinted>
  <dcterms:created xsi:type="dcterms:W3CDTF">2017-10-31T17:18:00Z</dcterms:created>
  <dcterms:modified xsi:type="dcterms:W3CDTF">2017-10-31T17:30:00Z</dcterms:modified>
</cp:coreProperties>
</file>