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4FCCB" w14:textId="77777777" w:rsidR="003C6134" w:rsidRDefault="003C6134"/>
    <w:p w14:paraId="0F14FCCC" w14:textId="77777777" w:rsidR="00280ACB" w:rsidRDefault="00280ACB"/>
    <w:p w14:paraId="0F14FCCD" w14:textId="77777777" w:rsidR="00C55222" w:rsidRDefault="00C55222" w:rsidP="00C55222">
      <w:pPr>
        <w:jc w:val="center"/>
      </w:pPr>
    </w:p>
    <w:p w14:paraId="0F14FCCE" w14:textId="77777777" w:rsidR="00C55222" w:rsidRDefault="00C55222" w:rsidP="00C55222"/>
    <w:p w14:paraId="0F14FCCF" w14:textId="77777777" w:rsidR="00C55222" w:rsidRDefault="00C55222" w:rsidP="00C55222">
      <w:pPr>
        <w:jc w:val="center"/>
      </w:pPr>
    </w:p>
    <w:p w14:paraId="0F14FCD0" w14:textId="77777777" w:rsidR="00C55222" w:rsidRPr="00C55222" w:rsidRDefault="00C55222" w:rsidP="00C552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Generator </w:t>
      </w:r>
      <w:r w:rsidRPr="00C55222">
        <w:rPr>
          <w:b/>
          <w:sz w:val="40"/>
          <w:szCs w:val="40"/>
        </w:rPr>
        <w:t xml:space="preserve">Model Verification </w:t>
      </w:r>
    </w:p>
    <w:p w14:paraId="0F14FCD1" w14:textId="77777777" w:rsidR="00C55222" w:rsidRPr="00C55222" w:rsidRDefault="00C55222" w:rsidP="00C55222">
      <w:pPr>
        <w:jc w:val="center"/>
        <w:rPr>
          <w:b/>
          <w:sz w:val="40"/>
          <w:szCs w:val="40"/>
        </w:rPr>
      </w:pPr>
      <w:proofErr w:type="gramStart"/>
      <w:r w:rsidRPr="00C55222">
        <w:rPr>
          <w:b/>
          <w:sz w:val="40"/>
          <w:szCs w:val="40"/>
        </w:rPr>
        <w:t>for</w:t>
      </w:r>
      <w:proofErr w:type="gramEnd"/>
    </w:p>
    <w:p w14:paraId="0F14FCD2" w14:textId="569A28B9" w:rsidR="00C55222" w:rsidRPr="00C55222" w:rsidRDefault="00533051" w:rsidP="00C552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ABC Generator</w:t>
      </w:r>
      <w:r w:rsidR="006E52C5">
        <w:rPr>
          <w:b/>
          <w:sz w:val="40"/>
          <w:szCs w:val="40"/>
        </w:rPr>
        <w:t xml:space="preserve"> 1, 2, &amp; 3</w:t>
      </w:r>
    </w:p>
    <w:p w14:paraId="0F14FCD3" w14:textId="77777777" w:rsidR="00C55222" w:rsidRPr="00C55222" w:rsidRDefault="00C55222" w:rsidP="00C55222">
      <w:pPr>
        <w:jc w:val="center"/>
        <w:rPr>
          <w:b/>
        </w:rPr>
      </w:pPr>
      <w:r w:rsidRPr="00C55222">
        <w:rPr>
          <w:b/>
          <w:sz w:val="28"/>
          <w:szCs w:val="28"/>
        </w:rPr>
        <w:t>NERC MOD-026-1 and MOD-027-1</w:t>
      </w:r>
    </w:p>
    <w:p w14:paraId="0F14FCD4" w14:textId="77777777" w:rsidR="00C55222" w:rsidRDefault="00C55222" w:rsidP="00C55222">
      <w:pPr>
        <w:jc w:val="center"/>
      </w:pPr>
    </w:p>
    <w:p w14:paraId="0F14FCD5" w14:textId="77777777" w:rsidR="00C55222" w:rsidRDefault="00C55222" w:rsidP="00C55222">
      <w:pPr>
        <w:jc w:val="center"/>
      </w:pPr>
    </w:p>
    <w:p w14:paraId="0F14FCD6" w14:textId="77777777" w:rsidR="00C55222" w:rsidRDefault="00C55222" w:rsidP="00C55222">
      <w:pPr>
        <w:jc w:val="center"/>
      </w:pPr>
    </w:p>
    <w:p w14:paraId="0F14FCD7" w14:textId="77777777" w:rsidR="00C55222" w:rsidRDefault="00C55222" w:rsidP="00C55222">
      <w:pPr>
        <w:jc w:val="center"/>
      </w:pPr>
    </w:p>
    <w:p w14:paraId="0F14FCD8" w14:textId="77777777" w:rsidR="00C55222" w:rsidRDefault="00C55222" w:rsidP="00C55222">
      <w:pPr>
        <w:jc w:val="center"/>
      </w:pPr>
    </w:p>
    <w:p w14:paraId="0F14FCD9" w14:textId="77777777" w:rsidR="00C55222" w:rsidRDefault="00C55222" w:rsidP="00C55222">
      <w:pPr>
        <w:jc w:val="center"/>
      </w:pPr>
    </w:p>
    <w:p w14:paraId="0F14FCDA" w14:textId="77777777" w:rsidR="00C55222" w:rsidRDefault="00C55222" w:rsidP="00C55222">
      <w:pPr>
        <w:jc w:val="center"/>
      </w:pPr>
    </w:p>
    <w:p w14:paraId="0F14FCDB" w14:textId="77777777" w:rsidR="00C55222" w:rsidRDefault="00C55222" w:rsidP="00C55222">
      <w:pPr>
        <w:jc w:val="center"/>
      </w:pPr>
    </w:p>
    <w:p w14:paraId="0F14FCDC" w14:textId="77777777" w:rsidR="00C55222" w:rsidRDefault="00C55222" w:rsidP="00C55222">
      <w:pPr>
        <w:jc w:val="center"/>
      </w:pPr>
    </w:p>
    <w:p w14:paraId="0F14FCDD" w14:textId="77777777" w:rsidR="00C55222" w:rsidRDefault="00C55222" w:rsidP="00C55222">
      <w:pPr>
        <w:jc w:val="center"/>
      </w:pPr>
    </w:p>
    <w:p w14:paraId="0F14FCDE" w14:textId="77777777" w:rsidR="00C55222" w:rsidRDefault="00C55222" w:rsidP="00C55222">
      <w:pPr>
        <w:jc w:val="center"/>
      </w:pPr>
    </w:p>
    <w:p w14:paraId="0F14FCDF" w14:textId="56159EED" w:rsidR="00C55222" w:rsidRPr="000D043C" w:rsidRDefault="000D043C" w:rsidP="000D043C">
      <w:pPr>
        <w:jc w:val="center"/>
        <w:rPr>
          <w:sz w:val="28"/>
          <w:szCs w:val="28"/>
        </w:rPr>
      </w:pPr>
      <w:r w:rsidRPr="000D043C">
        <w:rPr>
          <w:b/>
          <w:sz w:val="28"/>
          <w:szCs w:val="28"/>
        </w:rPr>
        <w:t>Cole Dietert, P.E.</w:t>
      </w:r>
    </w:p>
    <w:p w14:paraId="0F14FCE0" w14:textId="77777777" w:rsidR="00C55222" w:rsidRPr="00C55222" w:rsidRDefault="00C55222" w:rsidP="00C55222">
      <w:pPr>
        <w:jc w:val="center"/>
        <w:rPr>
          <w:b/>
          <w:sz w:val="28"/>
          <w:szCs w:val="28"/>
        </w:rPr>
      </w:pPr>
      <w:r w:rsidRPr="00C55222">
        <w:rPr>
          <w:b/>
          <w:sz w:val="28"/>
          <w:szCs w:val="28"/>
        </w:rPr>
        <w:t>LCRA TSC</w:t>
      </w:r>
    </w:p>
    <w:p w14:paraId="0F14FCE1" w14:textId="77777777" w:rsidR="00C55222" w:rsidRDefault="00C55222" w:rsidP="00C55222">
      <w:pPr>
        <w:jc w:val="center"/>
        <w:rPr>
          <w:b/>
          <w:sz w:val="28"/>
          <w:szCs w:val="28"/>
        </w:rPr>
      </w:pPr>
      <w:r w:rsidRPr="00C55222">
        <w:rPr>
          <w:b/>
          <w:sz w:val="28"/>
          <w:szCs w:val="28"/>
        </w:rPr>
        <w:t>Dynamics and VAR Planning</w:t>
      </w:r>
    </w:p>
    <w:p w14:paraId="0F14FCE2" w14:textId="01CA8FBE" w:rsidR="00C55222" w:rsidRPr="00C55222" w:rsidRDefault="00880433" w:rsidP="00C55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</w:t>
      </w:r>
      <w:r w:rsidR="00C55222">
        <w:rPr>
          <w:b/>
          <w:sz w:val="28"/>
          <w:szCs w:val="28"/>
        </w:rPr>
        <w:t>, 201</w:t>
      </w:r>
      <w:r w:rsidR="006E52C5">
        <w:rPr>
          <w:b/>
          <w:sz w:val="28"/>
          <w:szCs w:val="28"/>
        </w:rPr>
        <w:t>7</w:t>
      </w:r>
    </w:p>
    <w:p w14:paraId="0F14FCE3" w14:textId="77777777" w:rsidR="00C55222" w:rsidRDefault="00C55222" w:rsidP="00C55222">
      <w:pPr>
        <w:jc w:val="center"/>
      </w:pPr>
    </w:p>
    <w:p w14:paraId="0F14FCE4" w14:textId="77777777" w:rsidR="00280ACB" w:rsidRDefault="00280ACB"/>
    <w:p w14:paraId="0F14FCE5" w14:textId="77777777" w:rsidR="00280ACB" w:rsidRDefault="00280ACB">
      <w:pPr>
        <w:sectPr w:rsidR="00280AC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14FCE6" w14:textId="77777777" w:rsidR="00280ACB" w:rsidRDefault="00280ACB"/>
    <w:p w14:paraId="0F14FCE7" w14:textId="3FE96F96" w:rsidR="002179BC" w:rsidRPr="002179BC" w:rsidRDefault="00E5041D" w:rsidP="002179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ABC Generator</w:t>
      </w:r>
      <w:r w:rsidR="006E52C5">
        <w:rPr>
          <w:b/>
          <w:sz w:val="24"/>
          <w:szCs w:val="24"/>
        </w:rPr>
        <w:t xml:space="preserve"> </w:t>
      </w:r>
      <w:r w:rsidR="00D92762">
        <w:rPr>
          <w:b/>
          <w:sz w:val="24"/>
          <w:szCs w:val="24"/>
        </w:rPr>
        <w:t xml:space="preserve">Units </w:t>
      </w:r>
      <w:r w:rsidR="006E52C5">
        <w:rPr>
          <w:b/>
          <w:sz w:val="24"/>
          <w:szCs w:val="24"/>
        </w:rPr>
        <w:t>1, 2, &amp; 3</w:t>
      </w:r>
      <w:r w:rsidR="002179BC" w:rsidRPr="002179BC">
        <w:rPr>
          <w:b/>
          <w:sz w:val="24"/>
          <w:szCs w:val="24"/>
        </w:rPr>
        <w:t xml:space="preserve"> Model Verification</w:t>
      </w:r>
    </w:p>
    <w:p w14:paraId="0F14FCE8" w14:textId="70F9F05F" w:rsidR="00280ACB" w:rsidRDefault="00280ACB">
      <w:r>
        <w:t xml:space="preserve">Generator test reports and dynamic models for </w:t>
      </w:r>
      <w:r w:rsidR="00880433">
        <w:t>ABC Generator Units</w:t>
      </w:r>
      <w:r w:rsidR="006E52C5" w:rsidRPr="006E52C5">
        <w:t xml:space="preserve"> 1, 2, &amp; 3</w:t>
      </w:r>
      <w:r w:rsidR="006E52C5" w:rsidRPr="006E52C5">
        <w:rPr>
          <w:b/>
        </w:rPr>
        <w:t xml:space="preserve"> </w:t>
      </w:r>
      <w:r>
        <w:t xml:space="preserve">were sent to LCRA TSC on </w:t>
      </w:r>
      <w:r w:rsidR="006F27F9">
        <w:t>MM/DD/YYYY</w:t>
      </w:r>
      <w:r>
        <w:t xml:space="preserve"> in compliance with NERC Reliability Standards MOD-026-1 and MOD-027-1. The LCRA TSC’s Dynamics and VAR Planning group examined the reports and performed the following analysis to verify that the </w:t>
      </w:r>
      <w:r w:rsidR="00880433">
        <w:t>ABC Generator</w:t>
      </w:r>
      <w:r w:rsidR="00E97842">
        <w:t xml:space="preserve"> </w:t>
      </w:r>
      <w:r w:rsidR="00D92762">
        <w:t xml:space="preserve">Units </w:t>
      </w:r>
      <w:r w:rsidR="006E52C5">
        <w:t>1, 2, &amp; 3</w:t>
      </w:r>
      <w:r>
        <w:t xml:space="preserve"> dynamic models </w:t>
      </w:r>
      <w:r w:rsidR="00154023">
        <w:t>are us</w:t>
      </w:r>
      <w:r w:rsidR="002179BC">
        <w:t>able.</w:t>
      </w:r>
    </w:p>
    <w:p w14:paraId="0F14FCE9" w14:textId="77777777" w:rsidR="002179BC" w:rsidRPr="002179BC" w:rsidRDefault="002179BC" w:rsidP="002179BC">
      <w:r>
        <w:t xml:space="preserve">In accordance with MOD-026-1 </w:t>
      </w:r>
      <w:r w:rsidRPr="002179BC">
        <w:rPr>
          <w:b/>
        </w:rPr>
        <w:t>R6</w:t>
      </w:r>
      <w:r>
        <w:t>:</w:t>
      </w:r>
    </w:p>
    <w:p w14:paraId="0F14FCEA" w14:textId="77777777" w:rsidR="002179BC" w:rsidRPr="002179BC" w:rsidRDefault="002179BC" w:rsidP="00D24446">
      <w:pPr>
        <w:pStyle w:val="Default"/>
        <w:spacing w:after="147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6.1. </w:t>
      </w:r>
      <w:r w:rsidRPr="002179BC">
        <w:rPr>
          <w:rFonts w:asciiTheme="minorHAnsi" w:hAnsiTheme="minorHAnsi"/>
          <w:sz w:val="22"/>
          <w:szCs w:val="22"/>
        </w:rPr>
        <w:t>The excitation control system or plant volt/</w:t>
      </w:r>
      <w:proofErr w:type="spellStart"/>
      <w:r w:rsidRPr="002179BC">
        <w:rPr>
          <w:rFonts w:asciiTheme="minorHAnsi" w:hAnsiTheme="minorHAnsi"/>
          <w:sz w:val="22"/>
          <w:szCs w:val="22"/>
        </w:rPr>
        <w:t>var</w:t>
      </w:r>
      <w:proofErr w:type="spellEnd"/>
      <w:r w:rsidRPr="002179BC">
        <w:rPr>
          <w:rFonts w:asciiTheme="minorHAnsi" w:hAnsiTheme="minorHAnsi"/>
          <w:sz w:val="22"/>
          <w:szCs w:val="22"/>
        </w:rPr>
        <w:t xml:space="preserve"> control function model initializes to compute modeling data without error, </w:t>
      </w:r>
    </w:p>
    <w:p w14:paraId="0F14FCEB" w14:textId="77777777" w:rsidR="002179BC" w:rsidRPr="002179BC" w:rsidRDefault="002179BC" w:rsidP="00D24446">
      <w:pPr>
        <w:pStyle w:val="Default"/>
        <w:spacing w:after="147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6.2. </w:t>
      </w:r>
      <w:r w:rsidRPr="002179BC">
        <w:rPr>
          <w:rFonts w:asciiTheme="minorHAnsi" w:hAnsiTheme="minorHAnsi"/>
          <w:sz w:val="22"/>
          <w:szCs w:val="22"/>
        </w:rPr>
        <w:t xml:space="preserve">A no-disturbance simulation results in negligible transients, and </w:t>
      </w:r>
    </w:p>
    <w:p w14:paraId="0F14FCEC" w14:textId="77777777" w:rsidR="002179BC" w:rsidRDefault="002179BC" w:rsidP="00D24446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6.3. </w:t>
      </w:r>
      <w:r w:rsidRPr="002179BC">
        <w:rPr>
          <w:rFonts w:asciiTheme="minorHAnsi" w:hAnsiTheme="minorHAnsi"/>
          <w:sz w:val="22"/>
          <w:szCs w:val="22"/>
        </w:rPr>
        <w:t>For an otherwise stable simulation, a disturbance simulation results in the excitation control and plant volt/</w:t>
      </w:r>
      <w:proofErr w:type="spellStart"/>
      <w:r w:rsidRPr="002179BC">
        <w:rPr>
          <w:rFonts w:asciiTheme="minorHAnsi" w:hAnsiTheme="minorHAnsi"/>
          <w:sz w:val="22"/>
          <w:szCs w:val="22"/>
        </w:rPr>
        <w:t>var</w:t>
      </w:r>
      <w:proofErr w:type="spellEnd"/>
      <w:r w:rsidRPr="002179BC">
        <w:rPr>
          <w:rFonts w:asciiTheme="minorHAnsi" w:hAnsiTheme="minorHAnsi"/>
          <w:sz w:val="22"/>
          <w:szCs w:val="22"/>
        </w:rPr>
        <w:t xml:space="preserve"> control function model exhibiting positive damping. </w:t>
      </w:r>
    </w:p>
    <w:p w14:paraId="0F14FCED" w14:textId="77777777" w:rsidR="00154023" w:rsidRPr="00154023" w:rsidRDefault="00154023" w:rsidP="00154023">
      <w:pPr>
        <w:pStyle w:val="Default"/>
        <w:rPr>
          <w:rFonts w:asciiTheme="minorHAnsi" w:hAnsiTheme="minorHAnsi"/>
          <w:sz w:val="22"/>
          <w:szCs w:val="22"/>
        </w:rPr>
      </w:pPr>
    </w:p>
    <w:p w14:paraId="0F14FCEE" w14:textId="77777777" w:rsidR="002179BC" w:rsidRPr="002179BC" w:rsidRDefault="002179BC" w:rsidP="002179BC">
      <w:r>
        <w:t xml:space="preserve">In accordance with MOD-027-1 </w:t>
      </w:r>
      <w:r w:rsidRPr="002179BC">
        <w:rPr>
          <w:b/>
        </w:rPr>
        <w:t>R</w:t>
      </w:r>
      <w:r>
        <w:rPr>
          <w:b/>
        </w:rPr>
        <w:t>5</w:t>
      </w:r>
      <w:r>
        <w:t>:</w:t>
      </w:r>
    </w:p>
    <w:p w14:paraId="0F14FCEF" w14:textId="77777777" w:rsidR="002179BC" w:rsidRPr="002179BC" w:rsidRDefault="002179BC" w:rsidP="00D24446">
      <w:pPr>
        <w:pStyle w:val="Default"/>
        <w:spacing w:after="147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5.1. </w:t>
      </w:r>
      <w:r w:rsidRPr="002179BC">
        <w:rPr>
          <w:rFonts w:asciiTheme="minorHAnsi" w:hAnsiTheme="minorHAnsi"/>
          <w:sz w:val="22"/>
          <w:szCs w:val="22"/>
        </w:rPr>
        <w:t xml:space="preserve">The turbine/governor and load control or active power/frequency control function model initializes to compute modeling data without error, </w:t>
      </w:r>
    </w:p>
    <w:p w14:paraId="0F14FCF0" w14:textId="77777777" w:rsidR="002179BC" w:rsidRPr="002179BC" w:rsidRDefault="002179BC" w:rsidP="00D24446">
      <w:pPr>
        <w:pStyle w:val="Default"/>
        <w:spacing w:after="147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5.2. </w:t>
      </w:r>
      <w:r w:rsidRPr="002179BC">
        <w:rPr>
          <w:rFonts w:asciiTheme="minorHAnsi" w:hAnsiTheme="minorHAnsi"/>
          <w:sz w:val="22"/>
          <w:szCs w:val="22"/>
        </w:rPr>
        <w:t xml:space="preserve">A no-disturbance simulation results in negligible transients, and </w:t>
      </w:r>
    </w:p>
    <w:p w14:paraId="0F14FCF1" w14:textId="77777777" w:rsidR="002179BC" w:rsidRPr="002179BC" w:rsidRDefault="002179BC" w:rsidP="00D24446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2179BC">
        <w:rPr>
          <w:rFonts w:asciiTheme="minorHAnsi" w:hAnsiTheme="minorHAnsi"/>
          <w:b/>
          <w:bCs/>
          <w:sz w:val="22"/>
          <w:szCs w:val="22"/>
        </w:rPr>
        <w:t xml:space="preserve">5.3. </w:t>
      </w:r>
      <w:r w:rsidRPr="002179BC">
        <w:rPr>
          <w:rFonts w:asciiTheme="minorHAnsi" w:hAnsiTheme="minorHAnsi"/>
          <w:sz w:val="22"/>
          <w:szCs w:val="22"/>
        </w:rPr>
        <w:t xml:space="preserve">For an otherwise stable simulation, a disturbance simulation results in the turbine/governor and load control or active power/frequency control model exhibiting positive damping. </w:t>
      </w:r>
    </w:p>
    <w:p w14:paraId="0F14FCF2" w14:textId="77777777" w:rsidR="002179BC" w:rsidRDefault="002179BC"/>
    <w:p w14:paraId="0F14FCF3" w14:textId="77777777" w:rsidR="002179BC" w:rsidRDefault="00536D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Generator Models </w:t>
      </w:r>
    </w:p>
    <w:p w14:paraId="0F14FCF4" w14:textId="115E743D" w:rsidR="00536D8C" w:rsidRDefault="00536D8C" w:rsidP="00536D8C">
      <w:r>
        <w:t xml:space="preserve">The following </w:t>
      </w:r>
      <w:r w:rsidR="008130BA">
        <w:t xml:space="preserve">dynamic </w:t>
      </w:r>
      <w:r>
        <w:t xml:space="preserve">models were provided by </w:t>
      </w:r>
      <w:r w:rsidR="004C1833">
        <w:t>the Resource Entity</w:t>
      </w:r>
      <w:r w:rsidR="008130BA">
        <w:t>. The models were</w:t>
      </w:r>
      <w:r w:rsidR="006E52C5">
        <w:t xml:space="preserve"> </w:t>
      </w:r>
      <w:r>
        <w:t>loaded into the ERCOT DWG Near-Term 201</w:t>
      </w:r>
      <w:r w:rsidR="006E52C5">
        <w:t xml:space="preserve">9 </w:t>
      </w:r>
      <w:r>
        <w:t>Dynamic Flat Start Case</w:t>
      </w:r>
      <w:r w:rsidR="000E02D5">
        <w:t xml:space="preserve"> published on </w:t>
      </w:r>
      <w:r w:rsidR="006E52C5">
        <w:t>March 6</w:t>
      </w:r>
      <w:r w:rsidR="000E02D5">
        <w:t>, 201</w:t>
      </w:r>
      <w:r w:rsidR="006E52C5">
        <w:t>7</w:t>
      </w:r>
      <w:r>
        <w:t>.</w:t>
      </w:r>
    </w:p>
    <w:p w14:paraId="51D34A27" w14:textId="77777777" w:rsidR="00880433" w:rsidRDefault="00880433" w:rsidP="00915EB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ABC Generator Unit 1 Dynamic Models:</w:t>
      </w:r>
    </w:p>
    <w:p w14:paraId="30A0898B" w14:textId="32D4ADC2" w:rsidR="00880433" w:rsidRDefault="00880433" w:rsidP="00915EB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XXXXXXXXXXXX</w:t>
      </w:r>
    </w:p>
    <w:p w14:paraId="5D9D1B78" w14:textId="230C560B" w:rsidR="00880433" w:rsidRDefault="00880433" w:rsidP="00880433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ABC Generator Unit 2 Dynamic Models:</w:t>
      </w:r>
    </w:p>
    <w:p w14:paraId="3224A532" w14:textId="77777777" w:rsidR="00880433" w:rsidRDefault="00880433" w:rsidP="00880433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XXXXXXXXXXXX</w:t>
      </w:r>
    </w:p>
    <w:p w14:paraId="081D5C3A" w14:textId="5FB51535" w:rsidR="00880433" w:rsidRDefault="00880433" w:rsidP="00880433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ABC Generator Unit 3 Dynamic Models:</w:t>
      </w:r>
    </w:p>
    <w:p w14:paraId="42E22BB5" w14:textId="77777777" w:rsidR="00880433" w:rsidRDefault="00880433" w:rsidP="00880433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XXXXXXXXXXXX</w:t>
      </w:r>
    </w:p>
    <w:p w14:paraId="668B1E73" w14:textId="77777777" w:rsidR="00880433" w:rsidRDefault="00880433" w:rsidP="00880433">
      <w:pPr>
        <w:rPr>
          <w:rFonts w:ascii="Courier New" w:hAnsi="Courier New" w:cs="Courier New"/>
          <w:sz w:val="16"/>
          <w:szCs w:val="16"/>
        </w:rPr>
      </w:pPr>
    </w:p>
    <w:p w14:paraId="021C05F6" w14:textId="77777777" w:rsidR="00880433" w:rsidRDefault="00880433" w:rsidP="00880433">
      <w:pPr>
        <w:rPr>
          <w:rFonts w:ascii="Courier New" w:hAnsi="Courier New" w:cs="Courier New"/>
          <w:sz w:val="16"/>
          <w:szCs w:val="16"/>
        </w:rPr>
      </w:pPr>
    </w:p>
    <w:p w14:paraId="6F33AC13" w14:textId="444F81E6" w:rsidR="00880433" w:rsidRDefault="00880433" w:rsidP="00880433">
      <w:pPr>
        <w:rPr>
          <w:rFonts w:ascii="Courier New" w:hAnsi="Courier New" w:cs="Courier New"/>
          <w:sz w:val="16"/>
          <w:szCs w:val="16"/>
        </w:rPr>
      </w:pPr>
    </w:p>
    <w:p w14:paraId="0F14FD0A" w14:textId="19C9610E" w:rsidR="000E02D5" w:rsidRDefault="000E02D5" w:rsidP="00915EB4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F14FD0C" w14:textId="77777777" w:rsidR="000E02D5" w:rsidRPr="000E02D5" w:rsidRDefault="000E02D5" w:rsidP="000E02D5">
      <w:pPr>
        <w:rPr>
          <w:rFonts w:cs="Courier New"/>
          <w:b/>
          <w:sz w:val="24"/>
          <w:szCs w:val="24"/>
        </w:rPr>
      </w:pPr>
      <w:r w:rsidRPr="000E02D5">
        <w:rPr>
          <w:rFonts w:cs="Courier New"/>
          <w:b/>
          <w:sz w:val="24"/>
          <w:szCs w:val="24"/>
        </w:rPr>
        <w:lastRenderedPageBreak/>
        <w:t>Results</w:t>
      </w:r>
    </w:p>
    <w:p w14:paraId="0F14FD0D" w14:textId="1BE5F17E" w:rsidR="000E02D5" w:rsidRDefault="000E02D5" w:rsidP="000E02D5">
      <w:pPr>
        <w:rPr>
          <w:rFonts w:cs="Courier New"/>
        </w:rPr>
      </w:pPr>
      <w:r>
        <w:rPr>
          <w:rFonts w:cs="Courier New"/>
        </w:rPr>
        <w:t>The generator models</w:t>
      </w:r>
      <w:r w:rsidR="009658C4">
        <w:rPr>
          <w:rFonts w:cs="Courier New"/>
        </w:rPr>
        <w:t xml:space="preserve"> for </w:t>
      </w:r>
      <w:r w:rsidR="00880433">
        <w:rPr>
          <w:rFonts w:cs="Courier New"/>
        </w:rPr>
        <w:t>ABC Generator</w:t>
      </w:r>
      <w:r w:rsidR="009658C4">
        <w:rPr>
          <w:rFonts w:cs="Courier New"/>
        </w:rPr>
        <w:t xml:space="preserve"> Units 1, 2, &amp; 3</w:t>
      </w:r>
      <w:r>
        <w:rPr>
          <w:rFonts w:cs="Courier New"/>
        </w:rPr>
        <w:t xml:space="preserve"> initialized</w:t>
      </w:r>
      <w:r w:rsidR="00C55222">
        <w:rPr>
          <w:rFonts w:cs="Courier New"/>
        </w:rPr>
        <w:t xml:space="preserve"> in the dynamic flat start case</w:t>
      </w:r>
      <w:r>
        <w:rPr>
          <w:rFonts w:cs="Courier New"/>
        </w:rPr>
        <w:t xml:space="preserve"> without errors. </w:t>
      </w:r>
    </w:p>
    <w:p w14:paraId="0F14FD0E" w14:textId="1BDD32D4" w:rsidR="000E02D5" w:rsidRDefault="000E02D5" w:rsidP="000E02D5">
      <w:pPr>
        <w:rPr>
          <w:rFonts w:cs="Courier New"/>
        </w:rPr>
      </w:pPr>
      <w:r>
        <w:rPr>
          <w:rFonts w:cs="Courier New"/>
        </w:rPr>
        <w:t>A no-disturbance simulation was run</w:t>
      </w:r>
      <w:r w:rsidR="00C22AC0">
        <w:rPr>
          <w:rFonts w:cs="Courier New"/>
        </w:rPr>
        <w:t>,</w:t>
      </w:r>
      <w:r>
        <w:rPr>
          <w:rFonts w:cs="Courier New"/>
        </w:rPr>
        <w:t xml:space="preserve"> and no transients were seen</w:t>
      </w:r>
      <w:r w:rsidR="00915EB4">
        <w:rPr>
          <w:rFonts w:cs="Courier New"/>
        </w:rPr>
        <w:t xml:space="preserve"> for </w:t>
      </w:r>
      <w:r w:rsidR="00880433">
        <w:rPr>
          <w:rFonts w:cs="Courier New"/>
        </w:rPr>
        <w:t>ABC Generator</w:t>
      </w:r>
      <w:r w:rsidR="005C3D6D">
        <w:rPr>
          <w:rFonts w:cs="Courier New"/>
        </w:rPr>
        <w:t xml:space="preserve"> Units</w:t>
      </w:r>
      <w:r w:rsidR="00880433">
        <w:rPr>
          <w:rFonts w:cs="Courier New"/>
        </w:rPr>
        <w:t xml:space="preserve"> </w:t>
      </w:r>
      <w:r w:rsidR="00915EB4">
        <w:rPr>
          <w:rFonts w:cs="Courier New"/>
        </w:rPr>
        <w:t>1,</w:t>
      </w:r>
      <w:r w:rsidR="00E97842">
        <w:rPr>
          <w:rFonts w:cs="Courier New"/>
        </w:rPr>
        <w:t xml:space="preserve"> 2</w:t>
      </w:r>
      <w:r w:rsidR="00915EB4">
        <w:rPr>
          <w:rFonts w:cs="Courier New"/>
        </w:rPr>
        <w:t>, &amp; 3</w:t>
      </w:r>
      <w:r w:rsidR="00E97842">
        <w:rPr>
          <w:rFonts w:cs="Courier New"/>
        </w:rPr>
        <w:t>.</w:t>
      </w:r>
      <w:r>
        <w:rPr>
          <w:rFonts w:cs="Courier New"/>
        </w:rPr>
        <w:t xml:space="preserve"> </w:t>
      </w:r>
      <w:r w:rsidR="00E97842">
        <w:rPr>
          <w:rFonts w:cs="Courier New"/>
        </w:rPr>
        <w:t xml:space="preserve">Plots of the </w:t>
      </w:r>
      <w:r w:rsidR="00880433">
        <w:rPr>
          <w:rFonts w:cs="Courier New"/>
        </w:rPr>
        <w:t>ABC Generator</w:t>
      </w:r>
      <w:r w:rsidR="00E97842">
        <w:rPr>
          <w:rFonts w:cs="Courier New"/>
        </w:rPr>
        <w:t xml:space="preserve"> </w:t>
      </w:r>
      <w:r w:rsidR="00915EB4">
        <w:rPr>
          <w:rFonts w:cs="Courier New"/>
        </w:rPr>
        <w:t xml:space="preserve">Units </w:t>
      </w:r>
      <w:r w:rsidR="00E97842">
        <w:rPr>
          <w:rFonts w:cs="Courier New"/>
        </w:rPr>
        <w:t>1, 2, &amp; 3</w:t>
      </w:r>
      <w:r>
        <w:rPr>
          <w:rFonts w:cs="Courier New"/>
        </w:rPr>
        <w:t xml:space="preserve"> generator angles </w:t>
      </w:r>
      <w:r w:rsidR="00E97842">
        <w:rPr>
          <w:rFonts w:cs="Courier New"/>
        </w:rPr>
        <w:t>are</w:t>
      </w:r>
      <w:r>
        <w:rPr>
          <w:rFonts w:cs="Courier New"/>
        </w:rPr>
        <w:t xml:space="preserve"> shown below</w:t>
      </w:r>
      <w:r w:rsidR="005C65CC">
        <w:rPr>
          <w:rFonts w:cs="Courier New"/>
        </w:rPr>
        <w:t xml:space="preserve"> in Figure 1</w:t>
      </w:r>
      <w:r>
        <w:rPr>
          <w:rFonts w:cs="Courier New"/>
        </w:rPr>
        <w:t xml:space="preserve"> to confirm.</w:t>
      </w:r>
    </w:p>
    <w:p w14:paraId="738EC280" w14:textId="77777777" w:rsidR="00EC28BF" w:rsidRDefault="00EC28BF" w:rsidP="000E02D5">
      <w:pPr>
        <w:rPr>
          <w:rFonts w:cs="Courier New"/>
        </w:rPr>
      </w:pPr>
    </w:p>
    <w:p w14:paraId="0F14FD0F" w14:textId="078697C2" w:rsidR="001F6C24" w:rsidRDefault="00EC28BF" w:rsidP="00915EB4">
      <w:pPr>
        <w:jc w:val="center"/>
        <w:rPr>
          <w:rFonts w:cs="Courier New"/>
        </w:rPr>
      </w:pPr>
      <w:r>
        <w:rPr>
          <w:rFonts w:cs="Courier New"/>
          <w:noProof/>
        </w:rPr>
        <w:drawing>
          <wp:inline distT="0" distB="0" distL="0" distR="0" wp14:anchorId="5178AD8A" wp14:editId="0531F3A0">
            <wp:extent cx="4572000" cy="3854159"/>
            <wp:effectExtent l="19050" t="19050" r="1905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_fault_si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5415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14FD14" w14:textId="685BED41" w:rsidR="000003A9" w:rsidRDefault="00282903" w:rsidP="00EC28BF">
      <w:pPr>
        <w:jc w:val="center"/>
        <w:rPr>
          <w:rFonts w:cs="Courier New"/>
          <w:b/>
        </w:rPr>
      </w:pPr>
      <w:r w:rsidRPr="00282903">
        <w:rPr>
          <w:rFonts w:cs="Courier New"/>
          <w:b/>
        </w:rPr>
        <w:t>Figure 1: No-disturbance</w:t>
      </w:r>
      <w:r w:rsidR="00915EB4">
        <w:rPr>
          <w:rFonts w:cs="Courier New"/>
          <w:b/>
        </w:rPr>
        <w:t xml:space="preserve"> test</w:t>
      </w:r>
      <w:r w:rsidRPr="00282903">
        <w:rPr>
          <w:rFonts w:cs="Courier New"/>
          <w:b/>
        </w:rPr>
        <w:t xml:space="preserve"> results.</w:t>
      </w:r>
    </w:p>
    <w:p w14:paraId="29A9D64B" w14:textId="77777777" w:rsidR="00EC28BF" w:rsidRPr="00EC28BF" w:rsidRDefault="00EC28BF" w:rsidP="00EC28BF">
      <w:pPr>
        <w:jc w:val="center"/>
        <w:rPr>
          <w:rFonts w:cs="Courier New"/>
        </w:rPr>
      </w:pPr>
    </w:p>
    <w:p w14:paraId="0F14FD16" w14:textId="08CE1055" w:rsidR="00DA488A" w:rsidRDefault="00AE0134" w:rsidP="000E02D5">
      <w:pPr>
        <w:rPr>
          <w:rFonts w:cs="Courier New"/>
        </w:rPr>
      </w:pPr>
      <w:r>
        <w:rPr>
          <w:rFonts w:cs="Courier New"/>
        </w:rPr>
        <w:t>Dynamic contingencies</w:t>
      </w:r>
      <w:r w:rsidR="00244A7E">
        <w:rPr>
          <w:rFonts w:cs="Courier New"/>
        </w:rPr>
        <w:t xml:space="preserve"> located</w:t>
      </w:r>
      <w:r>
        <w:rPr>
          <w:rFonts w:cs="Courier New"/>
        </w:rPr>
        <w:t xml:space="preserve"> near </w:t>
      </w:r>
      <w:r w:rsidR="004C1833">
        <w:rPr>
          <w:rFonts w:cs="Courier New"/>
        </w:rPr>
        <w:t>ABC Generator</w:t>
      </w:r>
      <w:r>
        <w:rPr>
          <w:rFonts w:cs="Courier New"/>
        </w:rPr>
        <w:t xml:space="preserve"> Units 1, 2, &amp; 3 </w:t>
      </w:r>
      <w:r w:rsidR="00A0177B">
        <w:rPr>
          <w:rFonts w:cs="Courier New"/>
        </w:rPr>
        <w:t>were simulated</w:t>
      </w:r>
      <w:r w:rsidR="00C55222">
        <w:rPr>
          <w:rFonts w:cs="Courier New"/>
        </w:rPr>
        <w:t xml:space="preserve"> in the dynamic flat start case</w:t>
      </w:r>
      <w:r w:rsidR="00A0177B">
        <w:rPr>
          <w:rFonts w:cs="Courier New"/>
        </w:rPr>
        <w:t xml:space="preserve"> to verify </w:t>
      </w:r>
      <w:r>
        <w:rPr>
          <w:rFonts w:cs="Courier New"/>
        </w:rPr>
        <w:t xml:space="preserve">the stability of </w:t>
      </w:r>
      <w:r w:rsidR="00915EB4">
        <w:rPr>
          <w:rFonts w:cs="Courier New"/>
        </w:rPr>
        <w:t>the units</w:t>
      </w:r>
      <w:r>
        <w:rPr>
          <w:rFonts w:cs="Courier New"/>
        </w:rPr>
        <w:t xml:space="preserve"> </w:t>
      </w:r>
      <w:r w:rsidR="00A0177B">
        <w:rPr>
          <w:rFonts w:cs="Courier New"/>
        </w:rPr>
        <w:t xml:space="preserve">after a disturbance. Waveforms of each generator’s angle, </w:t>
      </w:r>
      <w:r w:rsidR="001F6C24">
        <w:rPr>
          <w:rFonts w:cs="Courier New"/>
        </w:rPr>
        <w:t xml:space="preserve">real </w:t>
      </w:r>
      <w:r w:rsidR="00A0177B">
        <w:rPr>
          <w:rFonts w:cs="Courier New"/>
        </w:rPr>
        <w:t>power out</w:t>
      </w:r>
      <w:r w:rsidR="00443499">
        <w:rPr>
          <w:rFonts w:cs="Courier New"/>
        </w:rPr>
        <w:t>put</w:t>
      </w:r>
      <w:r w:rsidR="00A0177B">
        <w:rPr>
          <w:rFonts w:cs="Courier New"/>
        </w:rPr>
        <w:t xml:space="preserve">, reactive power output, terminal voltage, EFD, and mechanical power as well as the system frequency were monitored to verify positive damping </w:t>
      </w:r>
      <w:r w:rsidR="008130BA">
        <w:rPr>
          <w:rFonts w:cs="Courier New"/>
        </w:rPr>
        <w:t xml:space="preserve">and stability </w:t>
      </w:r>
      <w:r w:rsidR="00A0177B">
        <w:rPr>
          <w:rFonts w:cs="Courier New"/>
        </w:rPr>
        <w:t xml:space="preserve">for each contingency. The following plots demonstrate </w:t>
      </w:r>
      <w:r w:rsidR="008130BA">
        <w:rPr>
          <w:rFonts w:cs="Courier New"/>
        </w:rPr>
        <w:t xml:space="preserve">generator stability and </w:t>
      </w:r>
      <w:r w:rsidR="00A0177B">
        <w:rPr>
          <w:rFonts w:cs="Courier New"/>
        </w:rPr>
        <w:t xml:space="preserve">positive damping of the real and reactive </w:t>
      </w:r>
      <w:r w:rsidR="001F6C24">
        <w:rPr>
          <w:rFonts w:cs="Courier New"/>
        </w:rPr>
        <w:t>power</w:t>
      </w:r>
      <w:r w:rsidR="00443499">
        <w:rPr>
          <w:rFonts w:cs="Courier New"/>
        </w:rPr>
        <w:t xml:space="preserve"> output during the</w:t>
      </w:r>
      <w:r w:rsidR="008130BA">
        <w:rPr>
          <w:rFonts w:cs="Courier New"/>
        </w:rPr>
        <w:t xml:space="preserve"> dynamic contingency</w:t>
      </w:r>
      <w:r w:rsidR="00443499">
        <w:rPr>
          <w:rFonts w:cs="Courier New"/>
        </w:rPr>
        <w:t xml:space="preserve"> simulations</w:t>
      </w:r>
      <w:r w:rsidR="001F6C24">
        <w:rPr>
          <w:rFonts w:cs="Courier New"/>
        </w:rPr>
        <w:t>.</w:t>
      </w:r>
    </w:p>
    <w:p w14:paraId="0F14FD17" w14:textId="77777777" w:rsidR="001F6C24" w:rsidRDefault="001F6C24" w:rsidP="000E02D5">
      <w:pPr>
        <w:rPr>
          <w:rFonts w:cs="Courier New"/>
        </w:rPr>
      </w:pPr>
    </w:p>
    <w:p w14:paraId="3848A505" w14:textId="0B8F31FC" w:rsidR="004C1833" w:rsidRDefault="004C1833" w:rsidP="004C1833">
      <w:pPr>
        <w:jc w:val="center"/>
        <w:rPr>
          <w:rFonts w:cs="Courier New"/>
          <w:noProof/>
        </w:rPr>
      </w:pPr>
    </w:p>
    <w:p w14:paraId="0F7D3FD4" w14:textId="28B65581" w:rsidR="00EC28BF" w:rsidRDefault="00EC28BF" w:rsidP="004C1833">
      <w:pPr>
        <w:jc w:val="center"/>
        <w:rPr>
          <w:rFonts w:cs="Courier New"/>
          <w:noProof/>
        </w:rPr>
      </w:pPr>
      <w:r>
        <w:rPr>
          <w:rFonts w:cs="Courier New"/>
          <w:noProof/>
        </w:rPr>
        <w:lastRenderedPageBreak/>
        <w:drawing>
          <wp:inline distT="0" distB="0" distL="0" distR="0" wp14:anchorId="54C6C834" wp14:editId="221EE523">
            <wp:extent cx="4114800" cy="39759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.2_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/>
          <w:noProof/>
        </w:rPr>
        <w:drawing>
          <wp:inline distT="0" distB="0" distL="0" distR="0" wp14:anchorId="38EA6AF4" wp14:editId="403284F8">
            <wp:extent cx="4114800" cy="39759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4.2_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ourier New"/>
          <w:noProof/>
        </w:rPr>
        <w:lastRenderedPageBreak/>
        <w:drawing>
          <wp:inline distT="0" distB="0" distL="0" distR="0" wp14:anchorId="75FAF4A6" wp14:editId="1BAA2968">
            <wp:extent cx="4114800" cy="39759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7.1_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FD1C" w14:textId="77777777" w:rsidR="00443499" w:rsidRPr="002B53E2" w:rsidRDefault="00443499" w:rsidP="00443499">
      <w:pPr>
        <w:rPr>
          <w:rFonts w:cs="Courier New"/>
          <w:b/>
          <w:sz w:val="24"/>
          <w:szCs w:val="24"/>
        </w:rPr>
      </w:pPr>
      <w:r w:rsidRPr="002B53E2">
        <w:rPr>
          <w:rFonts w:cs="Courier New"/>
          <w:b/>
          <w:sz w:val="24"/>
          <w:szCs w:val="24"/>
        </w:rPr>
        <w:t>Conclusion</w:t>
      </w:r>
    </w:p>
    <w:p w14:paraId="0F14FD1D" w14:textId="42F05065" w:rsidR="00443499" w:rsidRPr="000E02D5" w:rsidRDefault="002B53E2" w:rsidP="00443499">
      <w:pPr>
        <w:rPr>
          <w:rFonts w:cs="Courier New"/>
        </w:rPr>
      </w:pPr>
      <w:r>
        <w:rPr>
          <w:rFonts w:cs="Courier New"/>
        </w:rPr>
        <w:t xml:space="preserve">The </w:t>
      </w:r>
      <w:r w:rsidR="005249A0">
        <w:rPr>
          <w:rFonts w:cs="Courier New"/>
        </w:rPr>
        <w:t>dynamic</w:t>
      </w:r>
      <w:r>
        <w:rPr>
          <w:rFonts w:cs="Courier New"/>
        </w:rPr>
        <w:t xml:space="preserve"> models for </w:t>
      </w:r>
      <w:r w:rsidR="004C1833">
        <w:rPr>
          <w:rFonts w:cs="Courier New"/>
        </w:rPr>
        <w:t>ABC</w:t>
      </w:r>
      <w:bookmarkStart w:id="0" w:name="_GoBack"/>
      <w:bookmarkEnd w:id="0"/>
      <w:r w:rsidR="004C1833">
        <w:rPr>
          <w:rFonts w:cs="Courier New"/>
        </w:rPr>
        <w:t xml:space="preserve"> Generator</w:t>
      </w:r>
      <w:r w:rsidR="00235A97">
        <w:rPr>
          <w:rFonts w:cs="Courier New"/>
        </w:rPr>
        <w:t xml:space="preserve"> Units 1, </w:t>
      </w:r>
      <w:r w:rsidR="00282903">
        <w:rPr>
          <w:rFonts w:cs="Courier New"/>
        </w:rPr>
        <w:t>2</w:t>
      </w:r>
      <w:r w:rsidR="00235A97">
        <w:rPr>
          <w:rFonts w:cs="Courier New"/>
        </w:rPr>
        <w:t>, &amp; 3</w:t>
      </w:r>
      <w:r>
        <w:rPr>
          <w:rFonts w:cs="Courier New"/>
        </w:rPr>
        <w:t xml:space="preserve"> are usable according to the requirements in MOD-026-1 and MOD-027-1.</w:t>
      </w:r>
      <w:r w:rsidR="00282903">
        <w:rPr>
          <w:rFonts w:cs="Courier New"/>
        </w:rPr>
        <w:t xml:space="preserve"> </w:t>
      </w:r>
    </w:p>
    <w:sectPr w:rsidR="00443499" w:rsidRPr="000E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93610" w14:textId="77777777" w:rsidR="00F40888" w:rsidRDefault="00F40888" w:rsidP="00280ACB">
      <w:pPr>
        <w:spacing w:after="0" w:line="240" w:lineRule="auto"/>
      </w:pPr>
      <w:r>
        <w:separator/>
      </w:r>
    </w:p>
  </w:endnote>
  <w:endnote w:type="continuationSeparator" w:id="0">
    <w:p w14:paraId="00319140" w14:textId="77777777" w:rsidR="00F40888" w:rsidRDefault="00F40888" w:rsidP="0028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613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14FD31" w14:textId="77777777" w:rsidR="00C55222" w:rsidRDefault="00C552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9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9A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4FD32" w14:textId="77777777" w:rsidR="00C55222" w:rsidRDefault="00C5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1CA1" w14:textId="77777777" w:rsidR="00F40888" w:rsidRDefault="00F40888" w:rsidP="00280ACB">
      <w:pPr>
        <w:spacing w:after="0" w:line="240" w:lineRule="auto"/>
      </w:pPr>
      <w:r>
        <w:separator/>
      </w:r>
    </w:p>
  </w:footnote>
  <w:footnote w:type="continuationSeparator" w:id="0">
    <w:p w14:paraId="3F9DE677" w14:textId="77777777" w:rsidR="00F40888" w:rsidRDefault="00F40888" w:rsidP="0028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4FD2D" w14:textId="7A8DB1F4" w:rsidR="00280ACB" w:rsidRDefault="00280ACB" w:rsidP="00280A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LCRA TSC Dynamics and VAR Planning</w:t>
    </w:r>
  </w:p>
  <w:p w14:paraId="0F14FD2E" w14:textId="77777777" w:rsidR="00280ACB" w:rsidRDefault="00280ACB" w:rsidP="00280ACB">
    <w:pPr>
      <w:pStyle w:val="Header"/>
      <w:jc w:val="center"/>
      <w:rPr>
        <w:sz w:val="28"/>
        <w:szCs w:val="28"/>
      </w:rPr>
    </w:pPr>
    <w:r w:rsidRPr="00280ACB">
      <w:rPr>
        <w:sz w:val="28"/>
        <w:szCs w:val="28"/>
      </w:rPr>
      <w:t>MOD-026-1 and MOD-027-1 Model Verification</w:t>
    </w:r>
  </w:p>
  <w:p w14:paraId="0F14FD2F" w14:textId="77777777" w:rsidR="00C1075F" w:rsidRPr="00280ACB" w:rsidRDefault="00C1075F" w:rsidP="00280ACB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4B"/>
    <w:rsid w:val="000003A9"/>
    <w:rsid w:val="0009067E"/>
    <w:rsid w:val="000D0423"/>
    <w:rsid w:val="000D043C"/>
    <w:rsid w:val="000E0236"/>
    <w:rsid w:val="000E02D5"/>
    <w:rsid w:val="0015114D"/>
    <w:rsid w:val="00154023"/>
    <w:rsid w:val="0016181A"/>
    <w:rsid w:val="001F5CB8"/>
    <w:rsid w:val="001F6C24"/>
    <w:rsid w:val="002179BC"/>
    <w:rsid w:val="00235A97"/>
    <w:rsid w:val="00240BE2"/>
    <w:rsid w:val="0024153A"/>
    <w:rsid w:val="00244A7E"/>
    <w:rsid w:val="00280ACB"/>
    <w:rsid w:val="00282903"/>
    <w:rsid w:val="0029008A"/>
    <w:rsid w:val="002B53E2"/>
    <w:rsid w:val="003519F4"/>
    <w:rsid w:val="003C6134"/>
    <w:rsid w:val="00433799"/>
    <w:rsid w:val="00443499"/>
    <w:rsid w:val="004C0E6A"/>
    <w:rsid w:val="004C1833"/>
    <w:rsid w:val="004F224F"/>
    <w:rsid w:val="005249A0"/>
    <w:rsid w:val="00533051"/>
    <w:rsid w:val="0053492C"/>
    <w:rsid w:val="00536D8C"/>
    <w:rsid w:val="00564247"/>
    <w:rsid w:val="005C3D6D"/>
    <w:rsid w:val="005C65CC"/>
    <w:rsid w:val="0064587B"/>
    <w:rsid w:val="00675E40"/>
    <w:rsid w:val="006E52C5"/>
    <w:rsid w:val="006F27F9"/>
    <w:rsid w:val="0075506B"/>
    <w:rsid w:val="008130BA"/>
    <w:rsid w:val="00880433"/>
    <w:rsid w:val="00915EB4"/>
    <w:rsid w:val="009658C4"/>
    <w:rsid w:val="009E2319"/>
    <w:rsid w:val="00A0177B"/>
    <w:rsid w:val="00A546E3"/>
    <w:rsid w:val="00AD0005"/>
    <w:rsid w:val="00AE0134"/>
    <w:rsid w:val="00AF6868"/>
    <w:rsid w:val="00B17CF8"/>
    <w:rsid w:val="00B721FD"/>
    <w:rsid w:val="00C1075F"/>
    <w:rsid w:val="00C22AC0"/>
    <w:rsid w:val="00C55222"/>
    <w:rsid w:val="00CF4377"/>
    <w:rsid w:val="00D24446"/>
    <w:rsid w:val="00D5329B"/>
    <w:rsid w:val="00D92762"/>
    <w:rsid w:val="00DA488A"/>
    <w:rsid w:val="00DC1FE0"/>
    <w:rsid w:val="00E5041D"/>
    <w:rsid w:val="00E50E16"/>
    <w:rsid w:val="00E97842"/>
    <w:rsid w:val="00EC28BF"/>
    <w:rsid w:val="00F40888"/>
    <w:rsid w:val="00F43BA8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FCCB"/>
  <w15:chartTrackingRefBased/>
  <w15:docId w15:val="{A330B2D4-CC7B-4CFF-800C-B0BEBBA2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CB"/>
  </w:style>
  <w:style w:type="paragraph" w:styleId="Footer">
    <w:name w:val="footer"/>
    <w:basedOn w:val="Normal"/>
    <w:link w:val="FooterChar"/>
    <w:uiPriority w:val="99"/>
    <w:unhideWhenUsed/>
    <w:rsid w:val="0028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CB"/>
  </w:style>
  <w:style w:type="paragraph" w:customStyle="1" w:styleId="Default">
    <w:name w:val="Default"/>
    <w:rsid w:val="00217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E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b711aa88-14c8-4c7e-9d0c-592381b63999">To Be Filed</Sub_x0020_Folder>
    <IconOverlay xmlns="http://schemas.microsoft.com/sharepoint/v4" xsi:nil="true"/>
    <Folder xmlns="b711aa88-14c8-4c7e-9d0c-592381b63999">To be Filed</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42AD8CA97004F9D1F6E1059F46F96" ma:contentTypeVersion="7" ma:contentTypeDescription="Create a new document." ma:contentTypeScope="" ma:versionID="76b602f3996588a2735a4a110e5232b9">
  <xsd:schema xmlns:xsd="http://www.w3.org/2001/XMLSchema" xmlns:xs="http://www.w3.org/2001/XMLSchema" xmlns:p="http://schemas.microsoft.com/office/2006/metadata/properties" xmlns:ns2="b711aa88-14c8-4c7e-9d0c-592381b63999" xmlns:ns3="http://schemas.microsoft.com/sharepoint/v4" targetNamespace="http://schemas.microsoft.com/office/2006/metadata/properties" ma:root="true" ma:fieldsID="9f59716e9cbde66dd10103d8b3d2ec3e" ns2:_="" ns3:_="">
    <xsd:import namespace="b711aa88-14c8-4c7e-9d0c-592381b639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lder"/>
                <xsd:element ref="ns2:Sub_x0020_Fold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1aa88-14c8-4c7e-9d0c-592381b6399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default="To be Filed" ma:format="Dropdown" ma:internalName="Folder">
      <xsd:simpleType>
        <xsd:union memberTypes="dms:Text">
          <xsd:simpleType>
            <xsd:restriction base="dms:Choice">
              <xsd:enumeration value="Maximum Net Generation Study"/>
              <xsd:enumeration value="System Stability Study"/>
              <xsd:enumeration value="UVLS Study"/>
              <xsd:enumeration value="To be Filed"/>
            </xsd:restriction>
          </xsd:simpleType>
        </xsd:union>
      </xsd:simpleType>
    </xsd:element>
    <xsd:element name="Sub_x0020_Folder" ma:index="9" nillable="true" ma:displayName="Sub Folder" ma:default="To Be Filed" ma:description="Year Document was completed." ma:format="Dropdown" ma:internalName="Sub_x0020_Folder">
      <xsd:simpleType>
        <xsd:union memberTypes="dms:Text">
          <xsd:simpleType>
            <xsd:restriction base="dms:Choice">
              <xsd:enumeration value="2010"/>
              <xsd:enumeration value="2011"/>
              <xsd:enumeration value="2012"/>
              <xsd:enumeration value="2013"/>
              <xsd:enumeration value="2014"/>
              <xsd:enumeration value="To Be Fil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A5AF-C346-411D-8A09-61CA7D559AF9}">
  <ds:schemaRefs>
    <ds:schemaRef ds:uri="http://schemas.microsoft.com/office/2006/metadata/properties"/>
    <ds:schemaRef ds:uri="http://schemas.microsoft.com/office/infopath/2007/PartnerControls"/>
    <ds:schemaRef ds:uri="b711aa88-14c8-4c7e-9d0c-592381b6399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DA9D0D7-C297-4FFF-A70C-C858CB420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27F26-5A6E-4989-A51A-B8292CF6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1aa88-14c8-4c7e-9d0c-592381b6399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88ABA-E76A-4521-AA44-F4053B97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cdietert</dc:creator>
  <cp:keywords/>
  <dc:description/>
  <cp:lastModifiedBy>cdietert</cp:lastModifiedBy>
  <cp:revision>12</cp:revision>
  <dcterms:created xsi:type="dcterms:W3CDTF">2017-09-25T19:51:00Z</dcterms:created>
  <dcterms:modified xsi:type="dcterms:W3CDTF">2017-09-25T21:57:00Z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0x01010012442AD8CA97004F9D1F6E1059F46F96</vt:lpwstr>
  </property>
</Properties>
</file>