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DBA" w:rsidRPr="0036710B" w:rsidRDefault="00A24A2F" w:rsidP="006303C0">
      <w:pPr>
        <w:pStyle w:val="Heading2"/>
        <w:jc w:val="center"/>
        <w:rPr>
          <w:rFonts w:ascii="Calibri" w:hAnsi="Calibri"/>
        </w:rPr>
      </w:pPr>
      <w:r w:rsidRPr="0036710B">
        <w:rPr>
          <w:rFonts w:ascii="Calibri" w:hAnsi="Calibri"/>
        </w:rPr>
        <w:t xml:space="preserve">Action Items from </w:t>
      </w:r>
      <w:r w:rsidR="005826F4" w:rsidRPr="0036710B">
        <w:rPr>
          <w:rFonts w:ascii="Calibri" w:hAnsi="Calibri"/>
        </w:rPr>
        <w:t>PDCWG Meeting 06-14-2017</w:t>
      </w:r>
    </w:p>
    <w:p w:rsidR="00A24A2F" w:rsidRDefault="00A24A2F" w:rsidP="006303C0">
      <w:pPr>
        <w:pStyle w:val="ListParagraph"/>
        <w:jc w:val="both"/>
        <w:rPr>
          <w:rFonts w:ascii="Calibri" w:hAnsi="Calibri"/>
        </w:rPr>
      </w:pPr>
    </w:p>
    <w:p w:rsidR="005826F4" w:rsidRPr="00A24A2F" w:rsidRDefault="00B5585B" w:rsidP="006303C0">
      <w:pPr>
        <w:pStyle w:val="ListParagraph"/>
        <w:numPr>
          <w:ilvl w:val="0"/>
          <w:numId w:val="1"/>
        </w:numPr>
        <w:jc w:val="both"/>
        <w:rPr>
          <w:rFonts w:ascii="Calibri" w:hAnsi="Calibri"/>
        </w:rPr>
      </w:pPr>
      <w:r w:rsidRPr="00A24A2F">
        <w:rPr>
          <w:rFonts w:ascii="Calibri" w:hAnsi="Calibri"/>
        </w:rPr>
        <w:t xml:space="preserve">Send </w:t>
      </w:r>
      <w:r w:rsidR="005826F4" w:rsidRPr="00A24A2F">
        <w:rPr>
          <w:rFonts w:ascii="Calibri" w:hAnsi="Calibri"/>
        </w:rPr>
        <w:t>the draft NPRR filed by Bob Helton</w:t>
      </w:r>
      <w:r w:rsidR="00A24A2F" w:rsidRPr="00A24A2F">
        <w:rPr>
          <w:rFonts w:ascii="Calibri" w:hAnsi="Calibri"/>
        </w:rPr>
        <w:t xml:space="preserve"> on Resource Limits in Providing Responsive Reserves Service</w:t>
      </w:r>
    </w:p>
    <w:p w:rsidR="00A24A2F" w:rsidRPr="00A24A2F" w:rsidRDefault="00A24A2F" w:rsidP="006303C0">
      <w:pPr>
        <w:pStyle w:val="ListParagraph"/>
        <w:jc w:val="both"/>
        <w:rPr>
          <w:rFonts w:ascii="Calibri" w:hAnsi="Calibri"/>
          <w:color w:val="00B050"/>
        </w:rPr>
      </w:pPr>
      <w:r w:rsidRPr="00A24A2F">
        <w:rPr>
          <w:rFonts w:ascii="Calibri" w:hAnsi="Calibri"/>
          <w:color w:val="00B050"/>
        </w:rPr>
        <w:t>Sent to the PDCWG exploder on June 19, 2017.</w:t>
      </w:r>
    </w:p>
    <w:p w:rsidR="00A24A2F" w:rsidRPr="00A24A2F" w:rsidRDefault="00A24A2F" w:rsidP="006303C0">
      <w:pPr>
        <w:pStyle w:val="ListParagraph"/>
        <w:jc w:val="both"/>
        <w:rPr>
          <w:rFonts w:ascii="Calibri" w:hAnsi="Calibri"/>
        </w:rPr>
      </w:pPr>
    </w:p>
    <w:p w:rsidR="00A24A2F" w:rsidRPr="00A24A2F" w:rsidRDefault="003E759B" w:rsidP="006303C0">
      <w:pPr>
        <w:pStyle w:val="ListParagraph"/>
        <w:numPr>
          <w:ilvl w:val="0"/>
          <w:numId w:val="1"/>
        </w:numPr>
        <w:jc w:val="both"/>
        <w:rPr>
          <w:rFonts w:ascii="Calibri" w:hAnsi="Calibri"/>
        </w:rPr>
      </w:pPr>
      <w:r w:rsidRPr="00A24A2F">
        <w:rPr>
          <w:rFonts w:ascii="Calibri" w:hAnsi="Calibri"/>
        </w:rPr>
        <w:t xml:space="preserve">Point out </w:t>
      </w:r>
      <w:r w:rsidR="00A24A2F" w:rsidRPr="00A24A2F">
        <w:rPr>
          <w:rFonts w:ascii="Calibri" w:hAnsi="Calibri"/>
        </w:rPr>
        <w:t>that Resources providing FFR</w:t>
      </w:r>
      <w:r w:rsidR="0082721E" w:rsidRPr="00A24A2F">
        <w:rPr>
          <w:rFonts w:ascii="Calibri" w:hAnsi="Calibri"/>
        </w:rPr>
        <w:t xml:space="preserve"> can only provide one AS at a time</w:t>
      </w:r>
    </w:p>
    <w:p w:rsidR="005826F4" w:rsidRDefault="006303C0" w:rsidP="006303C0">
      <w:pPr>
        <w:pStyle w:val="ListParagraph"/>
        <w:jc w:val="both"/>
        <w:rPr>
          <w:rFonts w:ascii="Calibri" w:hAnsi="Calibri"/>
          <w:color w:val="00B050"/>
        </w:rPr>
      </w:pPr>
      <w:r>
        <w:rPr>
          <w:rFonts w:ascii="Calibri" w:hAnsi="Calibri"/>
          <w:color w:val="00B050"/>
        </w:rPr>
        <w:t xml:space="preserve">In </w:t>
      </w:r>
      <w:r w:rsidR="00A24A2F" w:rsidRPr="00A24A2F">
        <w:rPr>
          <w:rFonts w:ascii="Calibri" w:hAnsi="Calibri"/>
          <w:color w:val="00B050"/>
        </w:rPr>
        <w:t>NPRR 828</w:t>
      </w:r>
      <w:r>
        <w:rPr>
          <w:rFonts w:ascii="Calibri" w:hAnsi="Calibri"/>
          <w:color w:val="00B050"/>
        </w:rPr>
        <w:t>,</w:t>
      </w:r>
      <w:r w:rsidR="00A24A2F" w:rsidRPr="00A24A2F">
        <w:rPr>
          <w:rFonts w:ascii="Calibri" w:hAnsi="Calibri"/>
          <w:color w:val="00B050"/>
        </w:rPr>
        <w:t xml:space="preserve"> sub-bullet (4) </w:t>
      </w:r>
      <w:r w:rsidR="00090989">
        <w:rPr>
          <w:rFonts w:ascii="Calibri" w:hAnsi="Calibri"/>
          <w:color w:val="00B050"/>
        </w:rPr>
        <w:t xml:space="preserve">in </w:t>
      </w:r>
      <w:r w:rsidR="00A24A2F" w:rsidRPr="00A24A2F">
        <w:rPr>
          <w:rFonts w:ascii="Calibri" w:hAnsi="Calibri"/>
          <w:color w:val="00B050"/>
        </w:rPr>
        <w:t>Section 8.1.1.3.2</w:t>
      </w:r>
      <w:r>
        <w:rPr>
          <w:rFonts w:ascii="Calibri" w:hAnsi="Calibri"/>
          <w:color w:val="00B050"/>
        </w:rPr>
        <w:t xml:space="preserve"> </w:t>
      </w:r>
      <w:r w:rsidR="00A24A2F">
        <w:rPr>
          <w:rFonts w:ascii="Calibri" w:hAnsi="Calibri"/>
          <w:color w:val="00B050"/>
        </w:rPr>
        <w:t xml:space="preserve">contains the verbiage that </w:t>
      </w:r>
      <w:r>
        <w:rPr>
          <w:rFonts w:ascii="Calibri" w:hAnsi="Calibri"/>
          <w:color w:val="00B050"/>
        </w:rPr>
        <w:t>mandates</w:t>
      </w:r>
      <w:r w:rsidR="00A24A2F">
        <w:rPr>
          <w:rFonts w:ascii="Calibri" w:hAnsi="Calibri"/>
          <w:color w:val="00B050"/>
        </w:rPr>
        <w:t xml:space="preserve"> in Real Time that Resources that provide FFR are providing only RRS and not using that capacity to provide any other service.</w:t>
      </w:r>
      <w:r>
        <w:rPr>
          <w:rFonts w:ascii="Calibri" w:hAnsi="Calibri"/>
          <w:color w:val="00B050"/>
        </w:rPr>
        <w:t xml:space="preserve"> This language is very similar to the one established for Hydro units that operate in synchronous condenser mode and provide RRS.</w:t>
      </w:r>
    </w:p>
    <w:p w:rsidR="00D42298" w:rsidRDefault="00D42298" w:rsidP="006303C0">
      <w:pPr>
        <w:pStyle w:val="ListParagraph"/>
        <w:jc w:val="both"/>
        <w:rPr>
          <w:rFonts w:ascii="Calibri" w:hAnsi="Calibri"/>
          <w:color w:val="00B050"/>
        </w:rPr>
      </w:pPr>
    </w:p>
    <w:p w:rsidR="00D42298" w:rsidRDefault="00D42298" w:rsidP="00D42298">
      <w:pPr>
        <w:pStyle w:val="ListParagraph"/>
        <w:jc w:val="both"/>
        <w:rPr>
          <w:rFonts w:ascii="Calibri" w:hAnsi="Calibri"/>
          <w:color w:val="00B050"/>
        </w:rPr>
      </w:pPr>
      <w:r w:rsidRPr="00D42298">
        <w:rPr>
          <w:rFonts w:ascii="Calibri" w:hAnsi="Calibri"/>
          <w:color w:val="00B050"/>
        </w:rPr>
        <w:t>8.1.1.3.2</w:t>
      </w:r>
      <w:r w:rsidRPr="00D42298">
        <w:rPr>
          <w:rFonts w:ascii="Calibri" w:hAnsi="Calibri"/>
          <w:color w:val="00B050"/>
        </w:rPr>
        <w:tab/>
        <w:t>Responsive Reserve Service Capacity Monitoring Criteria</w:t>
      </w:r>
    </w:p>
    <w:p w:rsidR="00D42298" w:rsidRPr="00D42298" w:rsidRDefault="00D42298" w:rsidP="00D42298">
      <w:pPr>
        <w:pStyle w:val="ListParagraph"/>
        <w:ind w:left="1440" w:hanging="720"/>
        <w:jc w:val="both"/>
        <w:rPr>
          <w:rFonts w:ascii="Calibri" w:hAnsi="Calibri"/>
          <w:color w:val="00B050"/>
        </w:rPr>
      </w:pPr>
      <w:r w:rsidRPr="00D42298">
        <w:rPr>
          <w:rFonts w:ascii="Calibri" w:hAnsi="Calibri"/>
          <w:color w:val="00B050"/>
        </w:rPr>
        <w:t xml:space="preserve">(4) </w:t>
      </w:r>
      <w:r w:rsidRPr="00D42298">
        <w:rPr>
          <w:rFonts w:ascii="Calibri" w:hAnsi="Calibri"/>
          <w:color w:val="00B050"/>
        </w:rPr>
        <w:tab/>
        <w:t>A Resource providing FFR that is capable of providing Responsive Reserve and that has a status code of ONFFRL is considered to be providing responsive capability to the extent that it is not using that capacity to provide energy.</w:t>
      </w:r>
    </w:p>
    <w:p w:rsidR="006303C0" w:rsidRPr="00A24A2F" w:rsidRDefault="006303C0" w:rsidP="006303C0">
      <w:pPr>
        <w:pStyle w:val="ListParagraph"/>
        <w:jc w:val="both"/>
        <w:rPr>
          <w:rFonts w:ascii="Calibri" w:hAnsi="Calibri"/>
          <w:color w:val="00B050"/>
        </w:rPr>
      </w:pPr>
      <w:bookmarkStart w:id="0" w:name="_GoBack"/>
      <w:bookmarkEnd w:id="0"/>
    </w:p>
    <w:p w:rsidR="006303C0" w:rsidRDefault="0082721E" w:rsidP="006303C0">
      <w:pPr>
        <w:pStyle w:val="ListParagraph"/>
        <w:numPr>
          <w:ilvl w:val="0"/>
          <w:numId w:val="1"/>
        </w:numPr>
        <w:jc w:val="both"/>
        <w:rPr>
          <w:rFonts w:ascii="Calibri" w:hAnsi="Calibri"/>
        </w:rPr>
      </w:pPr>
      <w:r w:rsidRPr="00A24A2F">
        <w:rPr>
          <w:rFonts w:ascii="Calibri" w:hAnsi="Calibri"/>
        </w:rPr>
        <w:t>Language that governs when FFR is allowed to charge</w:t>
      </w:r>
    </w:p>
    <w:p w:rsidR="006303C0" w:rsidRDefault="006303C0" w:rsidP="006303C0">
      <w:pPr>
        <w:pStyle w:val="ListParagraph"/>
        <w:jc w:val="both"/>
        <w:rPr>
          <w:rFonts w:ascii="Calibri" w:hAnsi="Calibri"/>
          <w:color w:val="00B050"/>
        </w:rPr>
      </w:pPr>
      <w:r>
        <w:rPr>
          <w:rFonts w:ascii="Calibri" w:hAnsi="Calibri"/>
          <w:color w:val="00B050"/>
        </w:rPr>
        <w:t xml:space="preserve">In the </w:t>
      </w:r>
      <w:r w:rsidRPr="006303C0">
        <w:rPr>
          <w:rFonts w:ascii="Calibri" w:hAnsi="Calibri"/>
          <w:color w:val="00B050"/>
        </w:rPr>
        <w:t xml:space="preserve">Draft comment </w:t>
      </w:r>
      <w:r>
        <w:rPr>
          <w:rFonts w:ascii="Calibri" w:hAnsi="Calibri"/>
          <w:color w:val="00B050"/>
        </w:rPr>
        <w:t>document</w:t>
      </w:r>
      <w:r w:rsidR="00E31171">
        <w:rPr>
          <w:rFonts w:ascii="Calibri" w:hAnsi="Calibri"/>
          <w:color w:val="00B050"/>
        </w:rPr>
        <w:t>,</w:t>
      </w:r>
      <w:r>
        <w:rPr>
          <w:rFonts w:ascii="Calibri" w:hAnsi="Calibri"/>
          <w:color w:val="00B050"/>
        </w:rPr>
        <w:t xml:space="preserve"> we have proposed adding language that clarifies system conditions under which Resources providing FFR will be allowed to withdraw energy from </w:t>
      </w:r>
      <w:r w:rsidR="00E31171">
        <w:rPr>
          <w:rFonts w:ascii="Calibri" w:hAnsi="Calibri"/>
          <w:color w:val="00B050"/>
        </w:rPr>
        <w:t xml:space="preserve">the grid following a deployment in Section </w:t>
      </w:r>
      <w:r w:rsidR="00E31171" w:rsidRPr="006303C0">
        <w:rPr>
          <w:rFonts w:ascii="Calibri" w:hAnsi="Calibri"/>
          <w:color w:val="00B050"/>
        </w:rPr>
        <w:t>8.1.1.4.2</w:t>
      </w:r>
      <w:r w:rsidR="00E31171">
        <w:rPr>
          <w:rFonts w:ascii="Calibri" w:hAnsi="Calibri"/>
          <w:color w:val="00B050"/>
        </w:rPr>
        <w:t xml:space="preserve"> </w:t>
      </w:r>
      <w:r w:rsidR="00E31171" w:rsidRPr="006303C0">
        <w:rPr>
          <w:rFonts w:ascii="Calibri" w:hAnsi="Calibri"/>
          <w:color w:val="00B050"/>
        </w:rPr>
        <w:t>(2)</w:t>
      </w:r>
      <w:r w:rsidR="00E31171">
        <w:rPr>
          <w:rFonts w:ascii="Calibri" w:hAnsi="Calibri"/>
          <w:color w:val="00B050"/>
        </w:rPr>
        <w:t>. Below is the proposed language.</w:t>
      </w:r>
    </w:p>
    <w:p w:rsidR="006303C0" w:rsidRDefault="006303C0" w:rsidP="006303C0">
      <w:pPr>
        <w:pStyle w:val="ListParagraph"/>
        <w:numPr>
          <w:ilvl w:val="0"/>
          <w:numId w:val="2"/>
        </w:numPr>
        <w:jc w:val="both"/>
        <w:rPr>
          <w:rFonts w:ascii="Calibri" w:hAnsi="Calibri"/>
          <w:color w:val="00B050"/>
        </w:rPr>
      </w:pPr>
      <w:r>
        <w:rPr>
          <w:rFonts w:ascii="Calibri" w:hAnsi="Calibri"/>
          <w:color w:val="00B050"/>
        </w:rPr>
        <w:t>Sub-bullet (e) in Section</w:t>
      </w:r>
      <w:r w:rsidR="00382AC2" w:rsidRPr="006303C0">
        <w:rPr>
          <w:rFonts w:ascii="Calibri" w:hAnsi="Calibri"/>
          <w:color w:val="00B050"/>
        </w:rPr>
        <w:t xml:space="preserve"> 8.1.1.4.2</w:t>
      </w:r>
      <w:r>
        <w:rPr>
          <w:rFonts w:ascii="Calibri" w:hAnsi="Calibri"/>
          <w:color w:val="00B050"/>
        </w:rPr>
        <w:t xml:space="preserve"> </w:t>
      </w:r>
      <w:r w:rsidR="00382AC2" w:rsidRPr="006303C0">
        <w:rPr>
          <w:rFonts w:ascii="Calibri" w:hAnsi="Calibri"/>
          <w:color w:val="00B050"/>
        </w:rPr>
        <w:t>(2)</w:t>
      </w:r>
      <w:r>
        <w:rPr>
          <w:rFonts w:ascii="Calibri" w:hAnsi="Calibri"/>
          <w:color w:val="00B050"/>
        </w:rPr>
        <w:t>(iii)</w:t>
      </w:r>
      <w:r w:rsidR="00E31171">
        <w:rPr>
          <w:rFonts w:ascii="Calibri" w:hAnsi="Calibri"/>
          <w:color w:val="00B050"/>
        </w:rPr>
        <w:t xml:space="preserve"> on</w:t>
      </w:r>
      <w:r>
        <w:rPr>
          <w:rFonts w:ascii="Calibri" w:hAnsi="Calibri"/>
          <w:color w:val="00B050"/>
        </w:rPr>
        <w:t xml:space="preserve"> page 39</w:t>
      </w:r>
    </w:p>
    <w:p w:rsidR="006303C0" w:rsidRPr="006303C0" w:rsidRDefault="006303C0" w:rsidP="006303C0">
      <w:pPr>
        <w:pStyle w:val="ListParagraph"/>
        <w:ind w:left="2160" w:hanging="720"/>
        <w:jc w:val="both"/>
        <w:rPr>
          <w:rFonts w:ascii="Calibri" w:hAnsi="Calibri"/>
          <w:color w:val="00B050"/>
        </w:rPr>
      </w:pPr>
      <w:r w:rsidRPr="006303C0">
        <w:rPr>
          <w:rFonts w:ascii="Calibri" w:hAnsi="Calibri"/>
          <w:color w:val="00B050"/>
        </w:rPr>
        <w:t xml:space="preserve">(e)   </w:t>
      </w:r>
      <w:r w:rsidRPr="006303C0">
        <w:rPr>
          <w:rFonts w:ascii="Calibri" w:hAnsi="Calibri"/>
          <w:color w:val="00B050"/>
        </w:rPr>
        <w:tab/>
        <w:t>Following recall instruction or completion of 15 minute deployment period, Resources providing FFR may not withdraw energy from the grid till frequency recovers to 60 Hz.</w:t>
      </w:r>
    </w:p>
    <w:p w:rsidR="0082721E" w:rsidRDefault="006303C0" w:rsidP="006303C0">
      <w:pPr>
        <w:pStyle w:val="ListParagraph"/>
        <w:numPr>
          <w:ilvl w:val="0"/>
          <w:numId w:val="2"/>
        </w:numPr>
        <w:jc w:val="both"/>
        <w:rPr>
          <w:rFonts w:ascii="Calibri" w:hAnsi="Calibri"/>
          <w:color w:val="00B050"/>
        </w:rPr>
      </w:pPr>
      <w:r>
        <w:rPr>
          <w:rFonts w:ascii="Calibri" w:hAnsi="Calibri"/>
          <w:color w:val="00B050"/>
        </w:rPr>
        <w:t>Sub-bullet (d) in Section</w:t>
      </w:r>
      <w:r w:rsidRPr="006303C0">
        <w:rPr>
          <w:rFonts w:ascii="Calibri" w:hAnsi="Calibri"/>
          <w:color w:val="00B050"/>
        </w:rPr>
        <w:t xml:space="preserve"> 8.1.1.4.2</w:t>
      </w:r>
      <w:r>
        <w:rPr>
          <w:rFonts w:ascii="Calibri" w:hAnsi="Calibri"/>
          <w:color w:val="00B050"/>
        </w:rPr>
        <w:t xml:space="preserve"> </w:t>
      </w:r>
      <w:r w:rsidRPr="006303C0">
        <w:rPr>
          <w:rFonts w:ascii="Calibri" w:hAnsi="Calibri"/>
          <w:color w:val="00B050"/>
        </w:rPr>
        <w:t>(2)</w:t>
      </w:r>
      <w:r>
        <w:rPr>
          <w:rFonts w:ascii="Calibri" w:hAnsi="Calibri"/>
          <w:color w:val="00B050"/>
        </w:rPr>
        <w:t xml:space="preserve">(iv) </w:t>
      </w:r>
      <w:r w:rsidR="00E31171">
        <w:rPr>
          <w:rFonts w:ascii="Calibri" w:hAnsi="Calibri"/>
          <w:color w:val="00B050"/>
        </w:rPr>
        <w:t xml:space="preserve">on </w:t>
      </w:r>
      <w:r>
        <w:rPr>
          <w:rFonts w:ascii="Calibri" w:hAnsi="Calibri"/>
          <w:color w:val="00B050"/>
        </w:rPr>
        <w:t>p</w:t>
      </w:r>
      <w:r w:rsidR="00865627" w:rsidRPr="006303C0">
        <w:rPr>
          <w:rFonts w:ascii="Calibri" w:hAnsi="Calibri"/>
          <w:color w:val="00B050"/>
        </w:rPr>
        <w:t>age 40</w:t>
      </w:r>
    </w:p>
    <w:p w:rsidR="006303C0" w:rsidRPr="006303C0" w:rsidRDefault="006303C0" w:rsidP="006303C0">
      <w:pPr>
        <w:pStyle w:val="ListParagraph"/>
        <w:ind w:left="2160" w:hanging="720"/>
        <w:jc w:val="both"/>
        <w:rPr>
          <w:rFonts w:ascii="Calibri" w:hAnsi="Calibri"/>
          <w:color w:val="00B050"/>
        </w:rPr>
      </w:pPr>
      <w:r w:rsidRPr="006303C0">
        <w:rPr>
          <w:rFonts w:ascii="Calibri" w:hAnsi="Calibri"/>
          <w:color w:val="00B050"/>
        </w:rPr>
        <w:t xml:space="preserve">(d) </w:t>
      </w:r>
      <w:r w:rsidRPr="006303C0">
        <w:rPr>
          <w:rFonts w:ascii="Calibri" w:hAnsi="Calibri"/>
          <w:color w:val="00B050"/>
        </w:rPr>
        <w:tab/>
        <w:t>Following recall instruction or completion of 15 minute deployment period, Resources providing FFR may only withdraw energy from the grid after an EEA has ended and frequency has recovered above 59.95 Hz.</w:t>
      </w:r>
    </w:p>
    <w:p w:rsidR="006303C0" w:rsidRPr="006303C0" w:rsidRDefault="006303C0" w:rsidP="006303C0">
      <w:pPr>
        <w:pStyle w:val="ListParagraph"/>
        <w:ind w:left="1440"/>
        <w:jc w:val="both"/>
        <w:rPr>
          <w:rFonts w:ascii="Calibri" w:hAnsi="Calibri"/>
          <w:color w:val="00B050"/>
        </w:rPr>
      </w:pPr>
    </w:p>
    <w:p w:rsidR="0082721E" w:rsidRDefault="0082721E" w:rsidP="006303C0">
      <w:pPr>
        <w:pStyle w:val="ListParagraph"/>
        <w:numPr>
          <w:ilvl w:val="0"/>
          <w:numId w:val="1"/>
        </w:numPr>
        <w:jc w:val="both"/>
        <w:rPr>
          <w:rFonts w:ascii="Calibri" w:hAnsi="Calibri"/>
        </w:rPr>
      </w:pPr>
      <w:r w:rsidRPr="00A24A2F">
        <w:rPr>
          <w:rFonts w:ascii="Calibri" w:hAnsi="Calibri"/>
        </w:rPr>
        <w:t xml:space="preserve">Primary and back-up frequency sources </w:t>
      </w:r>
    </w:p>
    <w:p w:rsidR="00090989" w:rsidRPr="00090989" w:rsidRDefault="00090989" w:rsidP="00090989">
      <w:pPr>
        <w:pStyle w:val="ListParagraph"/>
        <w:jc w:val="both"/>
        <w:rPr>
          <w:rFonts w:ascii="Calibri" w:hAnsi="Calibri"/>
          <w:color w:val="00B050"/>
        </w:rPr>
      </w:pPr>
      <w:r w:rsidRPr="00090989">
        <w:rPr>
          <w:rFonts w:ascii="Calibri" w:hAnsi="Calibri"/>
          <w:color w:val="00B050"/>
        </w:rPr>
        <w:t>We have reviewed the current Protocol and Guides and notice that no such guidance has been explicitly established for the equipment that currently sense frequency &amp; respond to events. We think that this approach is acceptable for FFR as well. Reason being, should a FFR response failure occur due to issues related to frequency sensing, sub-bullet (11) in Section 8.1.1.1 in NPPR 828 includes provisions to disqualify the resource and require a Corrective Action Plan that addresses the deficiencies which may include adding multiple sources for frequency.</w:t>
      </w:r>
    </w:p>
    <w:p w:rsidR="00090989" w:rsidRDefault="00090989" w:rsidP="00090989">
      <w:pPr>
        <w:pStyle w:val="ListParagraph"/>
        <w:jc w:val="both"/>
        <w:rPr>
          <w:rFonts w:ascii="Calibri" w:hAnsi="Calibri"/>
          <w:highlight w:val="yellow"/>
        </w:rPr>
      </w:pPr>
    </w:p>
    <w:p w:rsidR="0082721E" w:rsidRPr="00BD3FCE" w:rsidRDefault="00BD3FCE" w:rsidP="006303C0">
      <w:pPr>
        <w:pStyle w:val="ListParagraph"/>
        <w:numPr>
          <w:ilvl w:val="0"/>
          <w:numId w:val="1"/>
        </w:numPr>
        <w:jc w:val="both"/>
        <w:rPr>
          <w:rFonts w:ascii="Calibri" w:hAnsi="Calibri"/>
        </w:rPr>
      </w:pPr>
      <w:r w:rsidRPr="00BD3FCE">
        <w:rPr>
          <w:rFonts w:ascii="Calibri" w:hAnsi="Calibri"/>
        </w:rPr>
        <w:t>8.1.1.2.1.2</w:t>
      </w:r>
      <w:r w:rsidR="001279CE">
        <w:rPr>
          <w:rFonts w:ascii="Calibri" w:hAnsi="Calibri"/>
        </w:rPr>
        <w:t xml:space="preserve"> </w:t>
      </w:r>
      <w:r w:rsidR="009561E9" w:rsidRPr="00BD3FCE">
        <w:rPr>
          <w:rFonts w:ascii="Calibri" w:hAnsi="Calibri"/>
        </w:rPr>
        <w:t>language about breaker action</w:t>
      </w:r>
    </w:p>
    <w:p w:rsidR="00BD3FCE" w:rsidRDefault="00BD3FCE" w:rsidP="00BD3FCE">
      <w:pPr>
        <w:pStyle w:val="ListParagraph"/>
        <w:jc w:val="both"/>
        <w:rPr>
          <w:rFonts w:ascii="Calibri" w:hAnsi="Calibri"/>
          <w:color w:val="00B050"/>
        </w:rPr>
      </w:pPr>
      <w:bookmarkStart w:id="1" w:name="_Toc141777772"/>
      <w:bookmarkStart w:id="2" w:name="_Toc203961353"/>
      <w:bookmarkStart w:id="3" w:name="_Toc400968477"/>
      <w:bookmarkStart w:id="4" w:name="_Toc402362725"/>
      <w:bookmarkStart w:id="5" w:name="_Toc405554791"/>
      <w:bookmarkStart w:id="6" w:name="_Toc458771451"/>
      <w:bookmarkStart w:id="7" w:name="_Toc458771574"/>
      <w:bookmarkStart w:id="8" w:name="_Toc460939753"/>
      <w:bookmarkStart w:id="9" w:name="_Toc465246206"/>
      <w:r>
        <w:rPr>
          <w:rFonts w:ascii="Calibri" w:hAnsi="Calibri"/>
          <w:color w:val="00B050"/>
        </w:rPr>
        <w:t xml:space="preserve">In </w:t>
      </w:r>
      <w:r w:rsidRPr="00A24A2F">
        <w:rPr>
          <w:rFonts w:ascii="Calibri" w:hAnsi="Calibri"/>
          <w:color w:val="00B050"/>
        </w:rPr>
        <w:t>NPRR 828</w:t>
      </w:r>
      <w:r>
        <w:rPr>
          <w:rFonts w:ascii="Calibri" w:hAnsi="Calibri"/>
          <w:color w:val="00B050"/>
        </w:rPr>
        <w:t>,</w:t>
      </w:r>
      <w:r>
        <w:rPr>
          <w:rFonts w:ascii="Calibri" w:hAnsi="Calibri"/>
          <w:color w:val="00B050"/>
        </w:rPr>
        <w:t xml:space="preserve"> sub-bullet (8</w:t>
      </w:r>
      <w:r w:rsidRPr="00A24A2F">
        <w:rPr>
          <w:rFonts w:ascii="Calibri" w:hAnsi="Calibri"/>
          <w:color w:val="00B050"/>
        </w:rPr>
        <w:t>)</w:t>
      </w:r>
      <w:r>
        <w:rPr>
          <w:rFonts w:ascii="Calibri" w:hAnsi="Calibri"/>
          <w:color w:val="00B050"/>
        </w:rPr>
        <w:t>(e)(1)</w:t>
      </w:r>
      <w:r w:rsidRPr="00A24A2F">
        <w:rPr>
          <w:rFonts w:ascii="Calibri" w:hAnsi="Calibri"/>
          <w:color w:val="00B050"/>
        </w:rPr>
        <w:t xml:space="preserve"> </w:t>
      </w:r>
      <w:r>
        <w:rPr>
          <w:rFonts w:ascii="Calibri" w:hAnsi="Calibri"/>
          <w:color w:val="00B050"/>
        </w:rPr>
        <w:t xml:space="preserve">in </w:t>
      </w:r>
      <w:r w:rsidRPr="00A24A2F">
        <w:rPr>
          <w:rFonts w:ascii="Calibri" w:hAnsi="Calibri"/>
          <w:color w:val="00B050"/>
        </w:rPr>
        <w:t>Section 8.1.1.3.2</w:t>
      </w:r>
      <w:r>
        <w:rPr>
          <w:rFonts w:ascii="Calibri" w:hAnsi="Calibri"/>
          <w:color w:val="00B050"/>
        </w:rPr>
        <w:t xml:space="preserve"> contains the verbiage</w:t>
      </w:r>
      <w:r>
        <w:rPr>
          <w:rFonts w:ascii="Calibri" w:hAnsi="Calibri"/>
          <w:color w:val="00B050"/>
        </w:rPr>
        <w:t xml:space="preserve"> that clarifies that for resources providing FFR that rely on high-set under frequency relay for automatic interruption, the 30 cycle  response time includes all relay and breaker operating time. This requirement is very similar to the requirement currently imposed on Load Resources that provide RRS.</w:t>
      </w:r>
    </w:p>
    <w:p w:rsidR="00BD3FCE" w:rsidRDefault="00BD3FCE" w:rsidP="00BD3FCE">
      <w:pPr>
        <w:pStyle w:val="ListParagraph"/>
        <w:jc w:val="both"/>
        <w:rPr>
          <w:rFonts w:ascii="Calibri" w:hAnsi="Calibri"/>
          <w:color w:val="00B050"/>
        </w:rPr>
      </w:pPr>
      <w:r w:rsidRPr="00BD3FCE">
        <w:rPr>
          <w:rFonts w:ascii="Calibri" w:hAnsi="Calibri"/>
          <w:color w:val="00B050"/>
        </w:rPr>
        <w:t>8.1.1.2.1.2</w:t>
      </w:r>
      <w:r w:rsidRPr="00BD3FCE">
        <w:rPr>
          <w:rFonts w:ascii="Calibri" w:hAnsi="Calibri"/>
          <w:color w:val="00B050"/>
        </w:rPr>
        <w:tab/>
        <w:t>Responsive Reserve Service</w:t>
      </w:r>
      <w:bookmarkEnd w:id="1"/>
      <w:bookmarkEnd w:id="2"/>
      <w:r w:rsidRPr="00BD3FCE">
        <w:rPr>
          <w:rFonts w:ascii="Calibri" w:hAnsi="Calibri"/>
          <w:color w:val="00B050"/>
        </w:rPr>
        <w:t xml:space="preserve"> Qualification</w:t>
      </w:r>
      <w:bookmarkEnd w:id="3"/>
      <w:bookmarkEnd w:id="4"/>
      <w:bookmarkEnd w:id="5"/>
      <w:bookmarkEnd w:id="6"/>
      <w:bookmarkEnd w:id="7"/>
      <w:bookmarkEnd w:id="8"/>
      <w:bookmarkEnd w:id="9"/>
    </w:p>
    <w:p w:rsidR="00BD3FCE" w:rsidRPr="00BD3FCE" w:rsidRDefault="00BD3FCE" w:rsidP="001279CE">
      <w:pPr>
        <w:pStyle w:val="ListParagraph"/>
        <w:ind w:left="1440" w:hanging="720"/>
        <w:jc w:val="both"/>
        <w:rPr>
          <w:rFonts w:ascii="Calibri" w:hAnsi="Calibri"/>
          <w:color w:val="00B050"/>
        </w:rPr>
      </w:pPr>
      <w:r w:rsidRPr="00BD3FCE">
        <w:rPr>
          <w:rFonts w:ascii="Calibri" w:hAnsi="Calibri"/>
          <w:color w:val="00B050"/>
        </w:rPr>
        <w:lastRenderedPageBreak/>
        <w:t>(</w:t>
      </w:r>
      <w:proofErr w:type="spellStart"/>
      <w:r w:rsidRPr="00BD3FCE">
        <w:rPr>
          <w:rFonts w:ascii="Calibri" w:hAnsi="Calibri"/>
          <w:color w:val="00B050"/>
        </w:rPr>
        <w:t>i</w:t>
      </w:r>
      <w:proofErr w:type="spellEnd"/>
      <w:r w:rsidRPr="00BD3FCE">
        <w:rPr>
          <w:rFonts w:ascii="Calibri" w:hAnsi="Calibri"/>
          <w:color w:val="00B050"/>
        </w:rPr>
        <w:t xml:space="preserve">) </w:t>
      </w:r>
      <w:r w:rsidRPr="00BD3FCE">
        <w:rPr>
          <w:rFonts w:ascii="Calibri" w:hAnsi="Calibri"/>
          <w:color w:val="00B050"/>
        </w:rPr>
        <w:tab/>
        <w:t xml:space="preserve">The under-frequency relay or similar trigger mechanism must have a delay of no more than 20 cycles (or 0.33 seconds for relays that do not count cycles). The total time from the time frequency first decays to a value low enough to initiate action up to the time when full Ancillary Service Resource Responsibility for RRS is delivered should be no more than 30 cycles, including all relay and breaker operating times; </w:t>
      </w:r>
    </w:p>
    <w:p w:rsidR="00090989" w:rsidRDefault="00090989" w:rsidP="00090989">
      <w:pPr>
        <w:pStyle w:val="ListParagraph"/>
        <w:jc w:val="both"/>
        <w:rPr>
          <w:rFonts w:ascii="Calibri" w:hAnsi="Calibri"/>
        </w:rPr>
      </w:pPr>
    </w:p>
    <w:p w:rsidR="00090989" w:rsidRDefault="00090989" w:rsidP="006303C0">
      <w:pPr>
        <w:pStyle w:val="ListParagraph"/>
        <w:numPr>
          <w:ilvl w:val="0"/>
          <w:numId w:val="1"/>
        </w:numPr>
        <w:jc w:val="both"/>
        <w:rPr>
          <w:rFonts w:ascii="Calibri" w:hAnsi="Calibri"/>
        </w:rPr>
      </w:pPr>
      <w:r>
        <w:rPr>
          <w:rFonts w:ascii="Calibri" w:hAnsi="Calibri"/>
        </w:rPr>
        <w:t xml:space="preserve">FFR response at </w:t>
      </w:r>
      <w:r w:rsidR="00AC2558" w:rsidRPr="00A24A2F">
        <w:rPr>
          <w:rFonts w:ascii="Calibri" w:hAnsi="Calibri"/>
        </w:rPr>
        <w:t>30 cycles or better</w:t>
      </w:r>
    </w:p>
    <w:p w:rsidR="0082721E" w:rsidRDefault="00316A2D" w:rsidP="00090989">
      <w:pPr>
        <w:pStyle w:val="ListParagraph"/>
        <w:jc w:val="both"/>
        <w:rPr>
          <w:rFonts w:ascii="Calibri" w:hAnsi="Calibri"/>
          <w:color w:val="00B050"/>
        </w:rPr>
      </w:pPr>
      <w:r w:rsidRPr="00316A2D">
        <w:rPr>
          <w:rFonts w:ascii="Calibri" w:hAnsi="Calibri"/>
          <w:color w:val="00B050"/>
        </w:rPr>
        <w:t>We have explored the option of using a delay that is lower than 30</w:t>
      </w:r>
      <w:r>
        <w:rPr>
          <w:rFonts w:ascii="Calibri" w:hAnsi="Calibri"/>
          <w:color w:val="00B050"/>
        </w:rPr>
        <w:t xml:space="preserve"> </w:t>
      </w:r>
      <w:r w:rsidRPr="00316A2D">
        <w:rPr>
          <w:rFonts w:ascii="Calibri" w:hAnsi="Calibri"/>
          <w:color w:val="00B050"/>
        </w:rPr>
        <w:t>cycles. A</w:t>
      </w:r>
      <w:r>
        <w:rPr>
          <w:rFonts w:ascii="Calibri" w:hAnsi="Calibri"/>
          <w:color w:val="00B050"/>
        </w:rPr>
        <w:t xml:space="preserve"> </w:t>
      </w:r>
      <w:r w:rsidR="003A2D55">
        <w:rPr>
          <w:rFonts w:ascii="Calibri" w:hAnsi="Calibri"/>
          <w:color w:val="00B050"/>
        </w:rPr>
        <w:t>s</w:t>
      </w:r>
      <w:r w:rsidRPr="00316A2D">
        <w:rPr>
          <w:rFonts w:ascii="Calibri" w:hAnsi="Calibri"/>
          <w:color w:val="00B050"/>
        </w:rPr>
        <w:t xml:space="preserve">etting </w:t>
      </w:r>
      <w:r>
        <w:rPr>
          <w:rFonts w:ascii="Calibri" w:hAnsi="Calibri"/>
          <w:color w:val="00B050"/>
        </w:rPr>
        <w:t xml:space="preserve">lower than 30 cycles </w:t>
      </w:r>
      <w:r w:rsidR="003A2D55">
        <w:rPr>
          <w:rFonts w:ascii="Calibri" w:hAnsi="Calibri"/>
          <w:color w:val="00B050"/>
        </w:rPr>
        <w:t xml:space="preserve">reduces the delay period for response and </w:t>
      </w:r>
      <w:r>
        <w:rPr>
          <w:rFonts w:ascii="Calibri" w:hAnsi="Calibri"/>
          <w:color w:val="00B050"/>
        </w:rPr>
        <w:t xml:space="preserve">may increase the risk of </w:t>
      </w:r>
      <w:r w:rsidR="003A2D55">
        <w:rPr>
          <w:rFonts w:ascii="Calibri" w:hAnsi="Calibri"/>
          <w:color w:val="00B050"/>
        </w:rPr>
        <w:t xml:space="preserve">false positive </w:t>
      </w:r>
      <w:r>
        <w:rPr>
          <w:rFonts w:ascii="Calibri" w:hAnsi="Calibri"/>
          <w:color w:val="00B050"/>
        </w:rPr>
        <w:t>pick up &amp; respon</w:t>
      </w:r>
      <w:r w:rsidR="003A2D55">
        <w:rPr>
          <w:rFonts w:ascii="Calibri" w:hAnsi="Calibri"/>
          <w:color w:val="00B050"/>
        </w:rPr>
        <w:t>se (“</w:t>
      </w:r>
      <w:r>
        <w:rPr>
          <w:rFonts w:ascii="Calibri" w:hAnsi="Calibri"/>
          <w:color w:val="00B050"/>
        </w:rPr>
        <w:t>faulty</w:t>
      </w:r>
      <w:r w:rsidR="003A2D55">
        <w:rPr>
          <w:rFonts w:ascii="Calibri" w:hAnsi="Calibri"/>
          <w:color w:val="00B050"/>
        </w:rPr>
        <w:t>” trips)</w:t>
      </w:r>
      <w:r w:rsidRPr="00316A2D">
        <w:rPr>
          <w:rFonts w:ascii="Calibri" w:hAnsi="Calibri"/>
          <w:color w:val="00B050"/>
        </w:rPr>
        <w:t>.</w:t>
      </w:r>
      <w:r w:rsidR="003A2D55">
        <w:rPr>
          <w:rFonts w:ascii="Calibri" w:hAnsi="Calibri"/>
          <w:color w:val="00B050"/>
        </w:rPr>
        <w:t xml:space="preserve"> Hence</w:t>
      </w:r>
      <w:r w:rsidRPr="00316A2D">
        <w:rPr>
          <w:rFonts w:ascii="Calibri" w:hAnsi="Calibri"/>
          <w:color w:val="00B050"/>
        </w:rPr>
        <w:t xml:space="preserve"> </w:t>
      </w:r>
      <w:r w:rsidR="003A2D55">
        <w:rPr>
          <w:rFonts w:ascii="Calibri" w:hAnsi="Calibri"/>
          <w:color w:val="00B050"/>
        </w:rPr>
        <w:t>we recommend using 30 cycles as response time.</w:t>
      </w:r>
      <w:r w:rsidRPr="00316A2D">
        <w:rPr>
          <w:rFonts w:ascii="Calibri" w:hAnsi="Calibri"/>
          <w:color w:val="00B050"/>
        </w:rPr>
        <w:t xml:space="preserve"> </w:t>
      </w:r>
      <w:r w:rsidR="003A2D55">
        <w:rPr>
          <w:rFonts w:ascii="Calibri" w:hAnsi="Calibri"/>
          <w:color w:val="00B050"/>
        </w:rPr>
        <w:t>That said, w</w:t>
      </w:r>
      <w:r w:rsidRPr="00316A2D">
        <w:rPr>
          <w:rFonts w:ascii="Calibri" w:hAnsi="Calibri"/>
          <w:color w:val="00B050"/>
        </w:rPr>
        <w:t>e are open to revisiting this</w:t>
      </w:r>
      <w:r w:rsidR="003A2D55">
        <w:rPr>
          <w:rFonts w:ascii="Calibri" w:hAnsi="Calibri"/>
          <w:color w:val="00B050"/>
        </w:rPr>
        <w:t xml:space="preserve"> setting </w:t>
      </w:r>
      <w:r w:rsidRPr="00316A2D">
        <w:rPr>
          <w:rFonts w:ascii="Calibri" w:hAnsi="Calibri"/>
          <w:color w:val="00B050"/>
        </w:rPr>
        <w:t>in the future</w:t>
      </w:r>
      <w:r w:rsidR="003A2D55">
        <w:rPr>
          <w:rFonts w:ascii="Calibri" w:hAnsi="Calibri"/>
          <w:color w:val="00B050"/>
        </w:rPr>
        <w:t xml:space="preserve">, should evolution in </w:t>
      </w:r>
      <w:r w:rsidRPr="00316A2D">
        <w:rPr>
          <w:rFonts w:ascii="Calibri" w:hAnsi="Calibri"/>
          <w:color w:val="00B050"/>
        </w:rPr>
        <w:t xml:space="preserve">technology </w:t>
      </w:r>
      <w:r w:rsidR="003A2D55">
        <w:rPr>
          <w:rFonts w:ascii="Calibri" w:hAnsi="Calibri"/>
          <w:color w:val="00B050"/>
        </w:rPr>
        <w:t>lower the risk for false positive trips</w:t>
      </w:r>
      <w:r w:rsidRPr="00316A2D">
        <w:rPr>
          <w:rFonts w:ascii="Calibri" w:hAnsi="Calibri"/>
          <w:color w:val="00B050"/>
        </w:rPr>
        <w:t>.</w:t>
      </w:r>
      <w:r w:rsidR="00865627" w:rsidRPr="0036710B">
        <w:rPr>
          <w:rFonts w:ascii="Calibri" w:hAnsi="Calibri"/>
          <w:color w:val="00B050"/>
        </w:rPr>
        <w:t xml:space="preserve"> </w:t>
      </w:r>
    </w:p>
    <w:p w:rsidR="0036710B" w:rsidRPr="0036710B" w:rsidRDefault="0036710B" w:rsidP="00090989">
      <w:pPr>
        <w:pStyle w:val="ListParagraph"/>
        <w:jc w:val="both"/>
        <w:rPr>
          <w:rFonts w:ascii="Calibri" w:hAnsi="Calibri"/>
          <w:color w:val="00B050"/>
        </w:rPr>
      </w:pPr>
    </w:p>
    <w:p w:rsidR="0036710B" w:rsidRPr="0036710B" w:rsidRDefault="00082491" w:rsidP="006303C0">
      <w:pPr>
        <w:pStyle w:val="ListParagraph"/>
        <w:numPr>
          <w:ilvl w:val="0"/>
          <w:numId w:val="1"/>
        </w:numPr>
        <w:jc w:val="both"/>
        <w:rPr>
          <w:rFonts w:ascii="Calibri" w:hAnsi="Calibri"/>
          <w:color w:val="FF0000"/>
        </w:rPr>
      </w:pPr>
      <w:r w:rsidRPr="00A24A2F">
        <w:rPr>
          <w:rFonts w:ascii="Calibri" w:hAnsi="Calibri"/>
        </w:rPr>
        <w:t xml:space="preserve">How do we continue to make sure that Battery can provide performance consistent with the </w:t>
      </w:r>
      <w:r w:rsidR="0036710B">
        <w:rPr>
          <w:rFonts w:ascii="Calibri" w:hAnsi="Calibri"/>
        </w:rPr>
        <w:t xml:space="preserve">qualification? </w:t>
      </w:r>
    </w:p>
    <w:p w:rsidR="00AC2558" w:rsidRDefault="00865627" w:rsidP="0036710B">
      <w:pPr>
        <w:pStyle w:val="ListParagraph"/>
        <w:jc w:val="both"/>
        <w:rPr>
          <w:rFonts w:ascii="Calibri" w:hAnsi="Calibri"/>
          <w:color w:val="00B050"/>
        </w:rPr>
      </w:pPr>
      <w:r w:rsidRPr="0036710B">
        <w:rPr>
          <w:rFonts w:ascii="Calibri" w:hAnsi="Calibri"/>
          <w:color w:val="00B050"/>
        </w:rPr>
        <w:t xml:space="preserve">Section 8.5.2 </w:t>
      </w:r>
      <w:r w:rsidR="00576784">
        <w:rPr>
          <w:rFonts w:ascii="Calibri" w:hAnsi="Calibri"/>
          <w:color w:val="00B050"/>
        </w:rPr>
        <w:t xml:space="preserve">in Protocols </w:t>
      </w:r>
      <w:r w:rsidR="008C7E9F">
        <w:rPr>
          <w:rFonts w:ascii="Calibri" w:hAnsi="Calibri"/>
          <w:color w:val="00B050"/>
        </w:rPr>
        <w:t xml:space="preserve">(reproduced below) </w:t>
      </w:r>
      <w:r w:rsidRPr="0036710B">
        <w:rPr>
          <w:rFonts w:ascii="Calibri" w:hAnsi="Calibri"/>
          <w:color w:val="00B050"/>
        </w:rPr>
        <w:t>requires ERCOT/PDCWG to review the performance of Resources providing FFR for every FME.</w:t>
      </w:r>
      <w:r w:rsidR="008C7E9F">
        <w:rPr>
          <w:rFonts w:ascii="Calibri" w:hAnsi="Calibri"/>
          <w:color w:val="00B050"/>
        </w:rPr>
        <w:t xml:space="preserve"> This is an appropriate venue for monitoring compliance of performance of Resources providing FFR.</w:t>
      </w:r>
      <w:r w:rsidRPr="0036710B">
        <w:rPr>
          <w:rFonts w:ascii="Calibri" w:hAnsi="Calibri"/>
          <w:color w:val="00B050"/>
        </w:rPr>
        <w:t xml:space="preserve"> </w:t>
      </w:r>
      <w:r w:rsidR="00576784">
        <w:rPr>
          <w:rFonts w:ascii="Calibri" w:hAnsi="Calibri"/>
          <w:color w:val="00B050"/>
        </w:rPr>
        <w:t xml:space="preserve"> </w:t>
      </w:r>
    </w:p>
    <w:p w:rsidR="00576784" w:rsidRPr="0036710B" w:rsidRDefault="00576784" w:rsidP="0036710B">
      <w:pPr>
        <w:pStyle w:val="ListParagraph"/>
        <w:jc w:val="both"/>
        <w:rPr>
          <w:rFonts w:ascii="Calibri" w:hAnsi="Calibri"/>
          <w:color w:val="00B050"/>
        </w:rPr>
      </w:pPr>
    </w:p>
    <w:p w:rsidR="00865627" w:rsidRPr="00576784" w:rsidRDefault="00865627" w:rsidP="00576784">
      <w:pPr>
        <w:pStyle w:val="ListParagraph"/>
        <w:jc w:val="both"/>
        <w:rPr>
          <w:rFonts w:ascii="Calibri" w:hAnsi="Calibri"/>
          <w:color w:val="00B050"/>
        </w:rPr>
      </w:pPr>
      <w:bookmarkStart w:id="10" w:name="_Toc117048413"/>
      <w:bookmarkStart w:id="11" w:name="_Toc141777792"/>
      <w:bookmarkStart w:id="12" w:name="_Toc203961378"/>
      <w:bookmarkStart w:id="13" w:name="_Toc400968520"/>
      <w:bookmarkStart w:id="14" w:name="_Toc402362768"/>
      <w:bookmarkStart w:id="15" w:name="_Toc405554834"/>
      <w:bookmarkStart w:id="16" w:name="_Toc458771493"/>
      <w:bookmarkStart w:id="17" w:name="_Toc458771616"/>
      <w:bookmarkStart w:id="18" w:name="_Toc460939793"/>
      <w:bookmarkStart w:id="19" w:name="_Toc465246246"/>
      <w:r w:rsidRPr="00576784">
        <w:rPr>
          <w:rFonts w:ascii="Calibri" w:hAnsi="Calibri"/>
          <w:color w:val="00B050"/>
        </w:rPr>
        <w:t>8.5.2</w:t>
      </w:r>
      <w:r w:rsidRPr="00576784">
        <w:rPr>
          <w:rFonts w:ascii="Calibri" w:hAnsi="Calibri"/>
          <w:color w:val="00B050"/>
        </w:rPr>
        <w:tab/>
        <w:t>Primary Frequency Response Measurements</w:t>
      </w:r>
      <w:bookmarkEnd w:id="10"/>
      <w:bookmarkEnd w:id="11"/>
      <w:bookmarkEnd w:id="12"/>
      <w:bookmarkEnd w:id="13"/>
      <w:bookmarkEnd w:id="14"/>
      <w:bookmarkEnd w:id="15"/>
      <w:bookmarkEnd w:id="16"/>
      <w:bookmarkEnd w:id="17"/>
      <w:bookmarkEnd w:id="18"/>
      <w:bookmarkEnd w:id="19"/>
    </w:p>
    <w:p w:rsidR="00082491" w:rsidRPr="00576784" w:rsidRDefault="00865627" w:rsidP="00576784">
      <w:pPr>
        <w:pStyle w:val="ListParagraph"/>
        <w:ind w:left="1440" w:hanging="720"/>
        <w:jc w:val="both"/>
        <w:rPr>
          <w:rFonts w:ascii="Calibri" w:hAnsi="Calibri"/>
          <w:color w:val="00B050"/>
        </w:rPr>
      </w:pPr>
      <w:r w:rsidRPr="00576784">
        <w:rPr>
          <w:rFonts w:ascii="Calibri" w:hAnsi="Calibri"/>
          <w:color w:val="00B050"/>
        </w:rPr>
        <w:t>(1)</w:t>
      </w:r>
      <w:r w:rsidRPr="00576784">
        <w:rPr>
          <w:rFonts w:ascii="Calibri" w:hAnsi="Calibri"/>
          <w:color w:val="00B050"/>
        </w:rPr>
        <w:tab/>
        <w:t>ERCOT, with the assistance of the appropriate Technical Advisory Committee (TAC) subcommittee, shall analyze the performance of All-Inclusive Generation Resources and Controllable Load Resources for all Frequency Measurable Events (FMEs) in accordance with the Operating Guides.  In support of this analysis, ERCOT shall post the following:</w:t>
      </w:r>
    </w:p>
    <w:sectPr w:rsidR="00082491" w:rsidRPr="00576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532D8"/>
    <w:multiLevelType w:val="hybridMultilevel"/>
    <w:tmpl w:val="0304EC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6BA4ADF"/>
    <w:multiLevelType w:val="hybridMultilevel"/>
    <w:tmpl w:val="4120F824"/>
    <w:lvl w:ilvl="0" w:tplc="4140B90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F4"/>
    <w:rsid w:val="00065C70"/>
    <w:rsid w:val="00082491"/>
    <w:rsid w:val="00090989"/>
    <w:rsid w:val="000B701E"/>
    <w:rsid w:val="001279CE"/>
    <w:rsid w:val="00316A2D"/>
    <w:rsid w:val="0036710B"/>
    <w:rsid w:val="00382AC2"/>
    <w:rsid w:val="003A2D55"/>
    <w:rsid w:val="003E759B"/>
    <w:rsid w:val="003F38FE"/>
    <w:rsid w:val="004E6314"/>
    <w:rsid w:val="005321F8"/>
    <w:rsid w:val="00576784"/>
    <w:rsid w:val="005826F4"/>
    <w:rsid w:val="006303C0"/>
    <w:rsid w:val="006352D5"/>
    <w:rsid w:val="006B0A00"/>
    <w:rsid w:val="0082721E"/>
    <w:rsid w:val="0085589A"/>
    <w:rsid w:val="00865627"/>
    <w:rsid w:val="008C7E9F"/>
    <w:rsid w:val="009561E9"/>
    <w:rsid w:val="00A244B8"/>
    <w:rsid w:val="00A24A2F"/>
    <w:rsid w:val="00AC2558"/>
    <w:rsid w:val="00B03F0E"/>
    <w:rsid w:val="00B5585B"/>
    <w:rsid w:val="00BA5DBA"/>
    <w:rsid w:val="00BC77DE"/>
    <w:rsid w:val="00BD3FCE"/>
    <w:rsid w:val="00CD0FB2"/>
    <w:rsid w:val="00D2518A"/>
    <w:rsid w:val="00D42298"/>
    <w:rsid w:val="00D457EA"/>
    <w:rsid w:val="00E31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413CC-5913-4B7B-8585-FB551922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01E"/>
  </w:style>
  <w:style w:type="paragraph" w:styleId="Heading1">
    <w:name w:val="heading 1"/>
    <w:basedOn w:val="Normal"/>
    <w:next w:val="Normal"/>
    <w:link w:val="Heading1Char"/>
    <w:uiPriority w:val="9"/>
    <w:qFormat/>
    <w:rsid w:val="000B701E"/>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unhideWhenUsed/>
    <w:qFormat/>
    <w:rsid w:val="000B701E"/>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unhideWhenUsed/>
    <w:qFormat/>
    <w:rsid w:val="000B701E"/>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0B701E"/>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0B701E"/>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0B701E"/>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0B701E"/>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0B701E"/>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0B701E"/>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01E"/>
    <w:rPr>
      <w:rFonts w:asciiTheme="majorHAnsi" w:eastAsiaTheme="majorEastAsia" w:hAnsiTheme="majorHAnsi" w:cstheme="majorBidi"/>
      <w:color w:val="0D5672" w:themeColor="accent1" w:themeShade="80"/>
      <w:sz w:val="36"/>
      <w:szCs w:val="36"/>
    </w:rPr>
  </w:style>
  <w:style w:type="character" w:customStyle="1" w:styleId="Heading2Char">
    <w:name w:val="Heading 2 Char"/>
    <w:basedOn w:val="DefaultParagraphFont"/>
    <w:link w:val="Heading2"/>
    <w:uiPriority w:val="9"/>
    <w:rsid w:val="000B701E"/>
    <w:rPr>
      <w:rFonts w:asciiTheme="majorHAnsi" w:eastAsiaTheme="majorEastAsia" w:hAnsiTheme="majorHAnsi" w:cstheme="majorBidi"/>
      <w:color w:val="1481AB" w:themeColor="accent1" w:themeShade="BF"/>
      <w:sz w:val="32"/>
      <w:szCs w:val="32"/>
    </w:rPr>
  </w:style>
  <w:style w:type="character" w:customStyle="1" w:styleId="Heading3Char">
    <w:name w:val="Heading 3 Char"/>
    <w:basedOn w:val="DefaultParagraphFont"/>
    <w:link w:val="Heading3"/>
    <w:uiPriority w:val="9"/>
    <w:rsid w:val="000B701E"/>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0B701E"/>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0B701E"/>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0B701E"/>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0B701E"/>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0B701E"/>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0B701E"/>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unhideWhenUsed/>
    <w:qFormat/>
    <w:rsid w:val="000B701E"/>
    <w:pPr>
      <w:spacing w:line="240" w:lineRule="auto"/>
    </w:pPr>
    <w:rPr>
      <w:b/>
      <w:bCs/>
      <w:smallCaps/>
      <w:color w:val="335B74" w:themeColor="text2"/>
    </w:rPr>
  </w:style>
  <w:style w:type="paragraph" w:styleId="Title">
    <w:name w:val="Title"/>
    <w:basedOn w:val="Normal"/>
    <w:next w:val="Normal"/>
    <w:link w:val="TitleChar"/>
    <w:uiPriority w:val="10"/>
    <w:qFormat/>
    <w:rsid w:val="000B701E"/>
    <w:pPr>
      <w:spacing w:after="0" w:line="204" w:lineRule="auto"/>
      <w:contextualSpacing/>
    </w:pPr>
    <w:rPr>
      <w:rFonts w:asciiTheme="majorHAnsi" w:eastAsiaTheme="majorEastAsia" w:hAnsiTheme="majorHAnsi" w:cstheme="majorBidi"/>
      <w:caps/>
      <w:color w:val="335B74" w:themeColor="text2"/>
      <w:spacing w:val="-15"/>
      <w:sz w:val="72"/>
      <w:szCs w:val="72"/>
    </w:rPr>
  </w:style>
  <w:style w:type="character" w:customStyle="1" w:styleId="TitleChar">
    <w:name w:val="Title Char"/>
    <w:basedOn w:val="DefaultParagraphFont"/>
    <w:link w:val="Title"/>
    <w:uiPriority w:val="10"/>
    <w:rsid w:val="000B701E"/>
    <w:rPr>
      <w:rFonts w:asciiTheme="majorHAnsi" w:eastAsiaTheme="majorEastAsia" w:hAnsiTheme="majorHAnsi" w:cstheme="majorBidi"/>
      <w:caps/>
      <w:color w:val="335B74" w:themeColor="text2"/>
      <w:spacing w:val="-15"/>
      <w:sz w:val="72"/>
      <w:szCs w:val="72"/>
    </w:rPr>
  </w:style>
  <w:style w:type="paragraph" w:styleId="Subtitle">
    <w:name w:val="Subtitle"/>
    <w:basedOn w:val="Normal"/>
    <w:next w:val="Normal"/>
    <w:link w:val="SubtitleChar"/>
    <w:uiPriority w:val="11"/>
    <w:qFormat/>
    <w:rsid w:val="000B701E"/>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0B701E"/>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0B701E"/>
    <w:rPr>
      <w:b/>
      <w:bCs/>
    </w:rPr>
  </w:style>
  <w:style w:type="character" w:styleId="Emphasis">
    <w:name w:val="Emphasis"/>
    <w:basedOn w:val="DefaultParagraphFont"/>
    <w:uiPriority w:val="20"/>
    <w:qFormat/>
    <w:rsid w:val="000B701E"/>
    <w:rPr>
      <w:i/>
      <w:iCs/>
    </w:rPr>
  </w:style>
  <w:style w:type="paragraph" w:styleId="NoSpacing">
    <w:name w:val="No Spacing"/>
    <w:uiPriority w:val="1"/>
    <w:qFormat/>
    <w:rsid w:val="000B701E"/>
    <w:pPr>
      <w:spacing w:after="0" w:line="240" w:lineRule="auto"/>
    </w:pPr>
  </w:style>
  <w:style w:type="paragraph" w:styleId="Quote">
    <w:name w:val="Quote"/>
    <w:basedOn w:val="Normal"/>
    <w:next w:val="Normal"/>
    <w:link w:val="QuoteChar"/>
    <w:uiPriority w:val="29"/>
    <w:qFormat/>
    <w:rsid w:val="000B701E"/>
    <w:pPr>
      <w:spacing w:before="120" w:after="120"/>
      <w:ind w:left="720"/>
    </w:pPr>
    <w:rPr>
      <w:color w:val="335B74" w:themeColor="text2"/>
      <w:sz w:val="24"/>
      <w:szCs w:val="24"/>
    </w:rPr>
  </w:style>
  <w:style w:type="character" w:customStyle="1" w:styleId="QuoteChar">
    <w:name w:val="Quote Char"/>
    <w:basedOn w:val="DefaultParagraphFont"/>
    <w:link w:val="Quote"/>
    <w:uiPriority w:val="29"/>
    <w:rsid w:val="000B701E"/>
    <w:rPr>
      <w:color w:val="335B74" w:themeColor="text2"/>
      <w:sz w:val="24"/>
      <w:szCs w:val="24"/>
    </w:rPr>
  </w:style>
  <w:style w:type="paragraph" w:styleId="IntenseQuote">
    <w:name w:val="Intense Quote"/>
    <w:basedOn w:val="Normal"/>
    <w:next w:val="Normal"/>
    <w:link w:val="IntenseQuoteChar"/>
    <w:uiPriority w:val="30"/>
    <w:qFormat/>
    <w:rsid w:val="000B701E"/>
    <w:pPr>
      <w:spacing w:before="100" w:beforeAutospacing="1" w:after="240" w:line="240" w:lineRule="auto"/>
      <w:ind w:left="720"/>
      <w:jc w:val="center"/>
    </w:pPr>
    <w:rPr>
      <w:rFonts w:asciiTheme="majorHAnsi" w:eastAsiaTheme="majorEastAsia" w:hAnsiTheme="majorHAnsi" w:cstheme="majorBidi"/>
      <w:color w:val="335B74" w:themeColor="text2"/>
      <w:spacing w:val="-6"/>
      <w:sz w:val="32"/>
      <w:szCs w:val="32"/>
    </w:rPr>
  </w:style>
  <w:style w:type="character" w:customStyle="1" w:styleId="IntenseQuoteChar">
    <w:name w:val="Intense Quote Char"/>
    <w:basedOn w:val="DefaultParagraphFont"/>
    <w:link w:val="IntenseQuote"/>
    <w:uiPriority w:val="30"/>
    <w:rsid w:val="000B701E"/>
    <w:rPr>
      <w:rFonts w:asciiTheme="majorHAnsi" w:eastAsiaTheme="majorEastAsia" w:hAnsiTheme="majorHAnsi" w:cstheme="majorBidi"/>
      <w:color w:val="335B74" w:themeColor="text2"/>
      <w:spacing w:val="-6"/>
      <w:sz w:val="32"/>
      <w:szCs w:val="32"/>
    </w:rPr>
  </w:style>
  <w:style w:type="character" w:styleId="SubtleEmphasis">
    <w:name w:val="Subtle Emphasis"/>
    <w:basedOn w:val="DefaultParagraphFont"/>
    <w:uiPriority w:val="19"/>
    <w:qFormat/>
    <w:rsid w:val="000B701E"/>
    <w:rPr>
      <w:i/>
      <w:iCs/>
      <w:color w:val="595959" w:themeColor="text1" w:themeTint="A6"/>
    </w:rPr>
  </w:style>
  <w:style w:type="character" w:styleId="IntenseEmphasis">
    <w:name w:val="Intense Emphasis"/>
    <w:basedOn w:val="DefaultParagraphFont"/>
    <w:uiPriority w:val="21"/>
    <w:qFormat/>
    <w:rsid w:val="000B701E"/>
    <w:rPr>
      <w:b/>
      <w:bCs/>
      <w:i/>
      <w:iCs/>
    </w:rPr>
  </w:style>
  <w:style w:type="character" w:styleId="SubtleReference">
    <w:name w:val="Subtle Reference"/>
    <w:basedOn w:val="DefaultParagraphFont"/>
    <w:uiPriority w:val="31"/>
    <w:qFormat/>
    <w:rsid w:val="000B701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B701E"/>
    <w:rPr>
      <w:b/>
      <w:bCs/>
      <w:smallCaps/>
      <w:color w:val="335B74" w:themeColor="text2"/>
      <w:u w:val="single"/>
    </w:rPr>
  </w:style>
  <w:style w:type="character" w:styleId="BookTitle">
    <w:name w:val="Book Title"/>
    <w:basedOn w:val="DefaultParagraphFont"/>
    <w:uiPriority w:val="33"/>
    <w:qFormat/>
    <w:rsid w:val="000B701E"/>
    <w:rPr>
      <w:b/>
      <w:bCs/>
      <w:smallCaps/>
      <w:spacing w:val="10"/>
    </w:rPr>
  </w:style>
  <w:style w:type="paragraph" w:styleId="TOCHeading">
    <w:name w:val="TOC Heading"/>
    <w:basedOn w:val="Heading1"/>
    <w:next w:val="Normal"/>
    <w:uiPriority w:val="39"/>
    <w:unhideWhenUsed/>
    <w:qFormat/>
    <w:rsid w:val="000B701E"/>
    <w:pPr>
      <w:outlineLvl w:val="9"/>
    </w:pPr>
  </w:style>
  <w:style w:type="paragraph" w:styleId="ListParagraph">
    <w:name w:val="List Paragraph"/>
    <w:basedOn w:val="Normal"/>
    <w:uiPriority w:val="34"/>
    <w:qFormat/>
    <w:rsid w:val="005826F4"/>
    <w:pPr>
      <w:ind w:left="720"/>
      <w:contextualSpacing/>
    </w:pPr>
  </w:style>
  <w:style w:type="paragraph" w:customStyle="1" w:styleId="H3">
    <w:name w:val="H3"/>
    <w:basedOn w:val="Heading3"/>
    <w:next w:val="BodyText"/>
    <w:link w:val="H3Char"/>
    <w:rsid w:val="00865627"/>
    <w:pPr>
      <w:keepLines w:val="0"/>
      <w:tabs>
        <w:tab w:val="left" w:pos="1080"/>
      </w:tabs>
      <w:spacing w:before="240" w:after="240"/>
      <w:ind w:left="1080" w:hanging="1080"/>
    </w:pPr>
    <w:rPr>
      <w:rFonts w:ascii="Times New Roman" w:eastAsia="Times New Roman" w:hAnsi="Times New Roman" w:cs="Times New Roman"/>
      <w:b/>
      <w:bCs/>
      <w:i/>
      <w:color w:val="auto"/>
      <w:sz w:val="24"/>
      <w:szCs w:val="20"/>
      <w:lang w:val="x-none" w:eastAsia="x-none"/>
    </w:rPr>
  </w:style>
  <w:style w:type="character" w:customStyle="1" w:styleId="H3Char">
    <w:name w:val="H3 Char"/>
    <w:link w:val="H3"/>
    <w:rsid w:val="00865627"/>
    <w:rPr>
      <w:rFonts w:ascii="Times New Roman" w:eastAsia="Times New Roman" w:hAnsi="Times New Roman" w:cs="Times New Roman"/>
      <w:b/>
      <w:bCs/>
      <w:i/>
      <w:sz w:val="24"/>
      <w:szCs w:val="20"/>
      <w:lang w:val="x-none" w:eastAsia="x-none"/>
    </w:rPr>
  </w:style>
  <w:style w:type="paragraph" w:styleId="BodyText">
    <w:name w:val="Body Text"/>
    <w:basedOn w:val="Normal"/>
    <w:link w:val="BodyTextChar"/>
    <w:uiPriority w:val="99"/>
    <w:semiHidden/>
    <w:unhideWhenUsed/>
    <w:rsid w:val="00865627"/>
    <w:pPr>
      <w:spacing w:after="120"/>
    </w:pPr>
  </w:style>
  <w:style w:type="character" w:customStyle="1" w:styleId="BodyTextChar">
    <w:name w:val="Body Text Char"/>
    <w:basedOn w:val="DefaultParagraphFont"/>
    <w:link w:val="BodyText"/>
    <w:uiPriority w:val="99"/>
    <w:semiHidden/>
    <w:rsid w:val="00865627"/>
  </w:style>
  <w:style w:type="character" w:styleId="CommentReference">
    <w:name w:val="annotation reference"/>
    <w:rsid w:val="006303C0"/>
    <w:rPr>
      <w:sz w:val="16"/>
      <w:szCs w:val="16"/>
    </w:rPr>
  </w:style>
  <w:style w:type="paragraph" w:styleId="CommentText">
    <w:name w:val="annotation text"/>
    <w:basedOn w:val="Normal"/>
    <w:link w:val="CommentTextChar"/>
    <w:rsid w:val="006303C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303C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303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3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sandip sharma</dc:creator>
  <cp:keywords/>
  <dc:description/>
  <cp:lastModifiedBy>ERCOT 07XX17</cp:lastModifiedBy>
  <cp:revision>9</cp:revision>
  <dcterms:created xsi:type="dcterms:W3CDTF">2017-07-13T17:38:00Z</dcterms:created>
  <dcterms:modified xsi:type="dcterms:W3CDTF">2017-07-18T22:22:00Z</dcterms:modified>
</cp:coreProperties>
</file>