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B41" w:rsidRDefault="00423B41" w:rsidP="00636CD0"/>
    <w:p w:rsidR="00423B41" w:rsidRDefault="00423B41" w:rsidP="00636CD0"/>
    <w:p w:rsidR="00636CD0" w:rsidRDefault="008B717C" w:rsidP="00636CD0">
      <w:r>
        <w:t>ERCOT Op</w:t>
      </w:r>
      <w:r w:rsidR="008665BC">
        <w:t xml:space="preserve">inions </w:t>
      </w:r>
      <w:r>
        <w:t xml:space="preserve">for </w:t>
      </w:r>
      <w:r w:rsidR="00D008AF">
        <w:t xml:space="preserve">May 25, </w:t>
      </w:r>
      <w:r w:rsidR="00122FE5">
        <w:t>2017</w:t>
      </w:r>
      <w:r w:rsidR="00927F68">
        <w:t xml:space="preserve"> </w:t>
      </w:r>
      <w:r>
        <w:t xml:space="preserve">TAC </w:t>
      </w:r>
    </w:p>
    <w:p w:rsidR="000D407D" w:rsidRPr="00F90EF9" w:rsidRDefault="000D407D" w:rsidP="00636CD0">
      <w:pPr>
        <w:rPr>
          <w:sz w:val="16"/>
          <w:szCs w:val="16"/>
        </w:rPr>
      </w:pPr>
    </w:p>
    <w:tbl>
      <w:tblPr>
        <w:tblW w:w="10895"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0"/>
        <w:gridCol w:w="5374"/>
        <w:gridCol w:w="4531"/>
      </w:tblGrid>
      <w:tr w:rsidR="00423B41" w:rsidTr="00423B41">
        <w:trPr>
          <w:trHeight w:val="500"/>
        </w:trPr>
        <w:tc>
          <w:tcPr>
            <w:tcW w:w="990" w:type="dxa"/>
            <w:shd w:val="clear" w:color="auto" w:fill="366092"/>
            <w:tcMar>
              <w:top w:w="0" w:type="dxa"/>
              <w:left w:w="108" w:type="dxa"/>
              <w:bottom w:w="0" w:type="dxa"/>
              <w:right w:w="108" w:type="dxa"/>
            </w:tcMar>
            <w:hideMark/>
          </w:tcPr>
          <w:p w:rsidR="00423B41" w:rsidRPr="00601B23" w:rsidRDefault="00423B41" w:rsidP="00E36051">
            <w:r>
              <w:rPr>
                <w:b/>
                <w:bCs/>
                <w:color w:val="FFFFFF"/>
                <w:sz w:val="20"/>
                <w:szCs w:val="20"/>
              </w:rPr>
              <w:t>REV REQ NO.</w:t>
            </w:r>
          </w:p>
        </w:tc>
        <w:tc>
          <w:tcPr>
            <w:tcW w:w="5374" w:type="dxa"/>
            <w:shd w:val="clear" w:color="auto" w:fill="366092"/>
            <w:tcMar>
              <w:top w:w="0" w:type="dxa"/>
              <w:left w:w="108" w:type="dxa"/>
              <w:bottom w:w="0" w:type="dxa"/>
              <w:right w:w="108" w:type="dxa"/>
            </w:tcMar>
            <w:hideMark/>
          </w:tcPr>
          <w:p w:rsidR="00423B41" w:rsidRPr="00601B23" w:rsidRDefault="00423B41" w:rsidP="00E36051">
            <w:r>
              <w:rPr>
                <w:b/>
                <w:bCs/>
                <w:color w:val="FFFFFF"/>
                <w:sz w:val="20"/>
                <w:szCs w:val="20"/>
              </w:rPr>
              <w:t>DESCRIPTION</w:t>
            </w:r>
          </w:p>
        </w:tc>
        <w:tc>
          <w:tcPr>
            <w:tcW w:w="4531" w:type="dxa"/>
            <w:shd w:val="clear" w:color="auto" w:fill="366092"/>
            <w:tcMar>
              <w:top w:w="0" w:type="dxa"/>
              <w:left w:w="108" w:type="dxa"/>
              <w:bottom w:w="0" w:type="dxa"/>
              <w:right w:w="108" w:type="dxa"/>
            </w:tcMar>
            <w:hideMark/>
          </w:tcPr>
          <w:p w:rsidR="00423B41" w:rsidRPr="00601B23" w:rsidRDefault="00423B41" w:rsidP="00E36051">
            <w:r>
              <w:rPr>
                <w:b/>
                <w:bCs/>
                <w:color w:val="FFFFFF"/>
                <w:sz w:val="20"/>
                <w:szCs w:val="20"/>
              </w:rPr>
              <w:t>ERCOT Opinion</w:t>
            </w:r>
          </w:p>
        </w:tc>
      </w:tr>
      <w:tr w:rsidR="00423B41" w:rsidTr="00423B41">
        <w:trPr>
          <w:trHeight w:val="1177"/>
        </w:trPr>
        <w:tc>
          <w:tcPr>
            <w:tcW w:w="990" w:type="dxa"/>
            <w:tcMar>
              <w:top w:w="0" w:type="dxa"/>
              <w:left w:w="108" w:type="dxa"/>
              <w:bottom w:w="0" w:type="dxa"/>
              <w:right w:w="108" w:type="dxa"/>
            </w:tcMar>
          </w:tcPr>
          <w:p w:rsidR="00423B41" w:rsidRDefault="00423B41" w:rsidP="00CB51CF">
            <w:pPr>
              <w:rPr>
                <w:b/>
                <w:bCs/>
                <w:sz w:val="20"/>
                <w:szCs w:val="20"/>
              </w:rPr>
            </w:pPr>
            <w:r>
              <w:rPr>
                <w:b/>
                <w:bCs/>
                <w:sz w:val="20"/>
                <w:szCs w:val="20"/>
              </w:rPr>
              <w:t>562NPRR</w:t>
            </w:r>
          </w:p>
        </w:tc>
        <w:tc>
          <w:tcPr>
            <w:tcW w:w="5374" w:type="dxa"/>
            <w:tcMar>
              <w:top w:w="0" w:type="dxa"/>
              <w:left w:w="108" w:type="dxa"/>
              <w:bottom w:w="0" w:type="dxa"/>
              <w:right w:w="108" w:type="dxa"/>
            </w:tcMar>
          </w:tcPr>
          <w:p w:rsidR="00423B41" w:rsidRDefault="00423B41" w:rsidP="00CB51CF">
            <w:pPr>
              <w:rPr>
                <w:b/>
                <w:bCs/>
                <w:sz w:val="20"/>
                <w:szCs w:val="20"/>
              </w:rPr>
            </w:pPr>
            <w:proofErr w:type="spellStart"/>
            <w:r w:rsidRPr="00417830">
              <w:rPr>
                <w:b/>
                <w:bCs/>
                <w:sz w:val="20"/>
                <w:szCs w:val="20"/>
              </w:rPr>
              <w:t>Subsynchronous</w:t>
            </w:r>
            <w:proofErr w:type="spellEnd"/>
            <w:r w:rsidRPr="00417830">
              <w:rPr>
                <w:b/>
                <w:bCs/>
                <w:sz w:val="20"/>
                <w:szCs w:val="20"/>
              </w:rPr>
              <w:t xml:space="preserve"> Resonance.</w:t>
            </w:r>
            <w:r w:rsidRPr="00417830">
              <w:rPr>
                <w:bCs/>
                <w:sz w:val="20"/>
                <w:szCs w:val="20"/>
              </w:rPr>
              <w:t xml:space="preserve">  This Nodal Protocol Revision Request (NPRR) creates new requirements for the identification, study, mitigation of, and protection against </w:t>
            </w:r>
            <w:proofErr w:type="spellStart"/>
            <w:r w:rsidRPr="00417830">
              <w:rPr>
                <w:bCs/>
                <w:sz w:val="20"/>
                <w:szCs w:val="20"/>
              </w:rPr>
              <w:t>Subsynchronous</w:t>
            </w:r>
            <w:proofErr w:type="spellEnd"/>
            <w:r w:rsidRPr="00417830">
              <w:rPr>
                <w:bCs/>
                <w:sz w:val="20"/>
                <w:szCs w:val="20"/>
              </w:rPr>
              <w:t xml:space="preserve"> Resonance (SSR).  [ERCOT]</w:t>
            </w:r>
          </w:p>
        </w:tc>
        <w:tc>
          <w:tcPr>
            <w:tcW w:w="4531" w:type="dxa"/>
            <w:tcMar>
              <w:top w:w="0" w:type="dxa"/>
              <w:left w:w="108" w:type="dxa"/>
              <w:bottom w:w="0" w:type="dxa"/>
              <w:right w:w="108" w:type="dxa"/>
            </w:tcMar>
          </w:tcPr>
          <w:p w:rsidR="00423B41" w:rsidRDefault="00423B41" w:rsidP="00CB51CF">
            <w:pPr>
              <w:rPr>
                <w:color w:val="000000"/>
                <w:sz w:val="20"/>
                <w:szCs w:val="20"/>
              </w:rPr>
            </w:pPr>
            <w:r>
              <w:rPr>
                <w:color w:val="000000"/>
                <w:sz w:val="20"/>
                <w:szCs w:val="20"/>
              </w:rPr>
              <w:t>ER</w:t>
            </w:r>
            <w:r>
              <w:rPr>
                <w:color w:val="000000"/>
                <w:sz w:val="20"/>
                <w:szCs w:val="20"/>
              </w:rPr>
              <w:t>COT supports approval of NPRR562.</w:t>
            </w:r>
          </w:p>
        </w:tc>
      </w:tr>
      <w:tr w:rsidR="00423B41" w:rsidTr="00423B41">
        <w:trPr>
          <w:trHeight w:val="1177"/>
        </w:trPr>
        <w:tc>
          <w:tcPr>
            <w:tcW w:w="990" w:type="dxa"/>
            <w:tcMar>
              <w:top w:w="0" w:type="dxa"/>
              <w:left w:w="108" w:type="dxa"/>
              <w:bottom w:w="0" w:type="dxa"/>
              <w:right w:w="108" w:type="dxa"/>
            </w:tcMar>
            <w:hideMark/>
          </w:tcPr>
          <w:p w:rsidR="00423B41" w:rsidRDefault="00423B41" w:rsidP="00CB51CF">
            <w:pPr>
              <w:rPr>
                <w:b/>
                <w:bCs/>
                <w:sz w:val="20"/>
                <w:szCs w:val="20"/>
              </w:rPr>
            </w:pPr>
            <w:r>
              <w:rPr>
                <w:b/>
                <w:bCs/>
                <w:sz w:val="20"/>
                <w:szCs w:val="20"/>
              </w:rPr>
              <w:t>796NPRR</w:t>
            </w:r>
          </w:p>
        </w:tc>
        <w:tc>
          <w:tcPr>
            <w:tcW w:w="5374" w:type="dxa"/>
            <w:tcMar>
              <w:top w:w="0" w:type="dxa"/>
              <w:left w:w="108" w:type="dxa"/>
              <w:bottom w:w="0" w:type="dxa"/>
              <w:right w:w="108" w:type="dxa"/>
            </w:tcMar>
            <w:hideMark/>
          </w:tcPr>
          <w:p w:rsidR="00423B41" w:rsidRDefault="00423B41" w:rsidP="00CB51CF">
            <w:pPr>
              <w:rPr>
                <w:b/>
                <w:bCs/>
                <w:sz w:val="20"/>
                <w:szCs w:val="20"/>
              </w:rPr>
            </w:pPr>
            <w:r>
              <w:rPr>
                <w:b/>
                <w:bCs/>
                <w:sz w:val="20"/>
                <w:szCs w:val="20"/>
              </w:rPr>
              <w:t>Extended Character Set Clean Up.</w:t>
            </w:r>
            <w:r>
              <w:rPr>
                <w:sz w:val="20"/>
                <w:szCs w:val="20"/>
              </w:rPr>
              <w:t xml:space="preserve">  </w:t>
            </w:r>
            <w:r w:rsidRPr="009D62C4">
              <w:rPr>
                <w:bCs/>
                <w:sz w:val="20"/>
                <w:szCs w:val="20"/>
              </w:rPr>
              <w:t>This Nodal Protocol Revision Request (NPRR) specifies that charac</w:t>
            </w:r>
            <w:r>
              <w:rPr>
                <w:bCs/>
                <w:sz w:val="20"/>
                <w:szCs w:val="20"/>
              </w:rPr>
              <w:t>ter set validations are availab</w:t>
            </w:r>
            <w:r w:rsidRPr="009D62C4">
              <w:rPr>
                <w:bCs/>
                <w:sz w:val="20"/>
                <w:szCs w:val="20"/>
              </w:rPr>
              <w:t>le within each</w:t>
            </w:r>
            <w:r>
              <w:rPr>
                <w:bCs/>
                <w:sz w:val="20"/>
                <w:szCs w:val="20"/>
              </w:rPr>
              <w:t xml:space="preserve"> </w:t>
            </w:r>
            <w:r w:rsidRPr="009D62C4">
              <w:rPr>
                <w:bCs/>
                <w:sz w:val="20"/>
                <w:szCs w:val="20"/>
              </w:rPr>
              <w:t>Texas Standard Electronic Transaction (TX SET) Implementation Guide.</w:t>
            </w:r>
          </w:p>
        </w:tc>
        <w:tc>
          <w:tcPr>
            <w:tcW w:w="4531" w:type="dxa"/>
            <w:tcMar>
              <w:top w:w="0" w:type="dxa"/>
              <w:left w:w="108" w:type="dxa"/>
              <w:bottom w:w="0" w:type="dxa"/>
              <w:right w:w="108" w:type="dxa"/>
            </w:tcMar>
          </w:tcPr>
          <w:p w:rsidR="00423B41" w:rsidRDefault="00423B41" w:rsidP="00CB51CF">
            <w:pPr>
              <w:rPr>
                <w:color w:val="000000"/>
                <w:sz w:val="20"/>
                <w:szCs w:val="20"/>
              </w:rPr>
            </w:pPr>
            <w:r>
              <w:rPr>
                <w:color w:val="000000"/>
                <w:sz w:val="20"/>
                <w:szCs w:val="20"/>
              </w:rPr>
              <w:t>ERCOT supports approval of NPRR796.</w:t>
            </w:r>
          </w:p>
        </w:tc>
      </w:tr>
      <w:tr w:rsidR="00423B41" w:rsidTr="00423B41">
        <w:trPr>
          <w:trHeight w:val="1772"/>
        </w:trPr>
        <w:tc>
          <w:tcPr>
            <w:tcW w:w="990" w:type="dxa"/>
            <w:tcMar>
              <w:top w:w="0" w:type="dxa"/>
              <w:left w:w="108" w:type="dxa"/>
              <w:bottom w:w="0" w:type="dxa"/>
              <w:right w:w="108" w:type="dxa"/>
            </w:tcMar>
          </w:tcPr>
          <w:p w:rsidR="00423B41" w:rsidRDefault="00423B41" w:rsidP="00CB51CF">
            <w:pPr>
              <w:rPr>
                <w:b/>
                <w:bCs/>
                <w:sz w:val="20"/>
                <w:szCs w:val="20"/>
              </w:rPr>
            </w:pPr>
            <w:r>
              <w:rPr>
                <w:b/>
                <w:bCs/>
                <w:sz w:val="20"/>
                <w:szCs w:val="20"/>
              </w:rPr>
              <w:t>820NPRR</w:t>
            </w:r>
          </w:p>
        </w:tc>
        <w:tc>
          <w:tcPr>
            <w:tcW w:w="5374" w:type="dxa"/>
            <w:tcMar>
              <w:top w:w="0" w:type="dxa"/>
              <w:left w:w="108" w:type="dxa"/>
              <w:bottom w:w="0" w:type="dxa"/>
              <w:right w:w="108" w:type="dxa"/>
            </w:tcMar>
          </w:tcPr>
          <w:p w:rsidR="00423B41" w:rsidRDefault="00423B41" w:rsidP="00CB51CF">
            <w:pPr>
              <w:rPr>
                <w:b/>
                <w:bCs/>
                <w:sz w:val="20"/>
                <w:szCs w:val="20"/>
              </w:rPr>
            </w:pPr>
            <w:r w:rsidRPr="00423B41">
              <w:rPr>
                <w:b/>
                <w:bCs/>
                <w:sz w:val="20"/>
                <w:szCs w:val="20"/>
              </w:rPr>
              <w:t>Clarification of Aggregate Generation Resource (AGR) Definition.</w:t>
            </w:r>
            <w:r w:rsidRPr="00423B41">
              <w:rPr>
                <w:bCs/>
                <w:sz w:val="20"/>
                <w:szCs w:val="20"/>
              </w:rPr>
              <w:t>  This Nodal Protocol Revision Request (NPRR) aligns the definition of an Aggregate Generation Resource (AGR) with paragraph (1) of Section 16.5, Registration of a Resource Entity, which allows a Resource Entity to submit a proposal to register the aggregation of generators, with the exception of Intermittent Renewable Resources (IRRs), as an AGR.  [ERCOT]</w:t>
            </w:r>
          </w:p>
        </w:tc>
        <w:tc>
          <w:tcPr>
            <w:tcW w:w="4531" w:type="dxa"/>
            <w:tcMar>
              <w:top w:w="0" w:type="dxa"/>
              <w:left w:w="108" w:type="dxa"/>
              <w:bottom w:w="0" w:type="dxa"/>
              <w:right w:w="108" w:type="dxa"/>
            </w:tcMar>
          </w:tcPr>
          <w:p w:rsidR="00423B41" w:rsidRDefault="00423B41" w:rsidP="00CB51CF">
            <w:pPr>
              <w:rPr>
                <w:color w:val="000000"/>
                <w:sz w:val="20"/>
                <w:szCs w:val="20"/>
              </w:rPr>
            </w:pPr>
            <w:r>
              <w:rPr>
                <w:color w:val="000000"/>
                <w:sz w:val="20"/>
                <w:szCs w:val="20"/>
              </w:rPr>
              <w:t>ER</w:t>
            </w:r>
            <w:r>
              <w:rPr>
                <w:color w:val="000000"/>
                <w:sz w:val="20"/>
                <w:szCs w:val="20"/>
              </w:rPr>
              <w:t>COT supports approval of NPRR820.</w:t>
            </w:r>
          </w:p>
        </w:tc>
      </w:tr>
      <w:tr w:rsidR="00423B41" w:rsidTr="00423B41">
        <w:trPr>
          <w:trHeight w:val="1654"/>
        </w:trPr>
        <w:tc>
          <w:tcPr>
            <w:tcW w:w="990" w:type="dxa"/>
            <w:tcMar>
              <w:top w:w="0" w:type="dxa"/>
              <w:left w:w="108" w:type="dxa"/>
              <w:bottom w:w="0" w:type="dxa"/>
              <w:right w:w="108" w:type="dxa"/>
            </w:tcMar>
          </w:tcPr>
          <w:p w:rsidR="00423B41" w:rsidRDefault="00423B41" w:rsidP="00CB51CF">
            <w:pPr>
              <w:rPr>
                <w:b/>
                <w:bCs/>
                <w:sz w:val="20"/>
                <w:szCs w:val="20"/>
              </w:rPr>
            </w:pPr>
            <w:r>
              <w:rPr>
                <w:b/>
                <w:bCs/>
                <w:sz w:val="20"/>
                <w:szCs w:val="20"/>
              </w:rPr>
              <w:t>824NPRR</w:t>
            </w:r>
          </w:p>
        </w:tc>
        <w:tc>
          <w:tcPr>
            <w:tcW w:w="5374" w:type="dxa"/>
            <w:tcMar>
              <w:top w:w="0" w:type="dxa"/>
              <w:left w:w="108" w:type="dxa"/>
              <w:bottom w:w="0" w:type="dxa"/>
              <w:right w:w="108" w:type="dxa"/>
            </w:tcMar>
          </w:tcPr>
          <w:p w:rsidR="00423B41" w:rsidRDefault="00423B41" w:rsidP="00CB51CF">
            <w:pPr>
              <w:rPr>
                <w:b/>
                <w:bCs/>
                <w:sz w:val="20"/>
                <w:szCs w:val="20"/>
              </w:rPr>
            </w:pPr>
            <w:r>
              <w:rPr>
                <w:b/>
                <w:bCs/>
                <w:sz w:val="20"/>
                <w:szCs w:val="20"/>
              </w:rPr>
              <w:t xml:space="preserve">Alignment of EEA Level 3 with NERC Reliability Standards EOP-011-1 and BAL-001-2.  </w:t>
            </w:r>
            <w:r>
              <w:rPr>
                <w:sz w:val="20"/>
                <w:szCs w:val="20"/>
              </w:rPr>
              <w:t>This Nodal Protocol Revision Request (NPRR) aligns Protocol language with the North American Reliability Corporation (NERC) Reliability Standards EOP-011-1, Emergency Operations, and BAL-001-2, Real Power Balancing Control Performance.  [ERCOT]</w:t>
            </w:r>
          </w:p>
        </w:tc>
        <w:tc>
          <w:tcPr>
            <w:tcW w:w="4531" w:type="dxa"/>
            <w:tcMar>
              <w:top w:w="0" w:type="dxa"/>
              <w:left w:w="108" w:type="dxa"/>
              <w:bottom w:w="0" w:type="dxa"/>
              <w:right w:w="108" w:type="dxa"/>
            </w:tcMar>
          </w:tcPr>
          <w:p w:rsidR="00423B41" w:rsidRDefault="00423B41" w:rsidP="00504073">
            <w:pPr>
              <w:rPr>
                <w:sz w:val="20"/>
                <w:szCs w:val="20"/>
              </w:rPr>
            </w:pPr>
            <w:r>
              <w:rPr>
                <w:color w:val="000000"/>
                <w:sz w:val="20"/>
                <w:szCs w:val="20"/>
              </w:rPr>
              <w:t xml:space="preserve">ERCOT supports approval of </w:t>
            </w:r>
            <w:r w:rsidR="00504073">
              <w:rPr>
                <w:color w:val="000000"/>
                <w:sz w:val="20"/>
                <w:szCs w:val="20"/>
              </w:rPr>
              <w:t>NPRR824.</w:t>
            </w:r>
            <w:r>
              <w:rPr>
                <w:color w:val="000000"/>
                <w:sz w:val="20"/>
                <w:szCs w:val="20"/>
              </w:rPr>
              <w:t xml:space="preserve"> </w:t>
            </w:r>
          </w:p>
        </w:tc>
      </w:tr>
      <w:tr w:rsidR="00423B41" w:rsidTr="00423B41">
        <w:trPr>
          <w:trHeight w:val="1546"/>
        </w:trPr>
        <w:tc>
          <w:tcPr>
            <w:tcW w:w="990" w:type="dxa"/>
            <w:tcMar>
              <w:top w:w="0" w:type="dxa"/>
              <w:left w:w="108" w:type="dxa"/>
              <w:bottom w:w="0" w:type="dxa"/>
              <w:right w:w="108" w:type="dxa"/>
            </w:tcMar>
          </w:tcPr>
          <w:p w:rsidR="00423B41" w:rsidRDefault="00423B41" w:rsidP="000664C9">
            <w:pPr>
              <w:rPr>
                <w:b/>
                <w:bCs/>
                <w:sz w:val="20"/>
                <w:szCs w:val="20"/>
              </w:rPr>
            </w:pPr>
            <w:r>
              <w:rPr>
                <w:b/>
                <w:bCs/>
                <w:sz w:val="20"/>
                <w:szCs w:val="20"/>
              </w:rPr>
              <w:t>827NPRR</w:t>
            </w:r>
          </w:p>
        </w:tc>
        <w:tc>
          <w:tcPr>
            <w:tcW w:w="5374" w:type="dxa"/>
            <w:tcMar>
              <w:top w:w="0" w:type="dxa"/>
              <w:left w:w="108" w:type="dxa"/>
              <w:bottom w:w="0" w:type="dxa"/>
              <w:right w:w="108" w:type="dxa"/>
            </w:tcMar>
          </w:tcPr>
          <w:p w:rsidR="00423B41" w:rsidRDefault="00423B41" w:rsidP="000664C9">
            <w:pPr>
              <w:rPr>
                <w:b/>
                <w:bCs/>
                <w:sz w:val="20"/>
                <w:szCs w:val="20"/>
              </w:rPr>
            </w:pPr>
            <w:r>
              <w:rPr>
                <w:b/>
                <w:bCs/>
                <w:sz w:val="20"/>
                <w:szCs w:val="20"/>
              </w:rPr>
              <w:t xml:space="preserve">Disallow PTP Obligation Bid Award where Clearing Price exceeds Bid Price.  </w:t>
            </w:r>
            <w:r>
              <w:rPr>
                <w:sz w:val="20"/>
                <w:szCs w:val="20"/>
              </w:rPr>
              <w:t>This Nodal Protocol Revision Request (NPRR) disallows ERCOT from awarding PTP Obligations in the DAM where the corresponding clearing price is greater than the bid price for the PTP Obligation.  [Crescent Power]</w:t>
            </w:r>
          </w:p>
        </w:tc>
        <w:tc>
          <w:tcPr>
            <w:tcW w:w="4531" w:type="dxa"/>
            <w:tcMar>
              <w:top w:w="0" w:type="dxa"/>
              <w:left w:w="108" w:type="dxa"/>
              <w:bottom w:w="0" w:type="dxa"/>
              <w:right w:w="108" w:type="dxa"/>
            </w:tcMar>
          </w:tcPr>
          <w:p w:rsidR="00423B41" w:rsidRDefault="00423B41" w:rsidP="00E92A10">
            <w:pPr>
              <w:rPr>
                <w:sz w:val="20"/>
                <w:szCs w:val="20"/>
              </w:rPr>
            </w:pPr>
            <w:r>
              <w:rPr>
                <w:color w:val="000000"/>
                <w:sz w:val="20"/>
                <w:szCs w:val="20"/>
              </w:rPr>
              <w:t xml:space="preserve">ERCOT supports approval of NPRR827 as it expresses the interest of Market Participants for a short-term solution to market concerns.  </w:t>
            </w:r>
          </w:p>
        </w:tc>
      </w:tr>
      <w:tr w:rsidR="00423B41" w:rsidTr="00423B41">
        <w:trPr>
          <w:trHeight w:val="1519"/>
        </w:trPr>
        <w:tc>
          <w:tcPr>
            <w:tcW w:w="990" w:type="dxa"/>
            <w:tcMar>
              <w:top w:w="0" w:type="dxa"/>
              <w:left w:w="108" w:type="dxa"/>
              <w:bottom w:w="0" w:type="dxa"/>
              <w:right w:w="108" w:type="dxa"/>
            </w:tcMar>
          </w:tcPr>
          <w:p w:rsidR="00423B41" w:rsidRDefault="00423B41" w:rsidP="000664C9">
            <w:pPr>
              <w:rPr>
                <w:b/>
                <w:bCs/>
                <w:sz w:val="20"/>
                <w:szCs w:val="20"/>
              </w:rPr>
            </w:pPr>
            <w:r w:rsidRPr="000664C9">
              <w:rPr>
                <w:b/>
                <w:bCs/>
                <w:sz w:val="20"/>
                <w:szCs w:val="20"/>
              </w:rPr>
              <w:t>830NPRR</w:t>
            </w:r>
          </w:p>
        </w:tc>
        <w:tc>
          <w:tcPr>
            <w:tcW w:w="5374" w:type="dxa"/>
            <w:tcMar>
              <w:top w:w="0" w:type="dxa"/>
              <w:left w:w="108" w:type="dxa"/>
              <w:bottom w:w="0" w:type="dxa"/>
              <w:right w:w="108" w:type="dxa"/>
            </w:tcMar>
          </w:tcPr>
          <w:p w:rsidR="00423B41" w:rsidRDefault="00423B41" w:rsidP="000664C9">
            <w:pPr>
              <w:rPr>
                <w:b/>
                <w:bCs/>
                <w:sz w:val="20"/>
                <w:szCs w:val="20"/>
              </w:rPr>
            </w:pPr>
            <w:r>
              <w:rPr>
                <w:b/>
                <w:bCs/>
                <w:sz w:val="20"/>
                <w:szCs w:val="20"/>
              </w:rPr>
              <w:t xml:space="preserve">Revision of 4-Coincident Peak Methodology. </w:t>
            </w:r>
            <w:r>
              <w:rPr>
                <w:sz w:val="20"/>
                <w:szCs w:val="20"/>
              </w:rPr>
              <w:t> This Nodal Protocol Revision Request (NPRR) revises the basis of ERCOT’s calculation of the 4-Coincident Peak (4-CP) to a manner consistent with the North American Electric Reliability Corporation (NERC) net energy for Load methodology.  [ERCOT]</w:t>
            </w:r>
          </w:p>
        </w:tc>
        <w:tc>
          <w:tcPr>
            <w:tcW w:w="4531" w:type="dxa"/>
            <w:tcMar>
              <w:top w:w="0" w:type="dxa"/>
              <w:left w:w="108" w:type="dxa"/>
              <w:bottom w:w="0" w:type="dxa"/>
              <w:right w:w="108" w:type="dxa"/>
            </w:tcMar>
          </w:tcPr>
          <w:p w:rsidR="00423B41" w:rsidRDefault="00423B41" w:rsidP="000664C9">
            <w:pPr>
              <w:rPr>
                <w:color w:val="000000"/>
                <w:sz w:val="20"/>
                <w:szCs w:val="20"/>
              </w:rPr>
            </w:pPr>
            <w:r>
              <w:rPr>
                <w:color w:val="000000"/>
                <w:sz w:val="20"/>
                <w:szCs w:val="20"/>
              </w:rPr>
              <w:t>ERCOT supports approval of NPRR830.</w:t>
            </w:r>
          </w:p>
        </w:tc>
      </w:tr>
      <w:tr w:rsidR="00423B41" w:rsidTr="00423B41">
        <w:trPr>
          <w:trHeight w:val="2509"/>
        </w:trPr>
        <w:tc>
          <w:tcPr>
            <w:tcW w:w="990" w:type="dxa"/>
            <w:tcMar>
              <w:top w:w="0" w:type="dxa"/>
              <w:left w:w="108" w:type="dxa"/>
              <w:bottom w:w="0" w:type="dxa"/>
              <w:right w:w="108" w:type="dxa"/>
            </w:tcMar>
          </w:tcPr>
          <w:p w:rsidR="00423B41" w:rsidRDefault="00423B41" w:rsidP="000664C9">
            <w:pPr>
              <w:rPr>
                <w:b/>
                <w:bCs/>
                <w:sz w:val="20"/>
                <w:szCs w:val="20"/>
              </w:rPr>
            </w:pPr>
            <w:r>
              <w:rPr>
                <w:b/>
                <w:bCs/>
                <w:sz w:val="20"/>
                <w:szCs w:val="20"/>
              </w:rPr>
              <w:t>831NPRR</w:t>
            </w:r>
          </w:p>
        </w:tc>
        <w:tc>
          <w:tcPr>
            <w:tcW w:w="5374" w:type="dxa"/>
            <w:tcMar>
              <w:top w:w="0" w:type="dxa"/>
              <w:left w:w="108" w:type="dxa"/>
              <w:bottom w:w="0" w:type="dxa"/>
              <w:right w:w="108" w:type="dxa"/>
            </w:tcMar>
          </w:tcPr>
          <w:p w:rsidR="00423B41" w:rsidRDefault="00423B41" w:rsidP="000664C9">
            <w:pPr>
              <w:rPr>
                <w:b/>
                <w:bCs/>
                <w:sz w:val="20"/>
                <w:szCs w:val="20"/>
              </w:rPr>
            </w:pPr>
            <w:r>
              <w:rPr>
                <w:b/>
                <w:bCs/>
                <w:sz w:val="20"/>
                <w:szCs w:val="20"/>
              </w:rPr>
              <w:t xml:space="preserve">Inclusion of Private Use Networks in Load Zone Price Calculations. </w:t>
            </w:r>
            <w:r>
              <w:rPr>
                <w:sz w:val="20"/>
                <w:szCs w:val="20"/>
              </w:rPr>
              <w:t> This Nodal Protocol Revision Request (NPRR) updates market systems in order to calculate a net Load value for each Private Use Network that will be included in the Load Zone price for all markets, Congestion Revenue Rights (CRRs), Day-Ahead Market (DAM), and Real-Time Market (RTM), when the Load is a net consumer from the ERCOT Transmission Grid. This NPRR also clarifies that Private Use Network net Load will be redacted from the Electrical Bus Load distribution factors and other information necessary to forecast Electrical Bus Loads that is posted to the Market Information System (MIS) Public Area pursuant to Section 6.3.2.  [ERCOT]</w:t>
            </w:r>
          </w:p>
        </w:tc>
        <w:tc>
          <w:tcPr>
            <w:tcW w:w="4531" w:type="dxa"/>
            <w:tcMar>
              <w:top w:w="0" w:type="dxa"/>
              <w:left w:w="108" w:type="dxa"/>
              <w:bottom w:w="0" w:type="dxa"/>
              <w:right w:w="108" w:type="dxa"/>
            </w:tcMar>
          </w:tcPr>
          <w:p w:rsidR="00423B41" w:rsidRDefault="00423B41" w:rsidP="000664C9">
            <w:pPr>
              <w:rPr>
                <w:color w:val="000000"/>
                <w:sz w:val="20"/>
                <w:szCs w:val="20"/>
              </w:rPr>
            </w:pPr>
            <w:r>
              <w:rPr>
                <w:color w:val="000000"/>
                <w:sz w:val="20"/>
                <w:szCs w:val="20"/>
              </w:rPr>
              <w:t>ERCOT supports approval of NPRR831.</w:t>
            </w:r>
          </w:p>
        </w:tc>
      </w:tr>
      <w:tr w:rsidR="00423B41" w:rsidTr="00423B41">
        <w:trPr>
          <w:trHeight w:val="1925"/>
        </w:trPr>
        <w:tc>
          <w:tcPr>
            <w:tcW w:w="990" w:type="dxa"/>
            <w:tcMar>
              <w:top w:w="0" w:type="dxa"/>
              <w:left w:w="108" w:type="dxa"/>
              <w:bottom w:w="0" w:type="dxa"/>
              <w:right w:w="108" w:type="dxa"/>
            </w:tcMar>
          </w:tcPr>
          <w:p w:rsidR="00423B41" w:rsidRDefault="00423B41" w:rsidP="005C17D4">
            <w:pPr>
              <w:rPr>
                <w:rFonts w:cs="Arial"/>
                <w:b/>
                <w:bCs/>
                <w:sz w:val="20"/>
                <w:szCs w:val="20"/>
              </w:rPr>
            </w:pPr>
            <w:r>
              <w:rPr>
                <w:rFonts w:cs="Arial"/>
                <w:b/>
                <w:bCs/>
                <w:sz w:val="20"/>
                <w:szCs w:val="20"/>
              </w:rPr>
              <w:lastRenderedPageBreak/>
              <w:t>056PGRR</w:t>
            </w:r>
          </w:p>
        </w:tc>
        <w:tc>
          <w:tcPr>
            <w:tcW w:w="5374" w:type="dxa"/>
            <w:tcMar>
              <w:top w:w="0" w:type="dxa"/>
              <w:left w:w="108" w:type="dxa"/>
              <w:bottom w:w="0" w:type="dxa"/>
              <w:right w:w="108" w:type="dxa"/>
            </w:tcMar>
          </w:tcPr>
          <w:p w:rsidR="00423B41" w:rsidRPr="009423C4" w:rsidRDefault="00423B41" w:rsidP="009423C4">
            <w:pPr>
              <w:pStyle w:val="NormalArial"/>
              <w:spacing w:after="120"/>
              <w:rPr>
                <w:rFonts w:ascii="Calibri" w:eastAsiaTheme="minorHAnsi" w:hAnsi="Calibri"/>
                <w:b/>
                <w:sz w:val="20"/>
                <w:szCs w:val="20"/>
              </w:rPr>
            </w:pPr>
            <w:r w:rsidRPr="00423B41">
              <w:rPr>
                <w:rFonts w:ascii="Calibri" w:eastAsiaTheme="minorHAnsi" w:hAnsi="Calibri"/>
                <w:b/>
                <w:sz w:val="20"/>
                <w:szCs w:val="20"/>
              </w:rPr>
              <w:t xml:space="preserve">Alignment with NPRR562, </w:t>
            </w:r>
            <w:proofErr w:type="spellStart"/>
            <w:r w:rsidRPr="00423B41">
              <w:rPr>
                <w:rFonts w:ascii="Calibri" w:eastAsiaTheme="minorHAnsi" w:hAnsi="Calibri"/>
                <w:b/>
                <w:sz w:val="20"/>
                <w:szCs w:val="20"/>
              </w:rPr>
              <w:t>Subsynchronous</w:t>
            </w:r>
            <w:proofErr w:type="spellEnd"/>
            <w:r w:rsidRPr="00423B41">
              <w:rPr>
                <w:rFonts w:ascii="Calibri" w:eastAsiaTheme="minorHAnsi" w:hAnsi="Calibri"/>
                <w:b/>
                <w:sz w:val="20"/>
                <w:szCs w:val="20"/>
              </w:rPr>
              <w:t xml:space="preserve"> Resonance.</w:t>
            </w:r>
            <w:r w:rsidRPr="00423B41">
              <w:rPr>
                <w:rFonts w:ascii="Calibri" w:eastAsiaTheme="minorHAnsi" w:hAnsi="Calibri"/>
                <w:sz w:val="20"/>
                <w:szCs w:val="20"/>
              </w:rPr>
              <w:t xml:space="preserve">  This Planning Guide Revision Request (PGRR) aligns the Planning Guide with 1/27/17 ERCOT comments to NPRR562, </w:t>
            </w:r>
            <w:proofErr w:type="spellStart"/>
            <w:r w:rsidRPr="00423B41">
              <w:rPr>
                <w:rFonts w:ascii="Calibri" w:eastAsiaTheme="minorHAnsi" w:hAnsi="Calibri"/>
                <w:sz w:val="20"/>
                <w:szCs w:val="20"/>
              </w:rPr>
              <w:t>Subsynchronous</w:t>
            </w:r>
            <w:proofErr w:type="spellEnd"/>
            <w:r w:rsidRPr="00423B41">
              <w:rPr>
                <w:rFonts w:ascii="Calibri" w:eastAsiaTheme="minorHAnsi" w:hAnsi="Calibri"/>
                <w:sz w:val="20"/>
                <w:szCs w:val="20"/>
              </w:rPr>
              <w:t xml:space="preserve"> Resonance, by accounting for potential </w:t>
            </w:r>
            <w:proofErr w:type="spellStart"/>
            <w:r w:rsidRPr="00423B41">
              <w:rPr>
                <w:rFonts w:ascii="Calibri" w:eastAsiaTheme="minorHAnsi" w:hAnsi="Calibri"/>
                <w:sz w:val="20"/>
                <w:szCs w:val="20"/>
              </w:rPr>
              <w:t>Subsynchronous</w:t>
            </w:r>
            <w:proofErr w:type="spellEnd"/>
            <w:r w:rsidRPr="00423B41">
              <w:rPr>
                <w:rFonts w:ascii="Calibri" w:eastAsiaTheme="minorHAnsi" w:hAnsi="Calibri"/>
                <w:sz w:val="20"/>
                <w:szCs w:val="20"/>
              </w:rPr>
              <w:t xml:space="preserve"> Resonance (SSR) vulnerability in the transmission project planning process, providing references and citations to the appropriate Protocol sections related to SSR, and removing the definition of SSR from the Planning Guides as it is relocated to the Protocols.  [ERCOT]</w:t>
            </w:r>
          </w:p>
        </w:tc>
        <w:tc>
          <w:tcPr>
            <w:tcW w:w="4531" w:type="dxa"/>
            <w:tcMar>
              <w:top w:w="0" w:type="dxa"/>
              <w:left w:w="108" w:type="dxa"/>
              <w:bottom w:w="0" w:type="dxa"/>
              <w:right w:w="108" w:type="dxa"/>
            </w:tcMar>
          </w:tcPr>
          <w:p w:rsidR="00423B41" w:rsidRPr="009423C4" w:rsidRDefault="00423B41" w:rsidP="005C17D4">
            <w:pPr>
              <w:rPr>
                <w:sz w:val="20"/>
                <w:szCs w:val="20"/>
              </w:rPr>
            </w:pPr>
            <w:r w:rsidRPr="00423B41">
              <w:rPr>
                <w:sz w:val="20"/>
                <w:szCs w:val="20"/>
              </w:rPr>
              <w:t>ERCOT supports approval of PGRR056</w:t>
            </w:r>
            <w:r>
              <w:rPr>
                <w:sz w:val="20"/>
                <w:szCs w:val="20"/>
              </w:rPr>
              <w:t>.</w:t>
            </w:r>
          </w:p>
        </w:tc>
      </w:tr>
      <w:tr w:rsidR="00423B41" w:rsidTr="00423B41">
        <w:trPr>
          <w:trHeight w:val="1925"/>
        </w:trPr>
        <w:tc>
          <w:tcPr>
            <w:tcW w:w="990" w:type="dxa"/>
            <w:tcMar>
              <w:top w:w="0" w:type="dxa"/>
              <w:left w:w="108" w:type="dxa"/>
              <w:bottom w:w="0" w:type="dxa"/>
              <w:right w:w="108" w:type="dxa"/>
            </w:tcMar>
          </w:tcPr>
          <w:p w:rsidR="00423B41" w:rsidRDefault="00423B41" w:rsidP="005C17D4">
            <w:pPr>
              <w:rPr>
                <w:rFonts w:cs="Arial"/>
                <w:b/>
                <w:bCs/>
                <w:sz w:val="20"/>
                <w:szCs w:val="20"/>
              </w:rPr>
            </w:pPr>
            <w:r>
              <w:rPr>
                <w:rFonts w:cs="Arial"/>
                <w:b/>
                <w:bCs/>
                <w:sz w:val="20"/>
                <w:szCs w:val="20"/>
              </w:rPr>
              <w:t>057PGRR</w:t>
            </w:r>
          </w:p>
        </w:tc>
        <w:tc>
          <w:tcPr>
            <w:tcW w:w="5374" w:type="dxa"/>
            <w:tcMar>
              <w:top w:w="0" w:type="dxa"/>
              <w:left w:w="108" w:type="dxa"/>
              <w:bottom w:w="0" w:type="dxa"/>
              <w:right w:w="108" w:type="dxa"/>
            </w:tcMar>
          </w:tcPr>
          <w:p w:rsidR="00423B41" w:rsidRPr="009423C4" w:rsidRDefault="00423B41" w:rsidP="009423C4">
            <w:pPr>
              <w:pStyle w:val="NormalArial"/>
              <w:spacing w:after="120"/>
              <w:rPr>
                <w:rFonts w:ascii="Calibri" w:eastAsiaTheme="minorHAnsi" w:hAnsi="Calibri"/>
                <w:b/>
                <w:sz w:val="20"/>
                <w:szCs w:val="20"/>
              </w:rPr>
            </w:pPr>
            <w:r w:rsidRPr="00423B41">
              <w:rPr>
                <w:rFonts w:ascii="Calibri" w:eastAsiaTheme="minorHAnsi" w:hAnsi="Calibri"/>
                <w:b/>
                <w:sz w:val="20"/>
                <w:szCs w:val="20"/>
              </w:rPr>
              <w:t>Responsibilities for Performing Geomagnetic Disturbance (GMD) Vulnerability Assessments.</w:t>
            </w:r>
            <w:r w:rsidRPr="00423B41">
              <w:rPr>
                <w:rFonts w:ascii="Calibri" w:eastAsiaTheme="minorHAnsi" w:hAnsi="Calibri"/>
                <w:sz w:val="20"/>
                <w:szCs w:val="20"/>
              </w:rPr>
              <w:t xml:space="preserve">  This Planning Guide Revision Request (PGRR) aligns the Planning Guides with North American Electric Reliability Corporation (NERC) Reliability Standard TPL-007-1, Transmission System Planned Performance for Geomagnetic Disturbance Events, by identifying responsibilities for performing studies needed to complete Geomagnetic Disturbance (GMD) vulnerability assessments.  [ERCOT]</w:t>
            </w:r>
          </w:p>
        </w:tc>
        <w:tc>
          <w:tcPr>
            <w:tcW w:w="4531" w:type="dxa"/>
            <w:tcMar>
              <w:top w:w="0" w:type="dxa"/>
              <w:left w:w="108" w:type="dxa"/>
              <w:bottom w:w="0" w:type="dxa"/>
              <w:right w:w="108" w:type="dxa"/>
            </w:tcMar>
          </w:tcPr>
          <w:p w:rsidR="00423B41" w:rsidRPr="009423C4" w:rsidRDefault="00423B41" w:rsidP="005C17D4">
            <w:pPr>
              <w:rPr>
                <w:sz w:val="20"/>
                <w:szCs w:val="20"/>
              </w:rPr>
            </w:pPr>
            <w:r w:rsidRPr="00423B41">
              <w:rPr>
                <w:sz w:val="20"/>
                <w:szCs w:val="20"/>
              </w:rPr>
              <w:t>ERCOT supports approval of PGRR057</w:t>
            </w:r>
            <w:r>
              <w:rPr>
                <w:sz w:val="20"/>
                <w:szCs w:val="20"/>
              </w:rPr>
              <w:t>.</w:t>
            </w:r>
          </w:p>
        </w:tc>
      </w:tr>
      <w:tr w:rsidR="00423B41" w:rsidTr="00626A1E">
        <w:trPr>
          <w:trHeight w:val="1835"/>
        </w:trPr>
        <w:tc>
          <w:tcPr>
            <w:tcW w:w="990" w:type="dxa"/>
            <w:tcMar>
              <w:top w:w="0" w:type="dxa"/>
              <w:left w:w="108" w:type="dxa"/>
              <w:bottom w:w="0" w:type="dxa"/>
              <w:right w:w="108" w:type="dxa"/>
            </w:tcMar>
          </w:tcPr>
          <w:p w:rsidR="00423B41" w:rsidRDefault="00423B41" w:rsidP="005C17D4">
            <w:pPr>
              <w:rPr>
                <w:rFonts w:cs="Arial"/>
                <w:b/>
                <w:bCs/>
                <w:sz w:val="20"/>
                <w:szCs w:val="20"/>
              </w:rPr>
            </w:pPr>
            <w:r>
              <w:rPr>
                <w:rFonts w:cs="Arial"/>
                <w:b/>
                <w:bCs/>
                <w:sz w:val="20"/>
                <w:szCs w:val="20"/>
              </w:rPr>
              <w:t>058PGRR</w:t>
            </w:r>
          </w:p>
          <w:p w:rsidR="00423B41" w:rsidRDefault="00423B41" w:rsidP="005C17D4">
            <w:pPr>
              <w:rPr>
                <w:b/>
                <w:bCs/>
                <w:sz w:val="20"/>
                <w:szCs w:val="20"/>
              </w:rPr>
            </w:pPr>
          </w:p>
        </w:tc>
        <w:tc>
          <w:tcPr>
            <w:tcW w:w="5374" w:type="dxa"/>
            <w:tcMar>
              <w:top w:w="0" w:type="dxa"/>
              <w:left w:w="108" w:type="dxa"/>
              <w:bottom w:w="0" w:type="dxa"/>
              <w:right w:w="108" w:type="dxa"/>
            </w:tcMar>
          </w:tcPr>
          <w:p w:rsidR="00423B41" w:rsidRPr="009423C4" w:rsidRDefault="00423B41" w:rsidP="009423C4">
            <w:pPr>
              <w:pStyle w:val="NormalArial"/>
              <w:spacing w:after="120"/>
              <w:rPr>
                <w:rFonts w:ascii="Calibri" w:eastAsiaTheme="minorHAnsi" w:hAnsi="Calibri"/>
                <w:sz w:val="20"/>
                <w:szCs w:val="20"/>
              </w:rPr>
            </w:pPr>
            <w:r w:rsidRPr="009423C4">
              <w:rPr>
                <w:rFonts w:ascii="Calibri" w:eastAsiaTheme="minorHAnsi" w:hAnsi="Calibri"/>
                <w:b/>
                <w:sz w:val="20"/>
                <w:szCs w:val="20"/>
              </w:rPr>
              <w:t>Clarification of Resources to be Included in the Planning Models.</w:t>
            </w:r>
            <w:r w:rsidRPr="009423C4">
              <w:rPr>
                <w:rFonts w:ascii="Calibri" w:eastAsiaTheme="minorHAnsi" w:hAnsi="Calibri"/>
                <w:sz w:val="20"/>
                <w:szCs w:val="20"/>
              </w:rPr>
              <w:t xml:space="preserve">  This Planning Guide Revision Request (PGRR) clarifies the specific Generation Resources that were intended to be included in the Planning Guide revisions of PGRR053, Addition of Proposed Generation Resources to the Planning Models, without the use of the term “All-Inclusive Generation Resource”.  [PLWG]</w:t>
            </w:r>
          </w:p>
          <w:p w:rsidR="00423B41" w:rsidRDefault="00423B41" w:rsidP="005C17D4">
            <w:pPr>
              <w:rPr>
                <w:rFonts w:cs="Arial"/>
                <w:b/>
                <w:bCs/>
                <w:sz w:val="20"/>
                <w:szCs w:val="20"/>
              </w:rPr>
            </w:pPr>
          </w:p>
          <w:p w:rsidR="00423B41" w:rsidRDefault="00423B41" w:rsidP="005C17D4">
            <w:pPr>
              <w:rPr>
                <w:b/>
                <w:bCs/>
                <w:sz w:val="20"/>
                <w:szCs w:val="20"/>
              </w:rPr>
            </w:pPr>
          </w:p>
        </w:tc>
        <w:tc>
          <w:tcPr>
            <w:tcW w:w="4531" w:type="dxa"/>
            <w:tcMar>
              <w:top w:w="0" w:type="dxa"/>
              <w:left w:w="108" w:type="dxa"/>
              <w:bottom w:w="0" w:type="dxa"/>
              <w:right w:w="108" w:type="dxa"/>
            </w:tcMar>
          </w:tcPr>
          <w:p w:rsidR="00423B41" w:rsidRDefault="00423B41" w:rsidP="005C17D4">
            <w:pPr>
              <w:rPr>
                <w:color w:val="000000"/>
                <w:sz w:val="20"/>
                <w:szCs w:val="20"/>
              </w:rPr>
            </w:pPr>
            <w:r w:rsidRPr="009423C4">
              <w:rPr>
                <w:sz w:val="20"/>
                <w:szCs w:val="20"/>
              </w:rPr>
              <w:t>ERCOT supports approval of PGRR058 as it clarifies which Generation Resources must meet th</w:t>
            </w:r>
            <w:r w:rsidR="00626A1E">
              <w:rPr>
                <w:sz w:val="20"/>
                <w:szCs w:val="20"/>
              </w:rPr>
              <w:t xml:space="preserve">e requirements of Section 6.9, </w:t>
            </w:r>
            <w:r w:rsidRPr="009423C4">
              <w:rPr>
                <w:sz w:val="20"/>
                <w:szCs w:val="20"/>
              </w:rPr>
              <w:t>Addition of Proposed Generation Resources to the Planning Models</w:t>
            </w:r>
            <w:r>
              <w:rPr>
                <w:sz w:val="20"/>
                <w:szCs w:val="20"/>
              </w:rPr>
              <w:t>.</w:t>
            </w:r>
          </w:p>
        </w:tc>
      </w:tr>
    </w:tbl>
    <w:p w:rsidR="00636CD0" w:rsidRDefault="00636CD0" w:rsidP="000D407D">
      <w:bookmarkStart w:id="0" w:name="_GoBack"/>
      <w:bookmarkEnd w:id="0"/>
    </w:p>
    <w:sectPr w:rsidR="00636CD0" w:rsidSect="005C17D4">
      <w:pgSz w:w="12240" w:h="15840"/>
      <w:pgMar w:top="1008"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664C9"/>
    <w:rsid w:val="000D407D"/>
    <w:rsid w:val="00122FE5"/>
    <w:rsid w:val="001869C5"/>
    <w:rsid w:val="00212337"/>
    <w:rsid w:val="00261439"/>
    <w:rsid w:val="0026577A"/>
    <w:rsid w:val="00330EE9"/>
    <w:rsid w:val="003465FA"/>
    <w:rsid w:val="003A5C8F"/>
    <w:rsid w:val="00417830"/>
    <w:rsid w:val="00423B41"/>
    <w:rsid w:val="004F7AC5"/>
    <w:rsid w:val="00504073"/>
    <w:rsid w:val="00595DDA"/>
    <w:rsid w:val="00595E22"/>
    <w:rsid w:val="0059657A"/>
    <w:rsid w:val="005C17D4"/>
    <w:rsid w:val="005C5781"/>
    <w:rsid w:val="005E2D72"/>
    <w:rsid w:val="005E5989"/>
    <w:rsid w:val="00600D15"/>
    <w:rsid w:val="00626A1E"/>
    <w:rsid w:val="00636CD0"/>
    <w:rsid w:val="006708C8"/>
    <w:rsid w:val="006F07ED"/>
    <w:rsid w:val="00701C9F"/>
    <w:rsid w:val="007166FD"/>
    <w:rsid w:val="007B577D"/>
    <w:rsid w:val="007D0FE5"/>
    <w:rsid w:val="008570CC"/>
    <w:rsid w:val="008665BC"/>
    <w:rsid w:val="008B717C"/>
    <w:rsid w:val="00927F68"/>
    <w:rsid w:val="009423C4"/>
    <w:rsid w:val="00975D55"/>
    <w:rsid w:val="009D62C4"/>
    <w:rsid w:val="00A05917"/>
    <w:rsid w:val="00B56045"/>
    <w:rsid w:val="00B900D9"/>
    <w:rsid w:val="00C96FA7"/>
    <w:rsid w:val="00CB4E32"/>
    <w:rsid w:val="00CB51CF"/>
    <w:rsid w:val="00CF5A32"/>
    <w:rsid w:val="00D008AF"/>
    <w:rsid w:val="00D07151"/>
    <w:rsid w:val="00D44C19"/>
    <w:rsid w:val="00E36051"/>
    <w:rsid w:val="00E92A10"/>
    <w:rsid w:val="00F03C26"/>
    <w:rsid w:val="00F77D34"/>
    <w:rsid w:val="00F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Arial"/>
    <w:basedOn w:val="Normal"/>
    <w:link w:val="NormalArialChar"/>
    <w:rsid w:val="009423C4"/>
    <w:rPr>
      <w:rFonts w:ascii="Arial" w:eastAsia="Times New Roman" w:hAnsi="Arial"/>
      <w:sz w:val="24"/>
      <w:szCs w:val="24"/>
    </w:rPr>
  </w:style>
  <w:style w:type="character" w:customStyle="1" w:styleId="NormalArialChar">
    <w:name w:val="Normal+Arial Char"/>
    <w:link w:val="NormalArial"/>
    <w:rsid w:val="009423C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55831">
      <w:bodyDiv w:val="1"/>
      <w:marLeft w:val="0"/>
      <w:marRight w:val="0"/>
      <w:marTop w:val="0"/>
      <w:marBottom w:val="0"/>
      <w:divBdr>
        <w:top w:val="none" w:sz="0" w:space="0" w:color="auto"/>
        <w:left w:val="none" w:sz="0" w:space="0" w:color="auto"/>
        <w:bottom w:val="none" w:sz="0" w:space="0" w:color="auto"/>
        <w:right w:val="none" w:sz="0" w:space="0" w:color="auto"/>
      </w:divBdr>
    </w:div>
    <w:div w:id="273027924">
      <w:bodyDiv w:val="1"/>
      <w:marLeft w:val="0"/>
      <w:marRight w:val="0"/>
      <w:marTop w:val="0"/>
      <w:marBottom w:val="0"/>
      <w:divBdr>
        <w:top w:val="none" w:sz="0" w:space="0" w:color="auto"/>
        <w:left w:val="none" w:sz="0" w:space="0" w:color="auto"/>
        <w:bottom w:val="none" w:sz="0" w:space="0" w:color="auto"/>
        <w:right w:val="none" w:sz="0" w:space="0" w:color="auto"/>
      </w:divBdr>
    </w:div>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18210934">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778378529">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762486769">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db64cb27-6b28-4b9c-8349-fb9d75ca0197">ERCOT Limited</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A071EF7FCDB547B6CC099716FF27F4" ma:contentTypeVersion="0" ma:contentTypeDescription="Create a new document." ma:contentTypeScope="" ma:versionID="5c042407476f8f52c644b95ae0d63986">
  <xsd:schema xmlns:xsd="http://www.w3.org/2001/XMLSchema" xmlns:xs="http://www.w3.org/2001/XMLSchema" xmlns:p="http://schemas.microsoft.com/office/2006/metadata/properties" xmlns:ns2="db64cb27-6b28-4b9c-8349-fb9d75ca0197" targetNamespace="http://schemas.microsoft.com/office/2006/metadata/properties" ma:root="true" ma:fieldsID="75e3c95458296b0b36909dc3fe714cc3" ns2:_="">
    <xsd:import namespace="db64cb27-6b28-4b9c-8349-fb9d75ca0197"/>
    <xsd:element name="properties">
      <xsd:complexType>
        <xsd:sequence>
          <xsd:element name="documentManagement">
            <xsd:complexType>
              <xsd:all>
                <xsd:element ref="ns2:Information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4cb27-6b28-4b9c-8349-fb9d75ca0197"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9AEBF-D0A7-4025-8CDF-D42469F6B9AB}">
  <ds:schemaRefs>
    <ds:schemaRef ds:uri="http://schemas.microsoft.com/sharepoint/v3/contenttype/forms"/>
  </ds:schemaRefs>
</ds:datastoreItem>
</file>

<file path=customXml/itemProps2.xml><?xml version="1.0" encoding="utf-8"?>
<ds:datastoreItem xmlns:ds="http://schemas.openxmlformats.org/officeDocument/2006/customXml" ds:itemID="{ACF6010B-57F7-4FAB-8229-E5CC754D330D}">
  <ds:schemaRefs>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db64cb27-6b28-4b9c-8349-fb9d75ca0197"/>
    <ds:schemaRef ds:uri="http://purl.org/dc/dcmitype/"/>
  </ds:schemaRefs>
</ds:datastoreItem>
</file>

<file path=customXml/itemProps3.xml><?xml version="1.0" encoding="utf-8"?>
<ds:datastoreItem xmlns:ds="http://schemas.openxmlformats.org/officeDocument/2006/customXml" ds:itemID="{D206C064-5268-4CEE-BA61-33021B33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4cb27-6b28-4b9c-8349-fb9d75ca0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2017-05-18T19:44:00Z</dcterms:created>
  <dcterms:modified xsi:type="dcterms:W3CDTF">2017-05-18T19:44:00Z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0x010100A6A071EF7FCDB547B6CC099716FF27F4</vt:lpwstr>
  </property>
</Properties>
</file>