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07413" w:rsidRPr="00B30273" w:rsidRDefault="00707413" w:rsidP="00335331">
      <w:pPr>
        <w:pStyle w:val="Heading1"/>
        <w:jc w:val="center"/>
        <w:rPr>
          <w:b/>
          <w:smallCaps/>
          <w:sz w:val="36"/>
        </w:rPr>
      </w:pPr>
      <w:r w:rsidRPr="00B30273">
        <w:rPr>
          <w:b/>
          <w:smallCaps/>
          <w:sz w:val="36"/>
        </w:rPr>
        <w:t>DWG Questions and Comments on NPRR-815 Studies</w:t>
      </w:r>
    </w:p>
    <w:p w:rsidR="00707413" w:rsidRDefault="00707413" w:rsidP="00093C1C"/>
    <w:p w:rsidR="00093C1C" w:rsidRPr="00B30273" w:rsidRDefault="00093C1C" w:rsidP="00B30273">
      <w:pPr>
        <w:jc w:val="center"/>
        <w:rPr>
          <w:b/>
          <w:smallCaps/>
          <w:sz w:val="32"/>
          <w:u w:val="single"/>
        </w:rPr>
      </w:pPr>
      <w:r w:rsidRPr="00B30273">
        <w:rPr>
          <w:b/>
          <w:smallCaps/>
          <w:sz w:val="32"/>
          <w:u w:val="single"/>
        </w:rPr>
        <w:t xml:space="preserve">Table 1 on </w:t>
      </w:r>
      <w:r w:rsidR="00403BBE">
        <w:rPr>
          <w:b/>
          <w:smallCaps/>
          <w:sz w:val="32"/>
          <w:u w:val="single"/>
        </w:rPr>
        <w:t>P</w:t>
      </w:r>
      <w:r w:rsidRPr="00B30273">
        <w:rPr>
          <w:b/>
          <w:smallCaps/>
          <w:sz w:val="32"/>
          <w:u w:val="single"/>
        </w:rPr>
        <w:t>age 3 (</w:t>
      </w:r>
      <w:r w:rsidR="001A5BA2">
        <w:rPr>
          <w:b/>
          <w:smallCaps/>
          <w:sz w:val="32"/>
          <w:u w:val="single"/>
        </w:rPr>
        <w:t>S</w:t>
      </w:r>
      <w:r w:rsidRPr="00B30273">
        <w:rPr>
          <w:b/>
          <w:smallCaps/>
          <w:sz w:val="32"/>
          <w:u w:val="single"/>
        </w:rPr>
        <w:t xml:space="preserve">tudy </w:t>
      </w:r>
      <w:r w:rsidR="001A5BA2">
        <w:rPr>
          <w:b/>
          <w:smallCaps/>
          <w:sz w:val="32"/>
          <w:u w:val="single"/>
        </w:rPr>
        <w:t>D</w:t>
      </w:r>
      <w:r w:rsidRPr="00B30273">
        <w:rPr>
          <w:b/>
          <w:smallCaps/>
          <w:sz w:val="32"/>
          <w:u w:val="single"/>
        </w:rPr>
        <w:t xml:space="preserve">ocument) / </w:t>
      </w:r>
      <w:r w:rsidR="001A5BA2">
        <w:rPr>
          <w:b/>
          <w:smallCaps/>
          <w:sz w:val="32"/>
          <w:u w:val="single"/>
        </w:rPr>
        <w:t>S</w:t>
      </w:r>
      <w:r w:rsidRPr="00B30273">
        <w:rPr>
          <w:b/>
          <w:smallCaps/>
          <w:sz w:val="32"/>
          <w:u w:val="single"/>
        </w:rPr>
        <w:t>lide 6 (</w:t>
      </w:r>
      <w:r w:rsidR="001A5BA2">
        <w:rPr>
          <w:b/>
          <w:smallCaps/>
          <w:sz w:val="32"/>
          <w:u w:val="single"/>
        </w:rPr>
        <w:t>P</w:t>
      </w:r>
      <w:r w:rsidRPr="00B30273">
        <w:rPr>
          <w:b/>
          <w:smallCaps/>
          <w:sz w:val="32"/>
          <w:u w:val="single"/>
        </w:rPr>
        <w:t>resentation)</w:t>
      </w:r>
    </w:p>
    <w:p w:rsidR="00093C1C" w:rsidRPr="00093C1C" w:rsidRDefault="00093C1C" w:rsidP="00335331">
      <w:pPr>
        <w:jc w:val="both"/>
      </w:pPr>
    </w:p>
    <w:p w:rsidR="00093C1C" w:rsidRDefault="00093C1C" w:rsidP="00335331">
      <w:pPr>
        <w:pStyle w:val="ListParagraph"/>
        <w:numPr>
          <w:ilvl w:val="0"/>
          <w:numId w:val="1"/>
        </w:numPr>
        <w:ind w:left="360"/>
        <w:jc w:val="both"/>
      </w:pPr>
      <w:r w:rsidRPr="00093C1C">
        <w:t>Please explain the calculation/formula for the 1150 MW PFR Minimum.  Is the Interconnection Frequency Response Obligation (IFRO) of 381 MW/.1Hz multiplied by three (to the LaaR 59.7 Hz setting) then rounded up from 1143 MW?</w:t>
      </w:r>
    </w:p>
    <w:p w:rsidR="00317785" w:rsidRPr="00955408" w:rsidRDefault="00317785" w:rsidP="00335331">
      <w:pPr>
        <w:ind w:left="360"/>
        <w:jc w:val="both"/>
        <w:rPr>
          <w:color w:val="ED7D31" w:themeColor="accent2"/>
        </w:rPr>
      </w:pPr>
      <w:r w:rsidRPr="00955408">
        <w:rPr>
          <w:color w:val="ED7D31" w:themeColor="accent2"/>
        </w:rPr>
        <w:t xml:space="preserve">Response: </w:t>
      </w:r>
    </w:p>
    <w:p w:rsidR="00093C1C" w:rsidRDefault="00317785" w:rsidP="00335331">
      <w:pPr>
        <w:ind w:left="360"/>
        <w:jc w:val="both"/>
        <w:rPr>
          <w:color w:val="ED7D31" w:themeColor="accent2"/>
        </w:rPr>
      </w:pPr>
      <w:r w:rsidRPr="00955408">
        <w:rPr>
          <w:color w:val="ED7D31" w:themeColor="accent2"/>
        </w:rPr>
        <w:t xml:space="preserve">Yes. Based on the </w:t>
      </w:r>
      <w:r>
        <w:rPr>
          <w:color w:val="ED7D31" w:themeColor="accent2"/>
        </w:rPr>
        <w:t>interconnection IFRO, Minimum PFR is calculated as 381MW/.1Hz*</w:t>
      </w:r>
      <w:r w:rsidR="00335331">
        <w:rPr>
          <w:color w:val="ED7D31" w:themeColor="accent2"/>
        </w:rPr>
        <w:t>0.</w:t>
      </w:r>
      <w:r>
        <w:rPr>
          <w:color w:val="ED7D31" w:themeColor="accent2"/>
        </w:rPr>
        <w:t>3</w:t>
      </w:r>
      <w:r w:rsidR="00313F8F">
        <w:rPr>
          <w:color w:val="ED7D31" w:themeColor="accent2"/>
        </w:rPr>
        <w:t xml:space="preserve">Hz </w:t>
      </w:r>
      <w:r>
        <w:rPr>
          <w:color w:val="ED7D31" w:themeColor="accent2"/>
        </w:rPr>
        <w:t>=1143</w:t>
      </w:r>
      <w:r w:rsidR="00837DB6">
        <w:rPr>
          <w:color w:val="ED7D31" w:themeColor="accent2"/>
        </w:rPr>
        <w:t xml:space="preserve"> </w:t>
      </w:r>
      <w:r>
        <w:rPr>
          <w:color w:val="ED7D31" w:themeColor="accent2"/>
        </w:rPr>
        <w:t>MW and rounded up to 1150</w:t>
      </w:r>
      <w:r w:rsidR="00837DB6">
        <w:rPr>
          <w:color w:val="ED7D31" w:themeColor="accent2"/>
        </w:rPr>
        <w:t xml:space="preserve"> </w:t>
      </w:r>
      <w:r>
        <w:rPr>
          <w:color w:val="ED7D31" w:themeColor="accent2"/>
        </w:rPr>
        <w:t>MW.</w:t>
      </w:r>
    </w:p>
    <w:p w:rsidR="00993971" w:rsidRDefault="00993971" w:rsidP="00335331">
      <w:pPr>
        <w:jc w:val="both"/>
        <w:rPr>
          <w:color w:val="ED7D31" w:themeColor="accent2"/>
        </w:rPr>
      </w:pPr>
    </w:p>
    <w:tbl>
      <w:tblPr>
        <w:tblW w:w="9188" w:type="dxa"/>
        <w:tblInd w:w="442" w:type="dxa"/>
        <w:tblLayout w:type="fixed"/>
        <w:tblCellMar>
          <w:left w:w="0" w:type="dxa"/>
          <w:right w:w="0" w:type="dxa"/>
        </w:tblCellMar>
        <w:tblLook w:val="0000" w:firstRow="0" w:lastRow="0" w:firstColumn="0" w:lastColumn="0" w:noHBand="0" w:noVBand="0"/>
      </w:tblPr>
      <w:tblGrid>
        <w:gridCol w:w="900"/>
        <w:gridCol w:w="1530"/>
        <w:gridCol w:w="1710"/>
        <w:gridCol w:w="1620"/>
        <w:gridCol w:w="1980"/>
        <w:gridCol w:w="1448"/>
      </w:tblGrid>
      <w:tr w:rsidR="00993971" w:rsidRPr="00993971" w:rsidTr="00335331">
        <w:trPr>
          <w:trHeight w:hRule="exact" w:val="483"/>
        </w:trPr>
        <w:tc>
          <w:tcPr>
            <w:tcW w:w="9188" w:type="dxa"/>
            <w:gridSpan w:val="6"/>
            <w:tcBorders>
              <w:top w:val="single" w:sz="6" w:space="0" w:color="1A3B62"/>
              <w:left w:val="single" w:sz="6" w:space="0" w:color="1A3B62"/>
              <w:bottom w:val="single" w:sz="7" w:space="0" w:color="1A3B62"/>
              <w:right w:val="single" w:sz="6" w:space="0" w:color="1A3B62"/>
            </w:tcBorders>
            <w:shd w:val="clear" w:color="auto" w:fill="264D74"/>
          </w:tcPr>
          <w:p w:rsidR="00993971" w:rsidRPr="00B35989" w:rsidRDefault="00993971" w:rsidP="00335331">
            <w:pPr>
              <w:kinsoku w:val="0"/>
              <w:overflowPunct w:val="0"/>
              <w:autoSpaceDE w:val="0"/>
              <w:autoSpaceDN w:val="0"/>
              <w:adjustRightInd w:val="0"/>
              <w:spacing w:before="119"/>
              <w:ind w:left="1646"/>
              <w:jc w:val="both"/>
              <w:rPr>
                <w:rFonts w:asciiTheme="minorHAnsi" w:hAnsiTheme="minorHAnsi"/>
                <w:sz w:val="24"/>
                <w:szCs w:val="24"/>
              </w:rPr>
            </w:pPr>
            <w:r w:rsidRPr="00B35989">
              <w:rPr>
                <w:rFonts w:asciiTheme="minorHAnsi" w:hAnsiTheme="minorHAnsi" w:cs="Tahoma"/>
                <w:b/>
                <w:bCs/>
                <w:color w:val="FFFFFF"/>
              </w:rPr>
              <w:t>Table</w:t>
            </w:r>
            <w:r w:rsidRPr="00B35989">
              <w:rPr>
                <w:rFonts w:asciiTheme="minorHAnsi" w:hAnsiTheme="minorHAnsi" w:cs="Tahoma"/>
                <w:b/>
                <w:bCs/>
                <w:color w:val="FFFFFF"/>
                <w:spacing w:val="-9"/>
              </w:rPr>
              <w:t xml:space="preserve"> </w:t>
            </w:r>
            <w:r w:rsidRPr="00B35989">
              <w:rPr>
                <w:rFonts w:asciiTheme="minorHAnsi" w:hAnsiTheme="minorHAnsi" w:cs="Tahoma"/>
                <w:b/>
                <w:bCs/>
                <w:color w:val="FFFFFF"/>
              </w:rPr>
              <w:t>A1:</w:t>
            </w:r>
            <w:r w:rsidRPr="00B35989">
              <w:rPr>
                <w:rFonts w:asciiTheme="minorHAnsi" w:hAnsiTheme="minorHAnsi" w:cs="Tahoma"/>
                <w:b/>
                <w:bCs/>
                <w:color w:val="FFFFFF"/>
                <w:spacing w:val="-9"/>
              </w:rPr>
              <w:t xml:space="preserve"> </w:t>
            </w:r>
            <w:r w:rsidRPr="00B35989">
              <w:rPr>
                <w:rFonts w:asciiTheme="minorHAnsi" w:hAnsiTheme="minorHAnsi" w:cs="Tahoma"/>
                <w:b/>
                <w:bCs/>
                <w:color w:val="FFFFFF"/>
                <w:spacing w:val="-1"/>
              </w:rPr>
              <w:t>Recommended</w:t>
            </w:r>
            <w:r w:rsidRPr="00B35989">
              <w:rPr>
                <w:rFonts w:asciiTheme="minorHAnsi" w:hAnsiTheme="minorHAnsi" w:cs="Tahoma"/>
                <w:b/>
                <w:bCs/>
                <w:color w:val="FFFFFF"/>
                <w:spacing w:val="-8"/>
              </w:rPr>
              <w:t xml:space="preserve"> </w:t>
            </w:r>
            <w:r w:rsidRPr="00B35989">
              <w:rPr>
                <w:rFonts w:asciiTheme="minorHAnsi" w:hAnsiTheme="minorHAnsi" w:cs="Tahoma"/>
                <w:b/>
                <w:bCs/>
                <w:color w:val="FFFFFF"/>
              </w:rPr>
              <w:t>IFROs</w:t>
            </w:r>
            <w:r w:rsidRPr="00B35989">
              <w:rPr>
                <w:rFonts w:asciiTheme="minorHAnsi" w:hAnsiTheme="minorHAnsi" w:cs="Tahoma"/>
                <w:b/>
                <w:bCs/>
                <w:color w:val="FFFFFF"/>
                <w:spacing w:val="-8"/>
              </w:rPr>
              <w:t xml:space="preserve"> </w:t>
            </w:r>
            <w:r w:rsidRPr="00B35989">
              <w:rPr>
                <w:rFonts w:asciiTheme="minorHAnsi" w:hAnsiTheme="minorHAnsi" w:cs="Tahoma"/>
                <w:b/>
                <w:bCs/>
                <w:color w:val="FFFFFF"/>
              </w:rPr>
              <w:t>for</w:t>
            </w:r>
            <w:r w:rsidRPr="00B35989">
              <w:rPr>
                <w:rFonts w:asciiTheme="minorHAnsi" w:hAnsiTheme="minorHAnsi" w:cs="Tahoma"/>
                <w:b/>
                <w:bCs/>
                <w:color w:val="FFFFFF"/>
                <w:spacing w:val="-9"/>
              </w:rPr>
              <w:t xml:space="preserve"> </w:t>
            </w:r>
            <w:r w:rsidRPr="00B35989">
              <w:rPr>
                <w:rFonts w:asciiTheme="minorHAnsi" w:hAnsiTheme="minorHAnsi" w:cs="Tahoma"/>
                <w:b/>
                <w:bCs/>
                <w:color w:val="FFFFFF"/>
              </w:rPr>
              <w:t>Operating</w:t>
            </w:r>
            <w:r w:rsidRPr="00B35989">
              <w:rPr>
                <w:rFonts w:asciiTheme="minorHAnsi" w:hAnsiTheme="minorHAnsi" w:cs="Tahoma"/>
                <w:b/>
                <w:bCs/>
                <w:color w:val="FFFFFF"/>
                <w:spacing w:val="-8"/>
              </w:rPr>
              <w:t xml:space="preserve"> </w:t>
            </w:r>
            <w:r w:rsidRPr="00B35989">
              <w:rPr>
                <w:rFonts w:asciiTheme="minorHAnsi" w:hAnsiTheme="minorHAnsi" w:cs="Tahoma"/>
                <w:b/>
                <w:bCs/>
                <w:color w:val="FFFFFF"/>
              </w:rPr>
              <w:t>Year</w:t>
            </w:r>
            <w:r w:rsidRPr="00B35989">
              <w:rPr>
                <w:rFonts w:asciiTheme="minorHAnsi" w:hAnsiTheme="minorHAnsi" w:cs="Tahoma"/>
                <w:b/>
                <w:bCs/>
                <w:color w:val="FFFFFF"/>
                <w:spacing w:val="-8"/>
              </w:rPr>
              <w:t xml:space="preserve"> </w:t>
            </w:r>
            <w:r w:rsidRPr="00B35989">
              <w:rPr>
                <w:rFonts w:asciiTheme="minorHAnsi" w:hAnsiTheme="minorHAnsi" w:cs="Tahoma"/>
                <w:b/>
                <w:bCs/>
                <w:color w:val="FFFFFF"/>
              </w:rPr>
              <w:t>2017</w:t>
            </w:r>
          </w:p>
        </w:tc>
      </w:tr>
      <w:tr w:rsidR="00993971" w:rsidRPr="00993971" w:rsidTr="00335331">
        <w:trPr>
          <w:trHeight w:hRule="exact" w:val="314"/>
        </w:trPr>
        <w:tc>
          <w:tcPr>
            <w:tcW w:w="900" w:type="dxa"/>
            <w:tcBorders>
              <w:top w:val="single" w:sz="7" w:space="0" w:color="1A3B62"/>
              <w:left w:val="single" w:sz="6" w:space="0" w:color="1A3B62"/>
              <w:bottom w:val="single" w:sz="7" w:space="0" w:color="1A3B62"/>
              <w:right w:val="single" w:sz="6" w:space="0" w:color="1A3B62"/>
            </w:tcBorders>
            <w:shd w:val="clear" w:color="auto" w:fill="8EB5DA"/>
            <w:vAlign w:val="center"/>
          </w:tcPr>
          <w:p w:rsidR="00993971" w:rsidRPr="00B35989" w:rsidRDefault="00993971" w:rsidP="00335331">
            <w:pPr>
              <w:autoSpaceDE w:val="0"/>
              <w:autoSpaceDN w:val="0"/>
              <w:adjustRightInd w:val="0"/>
              <w:jc w:val="center"/>
              <w:rPr>
                <w:rFonts w:asciiTheme="minorHAnsi" w:hAnsiTheme="minorHAnsi"/>
                <w:sz w:val="24"/>
                <w:szCs w:val="24"/>
              </w:rPr>
            </w:pPr>
          </w:p>
        </w:tc>
        <w:tc>
          <w:tcPr>
            <w:tcW w:w="1530" w:type="dxa"/>
            <w:tcBorders>
              <w:top w:val="single" w:sz="7" w:space="0" w:color="1A3B62"/>
              <w:left w:val="single" w:sz="6" w:space="0" w:color="1A3B62"/>
              <w:bottom w:val="single" w:sz="7" w:space="0" w:color="1A3B62"/>
              <w:right w:val="single" w:sz="6" w:space="0" w:color="1A3B62"/>
            </w:tcBorders>
            <w:shd w:val="clear" w:color="auto" w:fill="8EB5DA"/>
            <w:vAlign w:val="center"/>
          </w:tcPr>
          <w:p w:rsidR="00993971" w:rsidRPr="00B35989" w:rsidRDefault="00993971" w:rsidP="00335331">
            <w:pPr>
              <w:kinsoku w:val="0"/>
              <w:overflowPunct w:val="0"/>
              <w:autoSpaceDE w:val="0"/>
              <w:autoSpaceDN w:val="0"/>
              <w:adjustRightInd w:val="0"/>
              <w:spacing w:before="46"/>
              <w:ind w:left="381" w:right="190" w:hanging="192"/>
              <w:jc w:val="center"/>
              <w:rPr>
                <w:rFonts w:asciiTheme="minorHAnsi" w:hAnsiTheme="minorHAnsi"/>
                <w:sz w:val="24"/>
                <w:szCs w:val="24"/>
              </w:rPr>
            </w:pPr>
            <w:r w:rsidRPr="00B35989">
              <w:rPr>
                <w:rFonts w:asciiTheme="minorHAnsi" w:hAnsiTheme="minorHAnsi" w:cs="Calibri"/>
                <w:b/>
                <w:bCs/>
                <w:spacing w:val="-1"/>
              </w:rPr>
              <w:t>Eastern</w:t>
            </w:r>
            <w:r w:rsidRPr="00B35989">
              <w:rPr>
                <w:rFonts w:asciiTheme="minorHAnsi" w:hAnsiTheme="minorHAnsi" w:cs="Calibri"/>
                <w:b/>
                <w:bCs/>
                <w:spacing w:val="22"/>
                <w:w w:val="99"/>
              </w:rPr>
              <w:t xml:space="preserve"> </w:t>
            </w:r>
            <w:r w:rsidRPr="00B35989">
              <w:rPr>
                <w:rFonts w:asciiTheme="minorHAnsi" w:hAnsiTheme="minorHAnsi" w:cs="Calibri"/>
                <w:b/>
                <w:bCs/>
              </w:rPr>
              <w:t>(EI)</w:t>
            </w:r>
          </w:p>
        </w:tc>
        <w:tc>
          <w:tcPr>
            <w:tcW w:w="1710" w:type="dxa"/>
            <w:tcBorders>
              <w:top w:val="single" w:sz="7" w:space="0" w:color="1A3B62"/>
              <w:left w:val="single" w:sz="6" w:space="0" w:color="1A3B62"/>
              <w:bottom w:val="single" w:sz="7" w:space="0" w:color="1A3B62"/>
              <w:right w:val="single" w:sz="6" w:space="0" w:color="1A3B62"/>
            </w:tcBorders>
            <w:shd w:val="clear" w:color="auto" w:fill="8EB5DA"/>
            <w:vAlign w:val="center"/>
          </w:tcPr>
          <w:p w:rsidR="00993971" w:rsidRPr="00B35989" w:rsidRDefault="00993971" w:rsidP="00335331">
            <w:pPr>
              <w:kinsoku w:val="0"/>
              <w:overflowPunct w:val="0"/>
              <w:autoSpaceDE w:val="0"/>
              <w:autoSpaceDN w:val="0"/>
              <w:adjustRightInd w:val="0"/>
              <w:spacing w:before="46"/>
              <w:ind w:left="405" w:right="213" w:hanging="194"/>
              <w:jc w:val="center"/>
              <w:rPr>
                <w:rFonts w:asciiTheme="minorHAnsi" w:hAnsiTheme="minorHAnsi"/>
                <w:sz w:val="24"/>
                <w:szCs w:val="24"/>
              </w:rPr>
            </w:pPr>
            <w:r w:rsidRPr="00B35989">
              <w:rPr>
                <w:rFonts w:asciiTheme="minorHAnsi" w:hAnsiTheme="minorHAnsi" w:cs="Calibri"/>
                <w:b/>
                <w:bCs/>
                <w:w w:val="95"/>
              </w:rPr>
              <w:t>Western</w:t>
            </w:r>
            <w:r w:rsidRPr="00B35989">
              <w:rPr>
                <w:rFonts w:asciiTheme="minorHAnsi" w:hAnsiTheme="minorHAnsi" w:cs="Calibri"/>
                <w:b/>
                <w:bCs/>
                <w:w w:val="99"/>
              </w:rPr>
              <w:t xml:space="preserve"> </w:t>
            </w:r>
            <w:r w:rsidRPr="00B35989">
              <w:rPr>
                <w:rFonts w:asciiTheme="minorHAnsi" w:hAnsiTheme="minorHAnsi" w:cs="Calibri"/>
                <w:b/>
                <w:bCs/>
              </w:rPr>
              <w:t>(WI)</w:t>
            </w:r>
          </w:p>
        </w:tc>
        <w:tc>
          <w:tcPr>
            <w:tcW w:w="1620" w:type="dxa"/>
            <w:tcBorders>
              <w:top w:val="single" w:sz="7" w:space="0" w:color="1A3B62"/>
              <w:left w:val="single" w:sz="6" w:space="0" w:color="1A3B62"/>
              <w:bottom w:val="single" w:sz="7" w:space="0" w:color="1A3B62"/>
              <w:right w:val="single" w:sz="6" w:space="0" w:color="1A3B62"/>
            </w:tcBorders>
            <w:shd w:val="clear" w:color="auto" w:fill="8EB5DA"/>
            <w:vAlign w:val="center"/>
          </w:tcPr>
          <w:p w:rsidR="00993971" w:rsidRPr="00B35989" w:rsidRDefault="00993971" w:rsidP="00335331">
            <w:pPr>
              <w:kinsoku w:val="0"/>
              <w:overflowPunct w:val="0"/>
              <w:autoSpaceDE w:val="0"/>
              <w:autoSpaceDN w:val="0"/>
              <w:adjustRightInd w:val="0"/>
              <w:spacing w:before="46"/>
              <w:ind w:left="412" w:right="306" w:hanging="107"/>
              <w:jc w:val="center"/>
              <w:rPr>
                <w:rFonts w:asciiTheme="minorHAnsi" w:hAnsiTheme="minorHAnsi"/>
                <w:sz w:val="24"/>
                <w:szCs w:val="24"/>
              </w:rPr>
            </w:pPr>
            <w:r w:rsidRPr="00B35989">
              <w:rPr>
                <w:rFonts w:asciiTheme="minorHAnsi" w:hAnsiTheme="minorHAnsi" w:cs="Calibri"/>
                <w:b/>
                <w:bCs/>
                <w:spacing w:val="-1"/>
              </w:rPr>
              <w:t>Texas</w:t>
            </w:r>
            <w:r w:rsidRPr="00B35989">
              <w:rPr>
                <w:rFonts w:asciiTheme="minorHAnsi" w:hAnsiTheme="minorHAnsi" w:cs="Calibri"/>
                <w:b/>
                <w:bCs/>
                <w:spacing w:val="20"/>
                <w:w w:val="99"/>
              </w:rPr>
              <w:t xml:space="preserve"> </w:t>
            </w:r>
            <w:r w:rsidRPr="00B35989">
              <w:rPr>
                <w:rFonts w:asciiTheme="minorHAnsi" w:hAnsiTheme="minorHAnsi" w:cs="Calibri"/>
                <w:b/>
                <w:bCs/>
              </w:rPr>
              <w:t>(TI)</w:t>
            </w:r>
          </w:p>
        </w:tc>
        <w:tc>
          <w:tcPr>
            <w:tcW w:w="1980" w:type="dxa"/>
            <w:tcBorders>
              <w:top w:val="single" w:sz="7" w:space="0" w:color="1A3B62"/>
              <w:left w:val="single" w:sz="6" w:space="0" w:color="1A3B62"/>
              <w:bottom w:val="single" w:sz="7" w:space="0" w:color="1A3B62"/>
              <w:right w:val="single" w:sz="6" w:space="0" w:color="1A3B62"/>
            </w:tcBorders>
            <w:shd w:val="clear" w:color="auto" w:fill="8EB5DA"/>
            <w:vAlign w:val="center"/>
          </w:tcPr>
          <w:p w:rsidR="00993971" w:rsidRPr="00B35989" w:rsidRDefault="00993971" w:rsidP="00335331">
            <w:pPr>
              <w:kinsoku w:val="0"/>
              <w:overflowPunct w:val="0"/>
              <w:autoSpaceDE w:val="0"/>
              <w:autoSpaceDN w:val="0"/>
              <w:adjustRightInd w:val="0"/>
              <w:spacing w:before="46"/>
              <w:ind w:left="417" w:right="241" w:hanging="178"/>
              <w:jc w:val="center"/>
              <w:rPr>
                <w:rFonts w:asciiTheme="minorHAnsi" w:hAnsiTheme="minorHAnsi"/>
                <w:sz w:val="24"/>
                <w:szCs w:val="24"/>
              </w:rPr>
            </w:pPr>
            <w:r w:rsidRPr="00B35989">
              <w:rPr>
                <w:rFonts w:asciiTheme="minorHAnsi" w:hAnsiTheme="minorHAnsi" w:cs="Calibri"/>
                <w:b/>
                <w:bCs/>
                <w:spacing w:val="-1"/>
              </w:rPr>
              <w:t>Québec</w:t>
            </w:r>
            <w:r w:rsidRPr="00B35989">
              <w:rPr>
                <w:rFonts w:asciiTheme="minorHAnsi" w:hAnsiTheme="minorHAnsi" w:cs="Calibri"/>
                <w:b/>
                <w:bCs/>
                <w:spacing w:val="20"/>
                <w:w w:val="99"/>
              </w:rPr>
              <w:t xml:space="preserve"> </w:t>
            </w:r>
            <w:r w:rsidRPr="00B35989">
              <w:rPr>
                <w:rFonts w:asciiTheme="minorHAnsi" w:hAnsiTheme="minorHAnsi" w:cs="Calibri"/>
                <w:b/>
                <w:bCs/>
              </w:rPr>
              <w:t>(QI)</w:t>
            </w:r>
          </w:p>
        </w:tc>
        <w:tc>
          <w:tcPr>
            <w:tcW w:w="1448" w:type="dxa"/>
            <w:tcBorders>
              <w:top w:val="single" w:sz="7" w:space="0" w:color="1A3B62"/>
              <w:left w:val="single" w:sz="6" w:space="0" w:color="1A3B62"/>
              <w:bottom w:val="single" w:sz="7" w:space="0" w:color="1A3B62"/>
              <w:right w:val="single" w:sz="6" w:space="0" w:color="1A3B62"/>
            </w:tcBorders>
            <w:shd w:val="clear" w:color="auto" w:fill="8EB5DA"/>
            <w:vAlign w:val="center"/>
          </w:tcPr>
          <w:p w:rsidR="00993971" w:rsidRPr="00B35989" w:rsidRDefault="00993971" w:rsidP="00335331">
            <w:pPr>
              <w:kinsoku w:val="0"/>
              <w:overflowPunct w:val="0"/>
              <w:autoSpaceDE w:val="0"/>
              <w:autoSpaceDN w:val="0"/>
              <w:adjustRightInd w:val="0"/>
              <w:spacing w:before="46"/>
              <w:ind w:left="412" w:right="306" w:hanging="107"/>
              <w:jc w:val="center"/>
              <w:rPr>
                <w:rFonts w:asciiTheme="minorHAnsi" w:hAnsiTheme="minorHAnsi"/>
                <w:sz w:val="24"/>
                <w:szCs w:val="24"/>
              </w:rPr>
            </w:pPr>
            <w:r w:rsidRPr="00B35989">
              <w:rPr>
                <w:rFonts w:asciiTheme="minorHAnsi" w:hAnsiTheme="minorHAnsi" w:cs="Calibri"/>
                <w:b/>
                <w:bCs/>
                <w:spacing w:val="-1"/>
              </w:rPr>
              <w:t>Units</w:t>
            </w:r>
          </w:p>
        </w:tc>
      </w:tr>
      <w:tr w:rsidR="00993971" w:rsidRPr="00993971" w:rsidTr="00B35989">
        <w:trPr>
          <w:trHeight w:hRule="exact" w:val="380"/>
        </w:trPr>
        <w:tc>
          <w:tcPr>
            <w:tcW w:w="900" w:type="dxa"/>
            <w:tcBorders>
              <w:top w:val="single" w:sz="7" w:space="0" w:color="1A3B62"/>
              <w:left w:val="single" w:sz="6" w:space="0" w:color="1A3B62"/>
              <w:bottom w:val="single" w:sz="6" w:space="0" w:color="1A3B62"/>
              <w:right w:val="single" w:sz="6" w:space="0" w:color="1A3B62"/>
            </w:tcBorders>
            <w:vAlign w:val="center"/>
          </w:tcPr>
          <w:p w:rsidR="00993971" w:rsidRPr="00B35989" w:rsidRDefault="00993971" w:rsidP="00335331">
            <w:pPr>
              <w:kinsoku w:val="0"/>
              <w:overflowPunct w:val="0"/>
              <w:autoSpaceDE w:val="0"/>
              <w:autoSpaceDN w:val="0"/>
              <w:adjustRightInd w:val="0"/>
              <w:spacing w:before="46"/>
              <w:ind w:left="99"/>
              <w:jc w:val="center"/>
              <w:rPr>
                <w:rFonts w:asciiTheme="minorHAnsi" w:hAnsiTheme="minorHAnsi"/>
                <w:sz w:val="24"/>
                <w:szCs w:val="24"/>
              </w:rPr>
            </w:pPr>
            <w:r w:rsidRPr="00B35989">
              <w:rPr>
                <w:rFonts w:asciiTheme="minorHAnsi" w:hAnsiTheme="minorHAnsi" w:cs="Calibri"/>
                <w:b/>
                <w:bCs/>
              </w:rPr>
              <w:t>IFRO</w:t>
            </w:r>
          </w:p>
        </w:tc>
        <w:tc>
          <w:tcPr>
            <w:tcW w:w="1530" w:type="dxa"/>
            <w:tcBorders>
              <w:top w:val="single" w:sz="7" w:space="0" w:color="1A3B62"/>
              <w:left w:val="single" w:sz="6" w:space="0" w:color="1A3B62"/>
              <w:bottom w:val="single" w:sz="6" w:space="0" w:color="1A3B62"/>
              <w:right w:val="single" w:sz="6" w:space="0" w:color="1A3B62"/>
            </w:tcBorders>
            <w:vAlign w:val="center"/>
          </w:tcPr>
          <w:p w:rsidR="00993971" w:rsidRPr="00B35989" w:rsidRDefault="00993971" w:rsidP="00335331">
            <w:pPr>
              <w:kinsoku w:val="0"/>
              <w:overflowPunct w:val="0"/>
              <w:autoSpaceDE w:val="0"/>
              <w:autoSpaceDN w:val="0"/>
              <w:adjustRightInd w:val="0"/>
              <w:spacing w:before="46"/>
              <w:ind w:left="248"/>
              <w:jc w:val="center"/>
              <w:rPr>
                <w:rFonts w:asciiTheme="minorHAnsi" w:hAnsiTheme="minorHAnsi"/>
                <w:sz w:val="24"/>
                <w:szCs w:val="24"/>
              </w:rPr>
            </w:pPr>
            <w:r w:rsidRPr="00B35989">
              <w:rPr>
                <w:rFonts w:asciiTheme="minorHAnsi" w:hAnsiTheme="minorHAnsi" w:cs="Calibri"/>
                <w:b/>
                <w:bCs/>
              </w:rPr>
              <w:t>‐1,015</w:t>
            </w:r>
          </w:p>
        </w:tc>
        <w:tc>
          <w:tcPr>
            <w:tcW w:w="1710" w:type="dxa"/>
            <w:tcBorders>
              <w:top w:val="single" w:sz="7" w:space="0" w:color="1A3B62"/>
              <w:left w:val="single" w:sz="6" w:space="0" w:color="1A3B62"/>
              <w:bottom w:val="single" w:sz="6" w:space="0" w:color="1A3B62"/>
              <w:right w:val="single" w:sz="6" w:space="0" w:color="1A3B62"/>
            </w:tcBorders>
            <w:vAlign w:val="center"/>
          </w:tcPr>
          <w:p w:rsidR="00993971" w:rsidRPr="00B35989" w:rsidRDefault="00993971" w:rsidP="00335331">
            <w:pPr>
              <w:kinsoku w:val="0"/>
              <w:overflowPunct w:val="0"/>
              <w:autoSpaceDE w:val="0"/>
              <w:autoSpaceDN w:val="0"/>
              <w:adjustRightInd w:val="0"/>
              <w:spacing w:before="46"/>
              <w:ind w:left="402"/>
              <w:jc w:val="center"/>
              <w:rPr>
                <w:rFonts w:asciiTheme="minorHAnsi" w:hAnsiTheme="minorHAnsi"/>
                <w:sz w:val="24"/>
                <w:szCs w:val="24"/>
              </w:rPr>
            </w:pPr>
            <w:r w:rsidRPr="00B35989">
              <w:rPr>
                <w:rFonts w:asciiTheme="minorHAnsi" w:hAnsiTheme="minorHAnsi" w:cs="Calibri"/>
                <w:b/>
                <w:bCs/>
              </w:rPr>
              <w:t>‐858</w:t>
            </w:r>
          </w:p>
        </w:tc>
        <w:tc>
          <w:tcPr>
            <w:tcW w:w="1620" w:type="dxa"/>
            <w:tcBorders>
              <w:top w:val="single" w:sz="7" w:space="0" w:color="1A3B62"/>
              <w:left w:val="single" w:sz="6" w:space="0" w:color="1A3B62"/>
              <w:bottom w:val="single" w:sz="6" w:space="0" w:color="1A3B62"/>
              <w:right w:val="single" w:sz="6" w:space="0" w:color="1A3B62"/>
            </w:tcBorders>
            <w:vAlign w:val="center"/>
          </w:tcPr>
          <w:p w:rsidR="00993971" w:rsidRPr="00B35989" w:rsidRDefault="00993971" w:rsidP="00335331">
            <w:pPr>
              <w:kinsoku w:val="0"/>
              <w:overflowPunct w:val="0"/>
              <w:autoSpaceDE w:val="0"/>
              <w:autoSpaceDN w:val="0"/>
              <w:adjustRightInd w:val="0"/>
              <w:spacing w:before="46"/>
              <w:ind w:left="363"/>
              <w:jc w:val="center"/>
              <w:rPr>
                <w:rFonts w:asciiTheme="minorHAnsi" w:hAnsiTheme="minorHAnsi"/>
                <w:sz w:val="24"/>
                <w:szCs w:val="24"/>
              </w:rPr>
            </w:pPr>
            <w:r w:rsidRPr="00B35989">
              <w:rPr>
                <w:rFonts w:asciiTheme="minorHAnsi" w:hAnsiTheme="minorHAnsi" w:cs="Calibri"/>
                <w:b/>
                <w:bCs/>
              </w:rPr>
              <w:t>‐381</w:t>
            </w:r>
          </w:p>
        </w:tc>
        <w:tc>
          <w:tcPr>
            <w:tcW w:w="1980" w:type="dxa"/>
            <w:tcBorders>
              <w:top w:val="single" w:sz="7" w:space="0" w:color="1A3B62"/>
              <w:left w:val="single" w:sz="6" w:space="0" w:color="1A3B62"/>
              <w:bottom w:val="single" w:sz="6" w:space="0" w:color="1A3B62"/>
              <w:right w:val="single" w:sz="6" w:space="0" w:color="1A3B62"/>
            </w:tcBorders>
            <w:vAlign w:val="center"/>
          </w:tcPr>
          <w:p w:rsidR="00993971" w:rsidRPr="00B35989" w:rsidRDefault="00993971" w:rsidP="00335331">
            <w:pPr>
              <w:kinsoku w:val="0"/>
              <w:overflowPunct w:val="0"/>
              <w:autoSpaceDE w:val="0"/>
              <w:autoSpaceDN w:val="0"/>
              <w:adjustRightInd w:val="0"/>
              <w:spacing w:before="46"/>
              <w:ind w:left="390"/>
              <w:jc w:val="center"/>
              <w:rPr>
                <w:rFonts w:asciiTheme="minorHAnsi" w:hAnsiTheme="minorHAnsi"/>
                <w:sz w:val="24"/>
                <w:szCs w:val="24"/>
              </w:rPr>
            </w:pPr>
            <w:r w:rsidRPr="00B35989">
              <w:rPr>
                <w:rFonts w:asciiTheme="minorHAnsi" w:hAnsiTheme="minorHAnsi" w:cs="Calibri"/>
                <w:b/>
                <w:bCs/>
              </w:rPr>
              <w:t>‐179</w:t>
            </w:r>
          </w:p>
        </w:tc>
        <w:tc>
          <w:tcPr>
            <w:tcW w:w="1448" w:type="dxa"/>
            <w:tcBorders>
              <w:top w:val="single" w:sz="7" w:space="0" w:color="1A3B62"/>
              <w:left w:val="single" w:sz="6" w:space="0" w:color="1A3B62"/>
              <w:bottom w:val="single" w:sz="6" w:space="0" w:color="1A3B62"/>
              <w:right w:val="single" w:sz="6" w:space="0" w:color="1A3B62"/>
            </w:tcBorders>
            <w:vAlign w:val="center"/>
          </w:tcPr>
          <w:p w:rsidR="00993971" w:rsidRPr="00B35989" w:rsidRDefault="00993971" w:rsidP="00B35989">
            <w:pPr>
              <w:kinsoku w:val="0"/>
              <w:overflowPunct w:val="0"/>
              <w:autoSpaceDE w:val="0"/>
              <w:autoSpaceDN w:val="0"/>
              <w:adjustRightInd w:val="0"/>
              <w:spacing w:before="46"/>
              <w:ind w:left="390"/>
              <w:jc w:val="center"/>
              <w:rPr>
                <w:rFonts w:asciiTheme="minorHAnsi" w:hAnsiTheme="minorHAnsi"/>
                <w:sz w:val="24"/>
                <w:szCs w:val="24"/>
              </w:rPr>
            </w:pPr>
            <w:r w:rsidRPr="00B35989">
              <w:rPr>
                <w:rFonts w:asciiTheme="minorHAnsi" w:hAnsiTheme="minorHAnsi" w:cs="Calibri"/>
                <w:b/>
                <w:bCs/>
              </w:rPr>
              <w:t>MW/0.1Hz</w:t>
            </w:r>
          </w:p>
        </w:tc>
      </w:tr>
    </w:tbl>
    <w:p w:rsidR="00993971" w:rsidRDefault="00993971" w:rsidP="00335331">
      <w:pPr>
        <w:jc w:val="both"/>
        <w:rPr>
          <w:color w:val="ED7D31" w:themeColor="accent2"/>
        </w:rPr>
      </w:pPr>
    </w:p>
    <w:p w:rsidR="00EF00F9" w:rsidRDefault="00993971" w:rsidP="00335331">
      <w:pPr>
        <w:ind w:left="360"/>
        <w:jc w:val="both"/>
        <w:rPr>
          <w:color w:val="ED7D31" w:themeColor="accent2"/>
        </w:rPr>
      </w:pPr>
      <w:r>
        <w:rPr>
          <w:color w:val="ED7D31" w:themeColor="accent2"/>
        </w:rPr>
        <w:t xml:space="preserve">For additional details about the IFROs, please refer to the imbedded report below. </w:t>
      </w:r>
    </w:p>
    <w:p w:rsidR="00EF00F9" w:rsidRDefault="00EF00F9" w:rsidP="00335331">
      <w:pPr>
        <w:ind w:firstLine="720"/>
        <w:jc w:val="both"/>
      </w:pPr>
      <w:r w:rsidRPr="004C2B1D">
        <w:object w:dxaOrig="1534" w:dyaOrig="993" w14:anchorId="3EAB875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49.5pt" o:ole="">
            <v:imagedata r:id="rId8" o:title=""/>
          </v:shape>
          <o:OLEObject Type="Embed" ProgID="Acrobat.Document.11" ShapeID="_x0000_i1025" DrawAspect="Icon" ObjectID="_1553939373" r:id="rId9"/>
        </w:object>
      </w:r>
    </w:p>
    <w:p w:rsidR="00993971" w:rsidRPr="00317785" w:rsidRDefault="00993971" w:rsidP="00335331">
      <w:pPr>
        <w:jc w:val="both"/>
        <w:rPr>
          <w:color w:val="ED7D31" w:themeColor="accent2"/>
        </w:rPr>
      </w:pPr>
    </w:p>
    <w:p w:rsidR="00093C1C" w:rsidRPr="00093C1C" w:rsidRDefault="00093C1C" w:rsidP="00335331">
      <w:pPr>
        <w:pStyle w:val="ListParagraph"/>
        <w:numPr>
          <w:ilvl w:val="0"/>
          <w:numId w:val="1"/>
        </w:numPr>
        <w:ind w:left="360"/>
        <w:jc w:val="both"/>
      </w:pPr>
      <w:r w:rsidRPr="00093C1C">
        <w:t>Is it correct to apply the ERCOT IFRO of 381 MW/.10 Hz in such a way as to maximize the use of load resources when the IFRO has already been adjusted for load resource use?</w:t>
      </w:r>
    </w:p>
    <w:p w:rsidR="00335331" w:rsidRDefault="00335331" w:rsidP="00335331">
      <w:pPr>
        <w:ind w:left="360"/>
        <w:jc w:val="both"/>
        <w:rPr>
          <w:color w:val="ED7D31" w:themeColor="accent2"/>
        </w:rPr>
      </w:pPr>
      <w:r w:rsidRPr="00955408">
        <w:rPr>
          <w:color w:val="ED7D31" w:themeColor="accent2"/>
        </w:rPr>
        <w:t xml:space="preserve">Response: </w:t>
      </w:r>
    </w:p>
    <w:p w:rsidR="00093C1C" w:rsidRDefault="00993971" w:rsidP="00313F8F">
      <w:pPr>
        <w:ind w:left="360"/>
        <w:jc w:val="both"/>
        <w:rPr>
          <w:color w:val="ED7D31" w:themeColor="accent2"/>
        </w:rPr>
      </w:pPr>
      <w:r>
        <w:rPr>
          <w:color w:val="ED7D31" w:themeColor="accent2"/>
        </w:rPr>
        <w:t>The combination of minimum PFR and L</w:t>
      </w:r>
      <w:r w:rsidR="00313F8F">
        <w:rPr>
          <w:color w:val="ED7D31" w:themeColor="accent2"/>
        </w:rPr>
        <w:t xml:space="preserve">oad </w:t>
      </w:r>
      <w:r>
        <w:rPr>
          <w:color w:val="ED7D31" w:themeColor="accent2"/>
        </w:rPr>
        <w:t>R</w:t>
      </w:r>
      <w:r w:rsidR="00313F8F">
        <w:rPr>
          <w:color w:val="ED7D31" w:themeColor="accent2"/>
        </w:rPr>
        <w:t>esources (LRs)</w:t>
      </w:r>
      <w:r>
        <w:rPr>
          <w:color w:val="ED7D31" w:themeColor="accent2"/>
        </w:rPr>
        <w:t xml:space="preserve"> triggered at 59.70 Hz is designed to keep the frequency above 59.40 Hz for a loss of 2750 MW. The minimum PFR requirement ensures that minimum 1150 MW of RRS </w:t>
      </w:r>
      <w:r w:rsidR="00404486">
        <w:rPr>
          <w:color w:val="ED7D31" w:themeColor="accent2"/>
        </w:rPr>
        <w:t>will be provided by Generators, the remaining amount can be provided by Generators and Load Resources.</w:t>
      </w:r>
    </w:p>
    <w:p w:rsidR="00993971" w:rsidRPr="00093C1C" w:rsidRDefault="00993971" w:rsidP="00335331">
      <w:pPr>
        <w:jc w:val="both"/>
      </w:pPr>
    </w:p>
    <w:p w:rsidR="00093C1C" w:rsidRDefault="00093C1C" w:rsidP="00335331">
      <w:pPr>
        <w:pStyle w:val="ListParagraph"/>
        <w:numPr>
          <w:ilvl w:val="0"/>
          <w:numId w:val="1"/>
        </w:numPr>
        <w:ind w:left="360"/>
        <w:jc w:val="both"/>
      </w:pPr>
      <w:r w:rsidRPr="00093C1C">
        <w:t>Please explain the calculation/formula for the PFR requirement without LRs.  Or was this the PFR amount, empirically determined from simulation, necessary to prevent frequency from dropping below 59.4 Hz for each of the different inertia levels?</w:t>
      </w:r>
    </w:p>
    <w:p w:rsidR="00955408" w:rsidRPr="000A0D95" w:rsidRDefault="00955408" w:rsidP="00335331">
      <w:pPr>
        <w:ind w:left="360"/>
        <w:jc w:val="both"/>
        <w:rPr>
          <w:color w:val="ED7D31" w:themeColor="accent2"/>
        </w:rPr>
      </w:pPr>
      <w:r w:rsidRPr="000A0D95">
        <w:rPr>
          <w:color w:val="ED7D31" w:themeColor="accent2"/>
        </w:rPr>
        <w:t xml:space="preserve">Response: </w:t>
      </w:r>
      <w:r w:rsidR="00A90EE1">
        <w:rPr>
          <w:color w:val="ED7D31" w:themeColor="accent2"/>
        </w:rPr>
        <w:t xml:space="preserve"> </w:t>
      </w:r>
    </w:p>
    <w:p w:rsidR="000A0D95" w:rsidRDefault="00955408" w:rsidP="00335331">
      <w:pPr>
        <w:ind w:left="360"/>
        <w:jc w:val="both"/>
        <w:rPr>
          <w:color w:val="ED7D31" w:themeColor="accent2"/>
        </w:rPr>
      </w:pPr>
      <w:r w:rsidRPr="000A0D95">
        <w:rPr>
          <w:color w:val="ED7D31" w:themeColor="accent2"/>
        </w:rPr>
        <w:t xml:space="preserve">PFR without LRs is </w:t>
      </w:r>
      <w:r w:rsidR="00313F8F">
        <w:rPr>
          <w:color w:val="ED7D31" w:themeColor="accent2"/>
        </w:rPr>
        <w:t>the amount of RRS-</w:t>
      </w:r>
      <w:r w:rsidR="00C779F7">
        <w:rPr>
          <w:color w:val="ED7D31" w:themeColor="accent2"/>
        </w:rPr>
        <w:t xml:space="preserve">PFR needed when </w:t>
      </w:r>
      <w:r w:rsidR="00404486">
        <w:rPr>
          <w:color w:val="ED7D31" w:themeColor="accent2"/>
        </w:rPr>
        <w:t>all of the RRS is provided by PFR (RRS Gen)</w:t>
      </w:r>
      <w:r w:rsidR="00C779F7">
        <w:rPr>
          <w:color w:val="ED7D31" w:themeColor="accent2"/>
        </w:rPr>
        <w:t xml:space="preserve"> and is derived using results from Dynamic Simulations</w:t>
      </w:r>
      <w:r w:rsidR="000A0D95">
        <w:rPr>
          <w:color w:val="ED7D31" w:themeColor="accent2"/>
        </w:rPr>
        <w:t xml:space="preserve">. </w:t>
      </w:r>
      <w:r w:rsidR="00404486">
        <w:rPr>
          <w:color w:val="ED7D31" w:themeColor="accent2"/>
        </w:rPr>
        <w:t>For example</w:t>
      </w:r>
      <w:r w:rsidR="00B35989">
        <w:rPr>
          <w:color w:val="ED7D31" w:themeColor="accent2"/>
        </w:rPr>
        <w:t>,</w:t>
      </w:r>
      <w:r w:rsidR="00404486">
        <w:rPr>
          <w:color w:val="ED7D31" w:themeColor="accent2"/>
        </w:rPr>
        <w:t xml:space="preserve"> in Case 2</w:t>
      </w:r>
      <w:r w:rsidR="00B35989">
        <w:rPr>
          <w:color w:val="ED7D31" w:themeColor="accent2"/>
        </w:rPr>
        <w:t>,</w:t>
      </w:r>
      <w:r w:rsidR="00B35989" w:rsidRPr="00B35989">
        <w:rPr>
          <w:color w:val="ED7D31" w:themeColor="accent2"/>
        </w:rPr>
        <w:t xml:space="preserve"> </w:t>
      </w:r>
      <w:r w:rsidR="00B35989">
        <w:rPr>
          <w:color w:val="ED7D31" w:themeColor="accent2"/>
        </w:rPr>
        <w:t xml:space="preserve">if </w:t>
      </w:r>
      <w:r w:rsidR="00B35989">
        <w:rPr>
          <w:color w:val="ED7D31" w:themeColor="accent2"/>
        </w:rPr>
        <w:lastRenderedPageBreak/>
        <w:t>all RRS was provided by Generators,</w:t>
      </w:r>
      <w:r w:rsidR="00404486">
        <w:rPr>
          <w:color w:val="ED7D31" w:themeColor="accent2"/>
        </w:rPr>
        <w:t xml:space="preserve"> </w:t>
      </w:r>
      <w:r w:rsidR="00B35989">
        <w:rPr>
          <w:color w:val="ED7D31" w:themeColor="accent2"/>
        </w:rPr>
        <w:t xml:space="preserve">a </w:t>
      </w:r>
      <w:r w:rsidR="00404486">
        <w:rPr>
          <w:color w:val="ED7D31" w:themeColor="accent2"/>
        </w:rPr>
        <w:t>total</w:t>
      </w:r>
      <w:r w:rsidR="00B35989">
        <w:rPr>
          <w:color w:val="ED7D31" w:themeColor="accent2"/>
        </w:rPr>
        <w:t xml:space="preserve"> of 5200 MW of</w:t>
      </w:r>
      <w:r w:rsidR="00404486">
        <w:rPr>
          <w:color w:val="ED7D31" w:themeColor="accent2"/>
        </w:rPr>
        <w:t xml:space="preserve"> RRS </w:t>
      </w:r>
      <w:r w:rsidR="00B35989">
        <w:rPr>
          <w:color w:val="ED7D31" w:themeColor="accent2"/>
        </w:rPr>
        <w:t xml:space="preserve">is </w:t>
      </w:r>
      <w:r w:rsidR="00404486">
        <w:rPr>
          <w:color w:val="ED7D31" w:themeColor="accent2"/>
        </w:rPr>
        <w:t xml:space="preserve">needed </w:t>
      </w:r>
      <w:r w:rsidR="00B35989">
        <w:rPr>
          <w:color w:val="ED7D31" w:themeColor="accent2"/>
        </w:rPr>
        <w:t>to prevent frequency from dropping below 59.40 Hz for loss of 2750 MW.</w:t>
      </w:r>
      <w:r w:rsidR="00C779F7">
        <w:rPr>
          <w:color w:val="ED7D31" w:themeColor="accent2"/>
        </w:rPr>
        <w:t xml:space="preserve"> Following explains </w:t>
      </w:r>
      <w:r w:rsidR="00A123B3">
        <w:rPr>
          <w:color w:val="ED7D31" w:themeColor="accent2"/>
        </w:rPr>
        <w:t xml:space="preserve">how </w:t>
      </w:r>
      <w:r w:rsidR="00C779F7" w:rsidRPr="000A0D95">
        <w:rPr>
          <w:color w:val="ED7D31" w:themeColor="accent2"/>
        </w:rPr>
        <w:t>PFR without LRs</w:t>
      </w:r>
      <w:r w:rsidR="00A123B3">
        <w:rPr>
          <w:color w:val="ED7D31" w:themeColor="accent2"/>
        </w:rPr>
        <w:t xml:space="preserve"> is determined</w:t>
      </w:r>
      <w:r w:rsidR="00C779F7">
        <w:rPr>
          <w:color w:val="ED7D31" w:themeColor="accent2"/>
        </w:rPr>
        <w:t>.</w:t>
      </w:r>
    </w:p>
    <w:p w:rsidR="00B35989" w:rsidRPr="000A0D95" w:rsidRDefault="00C779F7" w:rsidP="00B35989">
      <w:pPr>
        <w:pStyle w:val="ListParagraph"/>
        <w:numPr>
          <w:ilvl w:val="0"/>
          <w:numId w:val="4"/>
        </w:numPr>
        <w:jc w:val="both"/>
        <w:rPr>
          <w:color w:val="ED7D31" w:themeColor="accent2"/>
        </w:rPr>
      </w:pPr>
      <w:r>
        <w:rPr>
          <w:color w:val="ED7D31" w:themeColor="accent2"/>
        </w:rPr>
        <w:t xml:space="preserve">Dynamic </w:t>
      </w:r>
      <w:r w:rsidR="00B35989" w:rsidRPr="000A0D95">
        <w:rPr>
          <w:color w:val="ED7D31" w:themeColor="accent2"/>
        </w:rPr>
        <w:t>Simulation</w:t>
      </w:r>
      <w:r w:rsidR="00B35989">
        <w:rPr>
          <w:color w:val="ED7D31" w:themeColor="accent2"/>
        </w:rPr>
        <w:t>s</w:t>
      </w:r>
      <w:r w:rsidR="00B35989" w:rsidRPr="000A0D95">
        <w:rPr>
          <w:color w:val="ED7D31" w:themeColor="accent2"/>
        </w:rPr>
        <w:t xml:space="preserve"> show </w:t>
      </w:r>
      <w:r w:rsidR="00B35989">
        <w:rPr>
          <w:color w:val="ED7D31" w:themeColor="accent2"/>
        </w:rPr>
        <w:t>1150 MW of PFR and 1841</w:t>
      </w:r>
      <w:r w:rsidR="00B35989" w:rsidRPr="000A0D95">
        <w:rPr>
          <w:color w:val="ED7D31" w:themeColor="accent2"/>
        </w:rPr>
        <w:t xml:space="preserve"> MW of LRs are necessary to keep frequency </w:t>
      </w:r>
      <w:r w:rsidR="00B35989">
        <w:rPr>
          <w:color w:val="ED7D31" w:themeColor="accent2"/>
        </w:rPr>
        <w:t xml:space="preserve">just </w:t>
      </w:r>
      <w:r w:rsidR="00B35989" w:rsidRPr="000A0D95">
        <w:rPr>
          <w:color w:val="ED7D31" w:themeColor="accent2"/>
        </w:rPr>
        <w:t>above 59.4</w:t>
      </w:r>
      <w:r w:rsidR="00B35989">
        <w:rPr>
          <w:color w:val="ED7D31" w:themeColor="accent2"/>
        </w:rPr>
        <w:t xml:space="preserve">0 </w:t>
      </w:r>
      <w:r w:rsidR="00B35989" w:rsidRPr="000A0D95">
        <w:rPr>
          <w:color w:val="ED7D31" w:themeColor="accent2"/>
        </w:rPr>
        <w:t xml:space="preserve">Hz. </w:t>
      </w:r>
    </w:p>
    <w:p w:rsidR="00B35989" w:rsidRDefault="00B35989" w:rsidP="00B35989">
      <w:pPr>
        <w:pStyle w:val="ListParagraph"/>
        <w:numPr>
          <w:ilvl w:val="0"/>
          <w:numId w:val="4"/>
        </w:numPr>
        <w:jc w:val="both"/>
        <w:rPr>
          <w:color w:val="ED7D31" w:themeColor="accent2"/>
        </w:rPr>
      </w:pPr>
      <w:r>
        <w:rPr>
          <w:color w:val="ED7D31" w:themeColor="accent2"/>
        </w:rPr>
        <w:t>PFR (without LRs) = 1150 + 1841</w:t>
      </w:r>
      <w:r w:rsidRPr="000A0D95">
        <w:rPr>
          <w:color w:val="ED7D31" w:themeColor="accent2"/>
        </w:rPr>
        <w:t>*2.2 = 5200</w:t>
      </w:r>
      <w:r>
        <w:rPr>
          <w:color w:val="ED7D31" w:themeColor="accent2"/>
        </w:rPr>
        <w:t xml:space="preserve"> </w:t>
      </w:r>
      <w:r w:rsidRPr="000A0D95">
        <w:rPr>
          <w:color w:val="ED7D31" w:themeColor="accent2"/>
        </w:rPr>
        <w:t>MW;  2.2 is the Equivalency Ratio between PFR and LRs, it indicates that 1 MW LRs is equivalent to 2.2 MW of PFR in terms of the effectiveness of preventing frequency from dropping below 59.4</w:t>
      </w:r>
      <w:r>
        <w:rPr>
          <w:color w:val="ED7D31" w:themeColor="accent2"/>
        </w:rPr>
        <w:t xml:space="preserve">0 </w:t>
      </w:r>
      <w:r w:rsidRPr="000A0D95">
        <w:rPr>
          <w:color w:val="ED7D31" w:themeColor="accent2"/>
        </w:rPr>
        <w:t>Hz</w:t>
      </w:r>
      <w:r>
        <w:rPr>
          <w:color w:val="ED7D31" w:themeColor="accent2"/>
        </w:rPr>
        <w:t xml:space="preserve"> because of the speed at which LRs are deployed</w:t>
      </w:r>
      <w:r w:rsidRPr="000A0D95">
        <w:rPr>
          <w:color w:val="ED7D31" w:themeColor="accent2"/>
        </w:rPr>
        <w:t xml:space="preserve">.  </w:t>
      </w:r>
    </w:p>
    <w:p w:rsidR="00404486" w:rsidRDefault="00404486" w:rsidP="00335331">
      <w:pPr>
        <w:jc w:val="both"/>
        <w:rPr>
          <w:color w:val="ED7D31" w:themeColor="accent2"/>
        </w:rPr>
      </w:pPr>
    </w:p>
    <w:p w:rsidR="00A123B3" w:rsidRDefault="00A123B3" w:rsidP="00A123B3">
      <w:pPr>
        <w:ind w:left="720"/>
        <w:jc w:val="both"/>
        <w:rPr>
          <w:color w:val="ED7D31" w:themeColor="accent2"/>
        </w:rPr>
      </w:pPr>
      <w:r>
        <w:rPr>
          <w:noProof/>
          <w:color w:val="1F497D"/>
        </w:rPr>
        <w:drawing>
          <wp:inline distT="0" distB="0" distL="0" distR="0" wp14:anchorId="59AF3EC9" wp14:editId="33088049">
            <wp:extent cx="5519419" cy="2733675"/>
            <wp:effectExtent l="0" t="0" r="5715" b="0"/>
            <wp:docPr id="12" name="Picture 12" descr="cid:image003.png@01D2B46E.801E7E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3.png@01D2B46E.801E7E50"/>
                    <pic:cNvPicPr>
                      <a:picLocks noChangeAspect="1" noChangeArrowheads="1"/>
                    </pic:cNvPicPr>
                  </pic:nvPicPr>
                  <pic:blipFill>
                    <a:blip r:embed="rId10" r:link="rId11">
                      <a:extLst>
                        <a:ext uri="{28A0092B-C50C-407E-A947-70E740481C1C}">
                          <a14:useLocalDpi xmlns:a14="http://schemas.microsoft.com/office/drawing/2010/main" val="0"/>
                        </a:ext>
                      </a:extLst>
                    </a:blip>
                    <a:srcRect/>
                    <a:stretch>
                      <a:fillRect/>
                    </a:stretch>
                  </pic:blipFill>
                  <pic:spPr bwMode="auto">
                    <a:xfrm>
                      <a:off x="0" y="0"/>
                      <a:ext cx="5530440" cy="2739134"/>
                    </a:xfrm>
                    <a:prstGeom prst="rect">
                      <a:avLst/>
                    </a:prstGeom>
                    <a:noFill/>
                    <a:ln>
                      <a:noFill/>
                    </a:ln>
                  </pic:spPr>
                </pic:pic>
              </a:graphicData>
            </a:graphic>
          </wp:inline>
        </w:drawing>
      </w:r>
    </w:p>
    <w:p w:rsidR="00A90EE1" w:rsidRPr="00093C1C" w:rsidRDefault="00A90EE1" w:rsidP="00335331">
      <w:pPr>
        <w:jc w:val="both"/>
      </w:pPr>
    </w:p>
    <w:p w:rsidR="00CF1A31" w:rsidRPr="00B35989" w:rsidRDefault="00093C1C" w:rsidP="00AE7895">
      <w:pPr>
        <w:pStyle w:val="ListParagraph"/>
        <w:numPr>
          <w:ilvl w:val="0"/>
          <w:numId w:val="1"/>
        </w:numPr>
        <w:ind w:left="360"/>
        <w:jc w:val="both"/>
        <w:rPr>
          <w:color w:val="ED7D31" w:themeColor="accent2"/>
        </w:rPr>
      </w:pPr>
      <w:r w:rsidRPr="00093C1C">
        <w:t>Please explain the calculation/formula for LRs (row 5).  Is this the amount of LaaR at 59.7 Hz equivalent to the PFR excess over 1150 MW?  Example column 1: 2638 MW of LaaR load shedding at 59.7 Hz is equivalent to 7350-1150=6200 MW PFR?</w:t>
      </w:r>
    </w:p>
    <w:p w:rsidR="00043B89" w:rsidRPr="00043B89" w:rsidRDefault="00043B89" w:rsidP="00335331">
      <w:pPr>
        <w:ind w:left="360"/>
        <w:jc w:val="both"/>
        <w:rPr>
          <w:color w:val="ED7D31" w:themeColor="accent2"/>
        </w:rPr>
      </w:pPr>
      <w:r w:rsidRPr="00043B89">
        <w:rPr>
          <w:color w:val="ED7D31" w:themeColor="accent2"/>
        </w:rPr>
        <w:t>Response:</w:t>
      </w:r>
    </w:p>
    <w:p w:rsidR="00A97889" w:rsidRDefault="00CF1A31" w:rsidP="00335331">
      <w:pPr>
        <w:ind w:left="360"/>
        <w:jc w:val="both"/>
        <w:rPr>
          <w:color w:val="ED7D31" w:themeColor="accent2"/>
        </w:rPr>
      </w:pPr>
      <w:r>
        <w:rPr>
          <w:color w:val="ED7D31" w:themeColor="accent2"/>
        </w:rPr>
        <w:t>Yes that is correct.  For Case1</w:t>
      </w:r>
      <w:r w:rsidR="00A97889">
        <w:rPr>
          <w:color w:val="ED7D31" w:themeColor="accent2"/>
        </w:rPr>
        <w:t>,</w:t>
      </w:r>
      <w:r>
        <w:rPr>
          <w:color w:val="ED7D31" w:themeColor="accent2"/>
        </w:rPr>
        <w:t xml:space="preserve"> the total amount of PFR needed without any LRs was 7350 MW. Out of this 7350 MW</w:t>
      </w:r>
      <w:r w:rsidR="00A97889">
        <w:rPr>
          <w:color w:val="ED7D31" w:themeColor="accent2"/>
        </w:rPr>
        <w:t>,</w:t>
      </w:r>
      <w:r>
        <w:rPr>
          <w:color w:val="ED7D31" w:themeColor="accent2"/>
        </w:rPr>
        <w:t xml:space="preserve"> 1150</w:t>
      </w:r>
      <w:r w:rsidR="00A97889">
        <w:rPr>
          <w:color w:val="ED7D31" w:themeColor="accent2"/>
        </w:rPr>
        <w:t xml:space="preserve"> MW</w:t>
      </w:r>
      <w:r>
        <w:rPr>
          <w:color w:val="ED7D31" w:themeColor="accent2"/>
        </w:rPr>
        <w:t xml:space="preserve"> is reserved as RRS Gen and 2638 MW of LRs can provide equivalent response </w:t>
      </w:r>
      <w:r w:rsidR="00A97889">
        <w:rPr>
          <w:color w:val="ED7D31" w:themeColor="accent2"/>
        </w:rPr>
        <w:t>for the</w:t>
      </w:r>
      <w:r>
        <w:rPr>
          <w:color w:val="ED7D31" w:themeColor="accent2"/>
        </w:rPr>
        <w:t xml:space="preserve"> remaining 6200 MW of PFR. Therefore, the combination of 1150 MW PFR on Gen and 2638 MW on LRs (total 3788 MW of RRS) is sufficient to keep the frequency above 59.40 Hz.</w:t>
      </w:r>
    </w:p>
    <w:p w:rsidR="00043B89" w:rsidRDefault="00CF1A31" w:rsidP="00335331">
      <w:pPr>
        <w:ind w:left="360"/>
        <w:jc w:val="both"/>
        <w:rPr>
          <w:color w:val="ED7D31" w:themeColor="accent2"/>
        </w:rPr>
      </w:pPr>
      <w:r>
        <w:rPr>
          <w:color w:val="ED7D31" w:themeColor="accent2"/>
        </w:rPr>
        <w:t xml:space="preserve">  </w:t>
      </w:r>
    </w:p>
    <w:p w:rsidR="00CF1A31" w:rsidRDefault="00CF1A31" w:rsidP="00335331">
      <w:pPr>
        <w:ind w:left="360"/>
        <w:jc w:val="both"/>
        <w:rPr>
          <w:color w:val="ED7D31" w:themeColor="accent2"/>
        </w:rPr>
      </w:pPr>
      <w:r>
        <w:rPr>
          <w:color w:val="ED7D31" w:themeColor="accent2"/>
        </w:rPr>
        <w:t>Dividing 6200 MW/2638 MW gives the Equivalency Ratio of 2.35 show</w:t>
      </w:r>
      <w:r w:rsidR="00A97889">
        <w:rPr>
          <w:color w:val="ED7D31" w:themeColor="accent2"/>
        </w:rPr>
        <w:t>n</w:t>
      </w:r>
      <w:r>
        <w:rPr>
          <w:color w:val="ED7D31" w:themeColor="accent2"/>
        </w:rPr>
        <w:t xml:space="preserve"> in row 3 of the table below.  </w:t>
      </w:r>
    </w:p>
    <w:p w:rsidR="00A123B3" w:rsidRDefault="00A123B3" w:rsidP="00335331">
      <w:pPr>
        <w:ind w:left="360"/>
        <w:jc w:val="both"/>
        <w:rPr>
          <w:color w:val="ED7D31" w:themeColor="accent2"/>
        </w:rPr>
      </w:pPr>
    </w:p>
    <w:p w:rsidR="00043B89" w:rsidRPr="00AA5C26" w:rsidRDefault="00A123B3" w:rsidP="00A123B3">
      <w:pPr>
        <w:ind w:left="720"/>
        <w:jc w:val="both"/>
        <w:rPr>
          <w:color w:val="ED7D31" w:themeColor="accent2"/>
        </w:rPr>
      </w:pPr>
      <w:r>
        <w:rPr>
          <w:noProof/>
          <w:color w:val="1F497D"/>
        </w:rPr>
        <w:lastRenderedPageBreak/>
        <w:drawing>
          <wp:inline distT="0" distB="0" distL="0" distR="0" wp14:anchorId="682E2D22" wp14:editId="4E866F88">
            <wp:extent cx="5519419" cy="2733675"/>
            <wp:effectExtent l="0" t="0" r="5715" b="0"/>
            <wp:docPr id="13" name="Picture 13" descr="cid:image003.png@01D2B46E.801E7E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3.png@01D2B46E.801E7E50"/>
                    <pic:cNvPicPr>
                      <a:picLocks noChangeAspect="1" noChangeArrowheads="1"/>
                    </pic:cNvPicPr>
                  </pic:nvPicPr>
                  <pic:blipFill>
                    <a:blip r:embed="rId10" r:link="rId11">
                      <a:extLst>
                        <a:ext uri="{28A0092B-C50C-407E-A947-70E740481C1C}">
                          <a14:useLocalDpi xmlns:a14="http://schemas.microsoft.com/office/drawing/2010/main" val="0"/>
                        </a:ext>
                      </a:extLst>
                    </a:blip>
                    <a:srcRect/>
                    <a:stretch>
                      <a:fillRect/>
                    </a:stretch>
                  </pic:blipFill>
                  <pic:spPr bwMode="auto">
                    <a:xfrm>
                      <a:off x="0" y="0"/>
                      <a:ext cx="5530440" cy="2739134"/>
                    </a:xfrm>
                    <a:prstGeom prst="rect">
                      <a:avLst/>
                    </a:prstGeom>
                    <a:noFill/>
                    <a:ln>
                      <a:noFill/>
                    </a:ln>
                  </pic:spPr>
                </pic:pic>
              </a:graphicData>
            </a:graphic>
          </wp:inline>
        </w:drawing>
      </w:r>
    </w:p>
    <w:p w:rsidR="00B30273" w:rsidRDefault="00B30273">
      <w:pPr>
        <w:spacing w:after="160" w:line="259" w:lineRule="auto"/>
      </w:pPr>
      <w:r>
        <w:br w:type="page"/>
      </w:r>
    </w:p>
    <w:p w:rsidR="00093C1C" w:rsidRDefault="00093C1C" w:rsidP="00335331">
      <w:pPr>
        <w:pStyle w:val="ListParagraph"/>
        <w:numPr>
          <w:ilvl w:val="0"/>
          <w:numId w:val="1"/>
        </w:numPr>
        <w:ind w:left="360"/>
        <w:jc w:val="both"/>
      </w:pPr>
      <w:r w:rsidRPr="00093C1C">
        <w:lastRenderedPageBreak/>
        <w:t>Please explain row 3.  Why are the ratios in row 3 not equal to LRs / PFR ratio of row 5 to row 4?</w:t>
      </w:r>
    </w:p>
    <w:p w:rsidR="00AA5C26" w:rsidRPr="00AA5C26" w:rsidRDefault="00AA5C26" w:rsidP="00335331">
      <w:pPr>
        <w:ind w:left="360"/>
        <w:jc w:val="both"/>
        <w:rPr>
          <w:color w:val="ED7D31" w:themeColor="accent2"/>
        </w:rPr>
      </w:pPr>
      <w:r w:rsidRPr="00AA5C26">
        <w:rPr>
          <w:color w:val="ED7D31" w:themeColor="accent2"/>
        </w:rPr>
        <w:t>Response:</w:t>
      </w:r>
    </w:p>
    <w:p w:rsidR="00C779F7" w:rsidRDefault="002A4F26" w:rsidP="00335331">
      <w:pPr>
        <w:ind w:left="360"/>
        <w:jc w:val="both"/>
        <w:rPr>
          <w:color w:val="ED7D31" w:themeColor="accent2"/>
        </w:rPr>
      </w:pPr>
      <w:r>
        <w:rPr>
          <w:color w:val="ED7D31" w:themeColor="accent2"/>
        </w:rPr>
        <w:t>For Case1</w:t>
      </w:r>
      <w:r w:rsidR="00C779F7">
        <w:rPr>
          <w:color w:val="ED7D31" w:themeColor="accent2"/>
        </w:rPr>
        <w:t>,</w:t>
      </w:r>
      <w:r>
        <w:rPr>
          <w:color w:val="ED7D31" w:themeColor="accent2"/>
        </w:rPr>
        <w:t xml:space="preserve"> the total amount of PFR needed without any LRs was 7350 MW. Out of this 7350 MW</w:t>
      </w:r>
      <w:r w:rsidR="00C779F7">
        <w:rPr>
          <w:color w:val="ED7D31" w:themeColor="accent2"/>
        </w:rPr>
        <w:t>,</w:t>
      </w:r>
      <w:r>
        <w:rPr>
          <w:color w:val="ED7D31" w:themeColor="accent2"/>
        </w:rPr>
        <w:t xml:space="preserve"> 1150</w:t>
      </w:r>
      <w:r w:rsidR="00C779F7">
        <w:rPr>
          <w:color w:val="ED7D31" w:themeColor="accent2"/>
        </w:rPr>
        <w:t xml:space="preserve"> MW</w:t>
      </w:r>
      <w:r>
        <w:rPr>
          <w:color w:val="ED7D31" w:themeColor="accent2"/>
        </w:rPr>
        <w:t xml:space="preserve"> is reserved as RRS Gen and 2638 MW of LRs can provide equivalent response to remaining 6200 MW of PFR. Therefore, the combination of 1150 MW PFR on Gen and 2638 MW on LRs (total 3788 MW of RRS) is sufficient to keep the frequency above 59.40 Hz.</w:t>
      </w:r>
    </w:p>
    <w:p w:rsidR="002A4F26" w:rsidRDefault="002A4F26" w:rsidP="00335331">
      <w:pPr>
        <w:ind w:left="360"/>
        <w:jc w:val="both"/>
        <w:rPr>
          <w:color w:val="ED7D31" w:themeColor="accent2"/>
        </w:rPr>
      </w:pPr>
      <w:r>
        <w:rPr>
          <w:color w:val="ED7D31" w:themeColor="accent2"/>
        </w:rPr>
        <w:t xml:space="preserve">  </w:t>
      </w:r>
    </w:p>
    <w:p w:rsidR="002A4F26" w:rsidRDefault="002A4F26" w:rsidP="00335331">
      <w:pPr>
        <w:ind w:left="360"/>
        <w:jc w:val="both"/>
        <w:rPr>
          <w:color w:val="ED7D31" w:themeColor="accent2"/>
        </w:rPr>
      </w:pPr>
      <w:r>
        <w:rPr>
          <w:color w:val="ED7D31" w:themeColor="accent2"/>
        </w:rPr>
        <w:t xml:space="preserve">Dividing 6200 MW/2638 MW gives the Equivalency Ratio of 2.35 show in row 3 of the table below.  </w:t>
      </w:r>
    </w:p>
    <w:p w:rsidR="00C779F7" w:rsidRDefault="00C779F7" w:rsidP="00335331">
      <w:pPr>
        <w:ind w:left="360"/>
        <w:jc w:val="both"/>
        <w:rPr>
          <w:color w:val="ED7D31" w:themeColor="accent2"/>
        </w:rPr>
      </w:pPr>
    </w:p>
    <w:p w:rsidR="00043B89" w:rsidRDefault="00AA5C26" w:rsidP="00335331">
      <w:pPr>
        <w:ind w:left="360"/>
        <w:jc w:val="both"/>
        <w:rPr>
          <w:color w:val="ED7D31" w:themeColor="accent2"/>
        </w:rPr>
      </w:pPr>
      <w:r w:rsidRPr="00AA5C26">
        <w:rPr>
          <w:color w:val="ED7D31" w:themeColor="accent2"/>
        </w:rPr>
        <w:t>Row 3 provides the equivalency ratio re</w:t>
      </w:r>
      <w:r w:rsidR="00CF1A31">
        <w:rPr>
          <w:color w:val="ED7D31" w:themeColor="accent2"/>
        </w:rPr>
        <w:t>lating the effect of 1 MW of LRs</w:t>
      </w:r>
      <w:r w:rsidR="002A4F26">
        <w:rPr>
          <w:color w:val="ED7D31" w:themeColor="accent2"/>
        </w:rPr>
        <w:t xml:space="preserve"> to 1 MW </w:t>
      </w:r>
      <w:r w:rsidR="00C779F7">
        <w:rPr>
          <w:color w:val="ED7D31" w:themeColor="accent2"/>
        </w:rPr>
        <w:t xml:space="preserve">of PFR </w:t>
      </w:r>
      <w:r w:rsidR="002A4F26">
        <w:rPr>
          <w:color w:val="ED7D31" w:themeColor="accent2"/>
        </w:rPr>
        <w:t>for an event when 2750 MW of generation tripped</w:t>
      </w:r>
      <w:r w:rsidRPr="00AA5C26">
        <w:rPr>
          <w:color w:val="ED7D31" w:themeColor="accent2"/>
        </w:rPr>
        <w:t xml:space="preserve">. </w:t>
      </w:r>
      <w:r w:rsidR="002A4F26">
        <w:rPr>
          <w:color w:val="ED7D31" w:themeColor="accent2"/>
        </w:rPr>
        <w:t xml:space="preserve">Because LRs are more effective during lower system inertia condition, if </w:t>
      </w:r>
      <w:r w:rsidR="00CF1A31">
        <w:rPr>
          <w:color w:val="ED7D31" w:themeColor="accent2"/>
        </w:rPr>
        <w:t>1 MW of L</w:t>
      </w:r>
      <w:r w:rsidRPr="00AA5C26">
        <w:rPr>
          <w:color w:val="ED7D31" w:themeColor="accent2"/>
        </w:rPr>
        <w:t>R</w:t>
      </w:r>
      <w:r w:rsidR="00CF1A31">
        <w:rPr>
          <w:color w:val="ED7D31" w:themeColor="accent2"/>
        </w:rPr>
        <w:t>s</w:t>
      </w:r>
      <w:r w:rsidRPr="00AA5C26">
        <w:rPr>
          <w:color w:val="ED7D31" w:themeColor="accent2"/>
        </w:rPr>
        <w:t xml:space="preserve"> and 1 MW of PFR were to be procured</w:t>
      </w:r>
      <w:r>
        <w:rPr>
          <w:color w:val="ED7D31" w:themeColor="accent2"/>
        </w:rPr>
        <w:t xml:space="preserve"> then</w:t>
      </w:r>
      <w:r w:rsidRPr="00AA5C26">
        <w:rPr>
          <w:color w:val="ED7D31" w:themeColor="accent2"/>
        </w:rPr>
        <w:t xml:space="preserve"> the net effect </w:t>
      </w:r>
      <w:r>
        <w:rPr>
          <w:color w:val="ED7D31" w:themeColor="accent2"/>
        </w:rPr>
        <w:t xml:space="preserve">on frequency response </w:t>
      </w:r>
      <w:r w:rsidRPr="00AA5C26">
        <w:rPr>
          <w:color w:val="ED7D31" w:themeColor="accent2"/>
        </w:rPr>
        <w:t>would be equivalent to procuring 2.35*1 + 1*1 or 3.35 MW of PFR alone.</w:t>
      </w:r>
    </w:p>
    <w:p w:rsidR="00093C1C" w:rsidRPr="00093C1C" w:rsidRDefault="00093C1C" w:rsidP="00335331">
      <w:pPr>
        <w:jc w:val="both"/>
      </w:pPr>
    </w:p>
    <w:p w:rsidR="00093C1C" w:rsidRDefault="00093C1C" w:rsidP="00335331">
      <w:pPr>
        <w:pStyle w:val="ListParagraph"/>
        <w:numPr>
          <w:ilvl w:val="0"/>
          <w:numId w:val="1"/>
        </w:numPr>
        <w:ind w:left="360"/>
        <w:jc w:val="both"/>
      </w:pPr>
      <w:r w:rsidRPr="00093C1C">
        <w:t>What is the maximum time delay of LR once the 59.7 Hz threshold is reached?</w:t>
      </w:r>
    </w:p>
    <w:p w:rsidR="00182758" w:rsidRPr="00182758" w:rsidRDefault="00182758" w:rsidP="00335331">
      <w:pPr>
        <w:ind w:left="360"/>
        <w:jc w:val="both"/>
        <w:rPr>
          <w:color w:val="ED7D31" w:themeColor="accent2"/>
        </w:rPr>
      </w:pPr>
      <w:r w:rsidRPr="00182758">
        <w:rPr>
          <w:color w:val="ED7D31" w:themeColor="accent2"/>
        </w:rPr>
        <w:t>Response:</w:t>
      </w:r>
    </w:p>
    <w:p w:rsidR="00182758" w:rsidRDefault="00182758" w:rsidP="00A123B3">
      <w:pPr>
        <w:ind w:left="360"/>
        <w:jc w:val="both"/>
        <w:rPr>
          <w:color w:val="ED7D31" w:themeColor="accent2"/>
        </w:rPr>
      </w:pPr>
      <w:r>
        <w:rPr>
          <w:color w:val="ED7D31" w:themeColor="accent2"/>
        </w:rPr>
        <w:t>In the study, all L</w:t>
      </w:r>
      <w:r w:rsidRPr="00182758">
        <w:rPr>
          <w:color w:val="ED7D31" w:themeColor="accent2"/>
        </w:rPr>
        <w:t>Rs are assumed to have a 0.333 seconds of relay delay and 0.083 seconds of breaker action time. Theref</w:t>
      </w:r>
      <w:r w:rsidR="001060AB">
        <w:rPr>
          <w:color w:val="ED7D31" w:themeColor="accent2"/>
        </w:rPr>
        <w:t>ore the total delay time for L</w:t>
      </w:r>
      <w:r w:rsidRPr="00182758">
        <w:rPr>
          <w:color w:val="ED7D31" w:themeColor="accent2"/>
        </w:rPr>
        <w:t>Rs is 0.333</w:t>
      </w:r>
      <w:r w:rsidR="00A123B3">
        <w:rPr>
          <w:color w:val="ED7D31" w:themeColor="accent2"/>
        </w:rPr>
        <w:t xml:space="preserve"> </w:t>
      </w:r>
      <w:r w:rsidRPr="00182758">
        <w:rPr>
          <w:color w:val="ED7D31" w:themeColor="accent2"/>
        </w:rPr>
        <w:t>+</w:t>
      </w:r>
      <w:r w:rsidR="00A123B3">
        <w:rPr>
          <w:color w:val="ED7D31" w:themeColor="accent2"/>
        </w:rPr>
        <w:t xml:space="preserve"> </w:t>
      </w:r>
      <w:r w:rsidRPr="00182758">
        <w:rPr>
          <w:color w:val="ED7D31" w:themeColor="accent2"/>
        </w:rPr>
        <w:t>0.083=0.416 second.  This is explained in Table IV</w:t>
      </w:r>
      <w:r w:rsidR="00A123B3">
        <w:rPr>
          <w:color w:val="ED7D31" w:themeColor="accent2"/>
        </w:rPr>
        <w:t xml:space="preserve"> </w:t>
      </w:r>
      <w:r w:rsidRPr="00182758">
        <w:rPr>
          <w:color w:val="ED7D31" w:themeColor="accent2"/>
        </w:rPr>
        <w:t>in the study report. In reality, the largest relay delay is 0.333 seconds and can be as low as 0.2 seconds.</w:t>
      </w:r>
      <w:r w:rsidR="00A123B3">
        <w:rPr>
          <w:color w:val="ED7D31" w:themeColor="accent2"/>
        </w:rPr>
        <w:t xml:space="preserve"> </w:t>
      </w:r>
    </w:p>
    <w:p w:rsidR="00182758" w:rsidRPr="00182758" w:rsidRDefault="00182758" w:rsidP="00335331">
      <w:pPr>
        <w:jc w:val="both"/>
        <w:rPr>
          <w:color w:val="ED7D31" w:themeColor="accent2"/>
        </w:rPr>
      </w:pPr>
    </w:p>
    <w:p w:rsidR="00EF00F9" w:rsidRDefault="00093C1C" w:rsidP="005547BA">
      <w:pPr>
        <w:pStyle w:val="ListParagraph"/>
        <w:numPr>
          <w:ilvl w:val="0"/>
          <w:numId w:val="1"/>
        </w:numPr>
        <w:ind w:left="360"/>
        <w:jc w:val="both"/>
      </w:pPr>
      <w:r>
        <w:t>Please give a brief discussion on the 13 cases in Table 1.</w:t>
      </w:r>
    </w:p>
    <w:p w:rsidR="00182758" w:rsidRPr="00927E22" w:rsidRDefault="00182758" w:rsidP="00335331">
      <w:pPr>
        <w:ind w:left="360"/>
        <w:jc w:val="both"/>
        <w:rPr>
          <w:color w:val="ED7D31" w:themeColor="accent2"/>
        </w:rPr>
      </w:pPr>
      <w:r w:rsidRPr="00927E22">
        <w:rPr>
          <w:color w:val="ED7D31" w:themeColor="accent2"/>
        </w:rPr>
        <w:t>Response:</w:t>
      </w:r>
    </w:p>
    <w:p w:rsidR="00437521" w:rsidRPr="00335331" w:rsidRDefault="00022FED" w:rsidP="00335331">
      <w:pPr>
        <w:ind w:left="360"/>
        <w:jc w:val="both"/>
        <w:rPr>
          <w:color w:val="ED7D31" w:themeColor="accent2"/>
        </w:rPr>
      </w:pPr>
      <w:r>
        <w:rPr>
          <w:color w:val="ED7D31" w:themeColor="accent2"/>
        </w:rPr>
        <w:t xml:space="preserve">Case 2 thru Case 13 </w:t>
      </w:r>
      <w:r w:rsidRPr="00927E22">
        <w:rPr>
          <w:color w:val="ED7D31" w:themeColor="accent2"/>
        </w:rPr>
        <w:t xml:space="preserve">are </w:t>
      </w:r>
      <w:r>
        <w:rPr>
          <w:color w:val="ED7D31" w:themeColor="accent2"/>
        </w:rPr>
        <w:t xml:space="preserve">real-time </w:t>
      </w:r>
      <w:r w:rsidRPr="00927E22">
        <w:rPr>
          <w:color w:val="ED7D31" w:themeColor="accent2"/>
        </w:rPr>
        <w:t xml:space="preserve">snapshots </w:t>
      </w:r>
      <w:r>
        <w:rPr>
          <w:color w:val="ED7D31" w:themeColor="accent2"/>
        </w:rPr>
        <w:t xml:space="preserve">from Transient Stability Analysis Tool (TSAT).  </w:t>
      </w:r>
      <w:r w:rsidRPr="00927E22">
        <w:rPr>
          <w:color w:val="ED7D31" w:themeColor="accent2"/>
        </w:rPr>
        <w:t>To study an even lo</w:t>
      </w:r>
      <w:r>
        <w:rPr>
          <w:color w:val="ED7D31" w:themeColor="accent2"/>
        </w:rPr>
        <w:t xml:space="preserve">wer inertia condition than Case2, Case 1 was built from Case 2 </w:t>
      </w:r>
      <w:r w:rsidRPr="00927E22">
        <w:rPr>
          <w:color w:val="ED7D31" w:themeColor="accent2"/>
        </w:rPr>
        <w:t>by turning off some of the online units that contribute inertia.</w:t>
      </w:r>
      <w:r>
        <w:rPr>
          <w:color w:val="ED7D31" w:themeColor="accent2"/>
        </w:rPr>
        <w:t xml:space="preserve"> </w:t>
      </w:r>
      <w:r w:rsidR="00182758" w:rsidRPr="00927E22">
        <w:rPr>
          <w:color w:val="ED7D31" w:themeColor="accent2"/>
        </w:rPr>
        <w:t>Case</w:t>
      </w:r>
      <w:r w:rsidR="00A123B3">
        <w:rPr>
          <w:color w:val="ED7D31" w:themeColor="accent2"/>
        </w:rPr>
        <w:t xml:space="preserve"> </w:t>
      </w:r>
      <w:r w:rsidR="00182758" w:rsidRPr="00927E22">
        <w:rPr>
          <w:color w:val="ED7D31" w:themeColor="accent2"/>
        </w:rPr>
        <w:t xml:space="preserve">1 represents the </w:t>
      </w:r>
      <w:r>
        <w:rPr>
          <w:color w:val="ED7D31" w:themeColor="accent2"/>
        </w:rPr>
        <w:t xml:space="preserve">potential </w:t>
      </w:r>
      <w:r w:rsidR="00182758" w:rsidRPr="00927E22">
        <w:rPr>
          <w:color w:val="ED7D31" w:themeColor="accent2"/>
        </w:rPr>
        <w:t>lowes</w:t>
      </w:r>
      <w:r w:rsidR="00182758" w:rsidRPr="008F056B">
        <w:rPr>
          <w:color w:val="ED7D31" w:themeColor="accent2"/>
        </w:rPr>
        <w:t>t inertia condition (100 GW*s)</w:t>
      </w:r>
      <w:r w:rsidR="00182758" w:rsidRPr="00927E22">
        <w:rPr>
          <w:color w:val="ED7D31" w:themeColor="accent2"/>
        </w:rPr>
        <w:t xml:space="preserve">. </w:t>
      </w:r>
    </w:p>
    <w:p w:rsidR="00093C1C" w:rsidRDefault="00093C1C" w:rsidP="00335331">
      <w:pPr>
        <w:pStyle w:val="ListParagraph"/>
        <w:jc w:val="both"/>
      </w:pPr>
    </w:p>
    <w:p w:rsidR="00093C1C" w:rsidRDefault="00093C1C" w:rsidP="00335331">
      <w:pPr>
        <w:pStyle w:val="ListParagraph"/>
        <w:numPr>
          <w:ilvl w:val="0"/>
          <w:numId w:val="1"/>
        </w:numPr>
        <w:ind w:left="360"/>
        <w:jc w:val="both"/>
      </w:pPr>
      <w:r>
        <w:t>How did you determine the PFR requirement? In the conference call, you mentioned that for this, there are no LRs. Trip 2750 MW generation, to see how many generators with active governors are needed to make the frequency nadir just above 59.4 Hz. Is this right?</w:t>
      </w:r>
    </w:p>
    <w:p w:rsidR="0002312B" w:rsidRPr="0002312B" w:rsidRDefault="0002312B" w:rsidP="00335331">
      <w:pPr>
        <w:ind w:left="360"/>
        <w:jc w:val="both"/>
        <w:rPr>
          <w:color w:val="ED7D31" w:themeColor="accent2"/>
        </w:rPr>
      </w:pPr>
      <w:r w:rsidRPr="0002312B">
        <w:rPr>
          <w:color w:val="ED7D31" w:themeColor="accent2"/>
        </w:rPr>
        <w:t>Response:</w:t>
      </w:r>
    </w:p>
    <w:p w:rsidR="00022FED" w:rsidRDefault="00022FED" w:rsidP="00335331">
      <w:pPr>
        <w:ind w:left="360"/>
        <w:jc w:val="both"/>
        <w:rPr>
          <w:color w:val="ED7D31" w:themeColor="accent2"/>
        </w:rPr>
      </w:pPr>
      <w:r w:rsidRPr="00022FED">
        <w:rPr>
          <w:color w:val="ED7D31" w:themeColor="accent2"/>
        </w:rPr>
        <w:t>See response to Question</w:t>
      </w:r>
      <w:r>
        <w:rPr>
          <w:color w:val="ED7D31" w:themeColor="accent2"/>
        </w:rPr>
        <w:t>s</w:t>
      </w:r>
      <w:r w:rsidRPr="00022FED">
        <w:rPr>
          <w:color w:val="ED7D31" w:themeColor="accent2"/>
        </w:rPr>
        <w:t xml:space="preserve"> 1 &amp; 3 above.</w:t>
      </w:r>
    </w:p>
    <w:p w:rsidR="00022FED" w:rsidRDefault="00022FED" w:rsidP="00022FED">
      <w:pPr>
        <w:pStyle w:val="ListParagraph"/>
        <w:ind w:left="360"/>
        <w:jc w:val="both"/>
      </w:pPr>
    </w:p>
    <w:p w:rsidR="00093C1C" w:rsidRDefault="00093C1C" w:rsidP="00335331">
      <w:pPr>
        <w:pStyle w:val="ListParagraph"/>
        <w:numPr>
          <w:ilvl w:val="0"/>
          <w:numId w:val="1"/>
        </w:numPr>
        <w:ind w:left="360"/>
        <w:jc w:val="both"/>
      </w:pPr>
      <w:r>
        <w:lastRenderedPageBreak/>
        <w:t>How is the LRs/PFR ratio calculated? In case 2, LRs is 1841 MW, PFR requirement is 5200 MW. Why is the ratio only 2.2 (5200/1841=2.8)?</w:t>
      </w:r>
    </w:p>
    <w:p w:rsidR="0002312B" w:rsidRDefault="0002312B" w:rsidP="00335331">
      <w:pPr>
        <w:ind w:left="360"/>
        <w:jc w:val="both"/>
        <w:rPr>
          <w:color w:val="ED7D31" w:themeColor="accent2"/>
        </w:rPr>
      </w:pPr>
      <w:r w:rsidRPr="0002312B">
        <w:rPr>
          <w:color w:val="ED7D31" w:themeColor="accent2"/>
        </w:rPr>
        <w:t>Response:</w:t>
      </w:r>
    </w:p>
    <w:p w:rsidR="00022FED" w:rsidRPr="0002312B" w:rsidRDefault="00022FED" w:rsidP="00335331">
      <w:pPr>
        <w:ind w:left="360"/>
        <w:jc w:val="both"/>
        <w:rPr>
          <w:color w:val="ED7D31" w:themeColor="accent2"/>
        </w:rPr>
      </w:pPr>
      <w:r w:rsidRPr="00022FED">
        <w:rPr>
          <w:color w:val="ED7D31" w:themeColor="accent2"/>
        </w:rPr>
        <w:t>See response to Question</w:t>
      </w:r>
      <w:r>
        <w:rPr>
          <w:color w:val="ED7D31" w:themeColor="accent2"/>
        </w:rPr>
        <w:t>s</w:t>
      </w:r>
      <w:r w:rsidRPr="00022FED">
        <w:rPr>
          <w:color w:val="ED7D31" w:themeColor="accent2"/>
        </w:rPr>
        <w:t xml:space="preserve"> </w:t>
      </w:r>
      <w:r>
        <w:rPr>
          <w:color w:val="ED7D31" w:themeColor="accent2"/>
        </w:rPr>
        <w:t>3, 4</w:t>
      </w:r>
      <w:r w:rsidRPr="00022FED">
        <w:rPr>
          <w:color w:val="ED7D31" w:themeColor="accent2"/>
        </w:rPr>
        <w:t xml:space="preserve"> &amp; </w:t>
      </w:r>
      <w:r>
        <w:rPr>
          <w:color w:val="ED7D31" w:themeColor="accent2"/>
        </w:rPr>
        <w:t>5</w:t>
      </w:r>
      <w:r w:rsidRPr="00022FED">
        <w:rPr>
          <w:color w:val="ED7D31" w:themeColor="accent2"/>
        </w:rPr>
        <w:t xml:space="preserve"> above.</w:t>
      </w:r>
    </w:p>
    <w:p w:rsidR="00BD3620" w:rsidRPr="0002312B" w:rsidRDefault="00BD3620" w:rsidP="00B30273">
      <w:pPr>
        <w:ind w:left="360"/>
        <w:jc w:val="both"/>
        <w:rPr>
          <w:color w:val="ED7D31" w:themeColor="accent2"/>
        </w:rPr>
      </w:pPr>
    </w:p>
    <w:p w:rsidR="002D0910" w:rsidRDefault="002D0910" w:rsidP="00335331">
      <w:pPr>
        <w:pStyle w:val="ListParagraph"/>
        <w:jc w:val="both"/>
      </w:pPr>
    </w:p>
    <w:p w:rsidR="002D0910" w:rsidRPr="00093C1C" w:rsidRDefault="002D0910" w:rsidP="00335331">
      <w:pPr>
        <w:pStyle w:val="ListParagraph"/>
        <w:numPr>
          <w:ilvl w:val="0"/>
          <w:numId w:val="1"/>
        </w:numPr>
        <w:ind w:left="360"/>
        <w:jc w:val="both"/>
      </w:pPr>
      <w:r>
        <w:t>Which specific generators were tripped that total 2750 MW? How would tripping other generators affect the results which determine the minimum PFR from generators? What would happen if generators that carry PFR capabilities were tripped?</w:t>
      </w:r>
    </w:p>
    <w:p w:rsidR="00093C1C" w:rsidRPr="00B36C67" w:rsidRDefault="0002312B" w:rsidP="00335331">
      <w:pPr>
        <w:ind w:left="360"/>
        <w:jc w:val="both"/>
        <w:rPr>
          <w:color w:val="ED7D31" w:themeColor="accent2"/>
        </w:rPr>
      </w:pPr>
      <w:r w:rsidRPr="00B36C67">
        <w:rPr>
          <w:color w:val="ED7D31" w:themeColor="accent2"/>
        </w:rPr>
        <w:t>Response:</w:t>
      </w:r>
    </w:p>
    <w:p w:rsidR="00335331" w:rsidRDefault="001F5865" w:rsidP="00E662FA">
      <w:pPr>
        <w:ind w:left="360"/>
        <w:jc w:val="both"/>
        <w:rPr>
          <w:sz w:val="32"/>
          <w:u w:val="single"/>
        </w:rPr>
      </w:pPr>
      <w:r>
        <w:rPr>
          <w:color w:val="ED7D31" w:themeColor="accent2"/>
        </w:rPr>
        <w:t>The criteria for procuring RRS is based on Resource Contingency Criteria (RCC) as defined by NERC, for ERCOT loss of 2750 MW</w:t>
      </w:r>
      <w:r w:rsidR="00E662FA">
        <w:rPr>
          <w:color w:val="ED7D31" w:themeColor="accent2"/>
        </w:rPr>
        <w:t xml:space="preserve"> (two STP Nuclear units)</w:t>
      </w:r>
      <w:r>
        <w:rPr>
          <w:color w:val="ED7D31" w:themeColor="accent2"/>
        </w:rPr>
        <w:t xml:space="preserve"> reflects the RCC. </w:t>
      </w:r>
      <w:r w:rsidR="00BD3620">
        <w:rPr>
          <w:color w:val="ED7D31" w:themeColor="accent2"/>
        </w:rPr>
        <w:t xml:space="preserve">ERCOT protocols prohibits nuclear units from providing RRS. </w:t>
      </w:r>
      <w:r w:rsidR="00335331">
        <w:rPr>
          <w:sz w:val="32"/>
          <w:u w:val="single"/>
        </w:rPr>
        <w:br w:type="page"/>
      </w:r>
    </w:p>
    <w:p w:rsidR="00093C1C" w:rsidRPr="00B30273" w:rsidRDefault="00093C1C" w:rsidP="00875EC8">
      <w:pPr>
        <w:jc w:val="center"/>
        <w:rPr>
          <w:b/>
          <w:smallCaps/>
          <w:sz w:val="32"/>
          <w:u w:val="single"/>
        </w:rPr>
      </w:pPr>
      <w:r w:rsidRPr="00B30273">
        <w:rPr>
          <w:b/>
          <w:smallCaps/>
          <w:sz w:val="32"/>
          <w:u w:val="single"/>
        </w:rPr>
        <w:lastRenderedPageBreak/>
        <w:t>Overshoot study</w:t>
      </w:r>
    </w:p>
    <w:p w:rsidR="00093C1C" w:rsidRPr="00093C1C" w:rsidRDefault="00093C1C" w:rsidP="00093C1C"/>
    <w:p w:rsidR="00093C1C" w:rsidRDefault="00093C1C" w:rsidP="00022FED">
      <w:pPr>
        <w:pStyle w:val="ListParagraph"/>
        <w:numPr>
          <w:ilvl w:val="0"/>
          <w:numId w:val="1"/>
        </w:numPr>
        <w:ind w:left="360"/>
        <w:jc w:val="both"/>
      </w:pPr>
      <w:r w:rsidRPr="00093C1C">
        <w:t>Has there been any benchmarking of simulated governing response on over-frequency to an over-frequency event?</w:t>
      </w:r>
    </w:p>
    <w:p w:rsidR="00335331" w:rsidRPr="00335331" w:rsidRDefault="00335331" w:rsidP="00335331">
      <w:pPr>
        <w:ind w:left="360"/>
        <w:jc w:val="both"/>
        <w:rPr>
          <w:color w:val="ED7D31" w:themeColor="accent2"/>
        </w:rPr>
      </w:pPr>
      <w:r w:rsidRPr="00335331">
        <w:rPr>
          <w:color w:val="ED7D31" w:themeColor="accent2"/>
        </w:rPr>
        <w:t>Response:</w:t>
      </w:r>
    </w:p>
    <w:p w:rsidR="00E30F34" w:rsidRDefault="00E30F34" w:rsidP="00335331">
      <w:pPr>
        <w:ind w:left="360"/>
        <w:jc w:val="both"/>
        <w:rPr>
          <w:color w:val="ED7D31" w:themeColor="accent2"/>
        </w:rPr>
      </w:pPr>
      <w:r w:rsidRPr="00335331">
        <w:rPr>
          <w:color w:val="ED7D31" w:themeColor="accent2"/>
        </w:rPr>
        <w:t>ERCOT routinely bench marks TSAT cases</w:t>
      </w:r>
      <w:r w:rsidR="00D63DBD">
        <w:rPr>
          <w:color w:val="ED7D31" w:themeColor="accent2"/>
        </w:rPr>
        <w:t xml:space="preserve"> against the system events (</w:t>
      </w:r>
      <w:r w:rsidR="005E3F01">
        <w:rPr>
          <w:color w:val="ED7D31" w:themeColor="accent2"/>
        </w:rPr>
        <w:t>one example of such a study is shown below</w:t>
      </w:r>
      <w:r w:rsidR="00D63DBD">
        <w:rPr>
          <w:color w:val="ED7D31" w:themeColor="accent2"/>
        </w:rPr>
        <w:t>)</w:t>
      </w:r>
      <w:r w:rsidRPr="00335331">
        <w:rPr>
          <w:color w:val="ED7D31" w:themeColor="accent2"/>
        </w:rPr>
        <w:t>. For the purpose of studying RRS requirements for under frequency events, real-time TSAT cases were used.</w:t>
      </w:r>
      <w:r w:rsidR="00D63DBD">
        <w:rPr>
          <w:color w:val="ED7D31" w:themeColor="accent2"/>
        </w:rPr>
        <w:t xml:space="preserve"> </w:t>
      </w:r>
      <w:r w:rsidR="006A70FF">
        <w:rPr>
          <w:color w:val="ED7D31" w:themeColor="accent2"/>
        </w:rPr>
        <w:t xml:space="preserve">Selected </w:t>
      </w:r>
      <w:r w:rsidR="0073200C">
        <w:rPr>
          <w:color w:val="ED7D31" w:themeColor="accent2"/>
        </w:rPr>
        <w:t>TSAT cases</w:t>
      </w:r>
      <w:r w:rsidR="006A70FF">
        <w:rPr>
          <w:color w:val="ED7D31" w:themeColor="accent2"/>
        </w:rPr>
        <w:t xml:space="preserve"> were </w:t>
      </w:r>
      <w:r w:rsidRPr="00640BE9">
        <w:rPr>
          <w:color w:val="ED7D31" w:themeColor="accent2"/>
        </w:rPr>
        <w:t>verified</w:t>
      </w:r>
      <w:r>
        <w:rPr>
          <w:color w:val="ED7D31" w:themeColor="accent2"/>
        </w:rPr>
        <w:t xml:space="preserve"> to ensure</w:t>
      </w:r>
      <w:r w:rsidRPr="00640BE9">
        <w:rPr>
          <w:color w:val="ED7D31" w:themeColor="accent2"/>
        </w:rPr>
        <w:t xml:space="preserve"> the frequency response </w:t>
      </w:r>
      <w:r w:rsidR="00D63DBD">
        <w:rPr>
          <w:color w:val="ED7D31" w:themeColor="accent2"/>
        </w:rPr>
        <w:t>was</w:t>
      </w:r>
      <w:r w:rsidRPr="00640BE9">
        <w:rPr>
          <w:color w:val="ED7D31" w:themeColor="accent2"/>
        </w:rPr>
        <w:t xml:space="preserve"> </w:t>
      </w:r>
      <w:r>
        <w:rPr>
          <w:color w:val="ED7D31" w:themeColor="accent2"/>
        </w:rPr>
        <w:t xml:space="preserve">either </w:t>
      </w:r>
      <w:r w:rsidRPr="00640BE9">
        <w:rPr>
          <w:color w:val="ED7D31" w:themeColor="accent2"/>
        </w:rPr>
        <w:t xml:space="preserve">similar to or worse than </w:t>
      </w:r>
      <w:r>
        <w:rPr>
          <w:color w:val="ED7D31" w:themeColor="accent2"/>
        </w:rPr>
        <w:t xml:space="preserve">actual events so that estimated RRS requirements </w:t>
      </w:r>
      <w:r w:rsidR="00D63DBD">
        <w:rPr>
          <w:color w:val="ED7D31" w:themeColor="accent2"/>
        </w:rPr>
        <w:t>were</w:t>
      </w:r>
      <w:r>
        <w:rPr>
          <w:color w:val="ED7D31" w:themeColor="accent2"/>
        </w:rPr>
        <w:t xml:space="preserve"> conservative</w:t>
      </w:r>
      <w:r w:rsidRPr="00640BE9">
        <w:rPr>
          <w:color w:val="ED7D31" w:themeColor="accent2"/>
        </w:rPr>
        <w:t xml:space="preserve">. </w:t>
      </w:r>
      <w:r w:rsidR="00837DB6">
        <w:rPr>
          <w:color w:val="ED7D31" w:themeColor="accent2"/>
        </w:rPr>
        <w:t>ERCOT has not benchmarked TSAT performance for over-frequency events because t</w:t>
      </w:r>
      <w:r w:rsidRPr="00640BE9">
        <w:rPr>
          <w:color w:val="ED7D31" w:themeColor="accent2"/>
        </w:rPr>
        <w:t xml:space="preserve">here were no suitable </w:t>
      </w:r>
      <w:r>
        <w:rPr>
          <w:color w:val="ED7D31" w:themeColor="accent2"/>
        </w:rPr>
        <w:t xml:space="preserve">(large enough) </w:t>
      </w:r>
      <w:r w:rsidRPr="00640BE9">
        <w:rPr>
          <w:color w:val="ED7D31" w:themeColor="accent2"/>
        </w:rPr>
        <w:t>over-frequency events against which the case’s response could be benchmarked.</w:t>
      </w:r>
    </w:p>
    <w:p w:rsidR="0073200C" w:rsidRDefault="0073200C" w:rsidP="00E30F34">
      <w:pPr>
        <w:pStyle w:val="ListParagraph"/>
        <w:rPr>
          <w:color w:val="ED7D31" w:themeColor="accent2"/>
        </w:rPr>
      </w:pPr>
    </w:p>
    <w:p w:rsidR="001F64A8" w:rsidRDefault="0073200C" w:rsidP="005E3F01">
      <w:pPr>
        <w:pStyle w:val="ListParagraph"/>
        <w:ind w:left="360"/>
        <w:jc w:val="center"/>
      </w:pPr>
      <w:r>
        <w:rPr>
          <w:noProof/>
        </w:rPr>
        <w:drawing>
          <wp:inline distT="0" distB="0" distL="0" distR="0" wp14:anchorId="167189C1" wp14:editId="1CBE6052">
            <wp:extent cx="5932704" cy="4324350"/>
            <wp:effectExtent l="0" t="0" r="0" b="0"/>
            <wp:docPr id="4" name="Picture 4" descr="cid:image005.png@01D2B3A3.9D428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2" descr="cid:image005.png@01D2B3A3.9D428830"/>
                    <pic:cNvPicPr>
                      <a:picLocks noChangeAspect="1" noChangeArrowheads="1"/>
                    </pic:cNvPicPr>
                  </pic:nvPicPr>
                  <pic:blipFill rotWithShape="1">
                    <a:blip r:embed="rId12" r:link="rId13">
                      <a:extLst>
                        <a:ext uri="{28A0092B-C50C-407E-A947-70E740481C1C}">
                          <a14:useLocalDpi xmlns:a14="http://schemas.microsoft.com/office/drawing/2010/main" val="0"/>
                        </a:ext>
                      </a:extLst>
                    </a:blip>
                    <a:srcRect l="1729" t="2330" r="1686" b="2840"/>
                    <a:stretch/>
                  </pic:blipFill>
                  <pic:spPr bwMode="auto">
                    <a:xfrm>
                      <a:off x="0" y="0"/>
                      <a:ext cx="5949122" cy="4336317"/>
                    </a:xfrm>
                    <a:prstGeom prst="rect">
                      <a:avLst/>
                    </a:prstGeom>
                    <a:noFill/>
                    <a:ln>
                      <a:noFill/>
                    </a:ln>
                    <a:extLst>
                      <a:ext uri="{53640926-AAD7-44D8-BBD7-CCE9431645EC}">
                        <a14:shadowObscured xmlns:a14="http://schemas.microsoft.com/office/drawing/2010/main"/>
                      </a:ext>
                    </a:extLst>
                  </pic:spPr>
                </pic:pic>
              </a:graphicData>
            </a:graphic>
          </wp:inline>
        </w:drawing>
      </w:r>
    </w:p>
    <w:p w:rsidR="001F64A8" w:rsidRDefault="001F64A8">
      <w:pPr>
        <w:spacing w:after="160" w:line="259" w:lineRule="auto"/>
      </w:pPr>
      <w:r>
        <w:br w:type="page"/>
      </w:r>
    </w:p>
    <w:p w:rsidR="001060AB" w:rsidRDefault="00093C1C" w:rsidP="00022FED">
      <w:pPr>
        <w:pStyle w:val="ListParagraph"/>
        <w:numPr>
          <w:ilvl w:val="0"/>
          <w:numId w:val="1"/>
        </w:numPr>
        <w:ind w:left="360"/>
        <w:jc w:val="both"/>
      </w:pPr>
      <w:r w:rsidRPr="00093C1C">
        <w:lastRenderedPageBreak/>
        <w:t>Please provide PMU frequency records and analysis of any LaaR activation events in recent past.  What was the difference, if any, between expected and actual LaaR tripping?</w:t>
      </w:r>
    </w:p>
    <w:p w:rsidR="008C3287" w:rsidRDefault="008C3287" w:rsidP="008C3287">
      <w:pPr>
        <w:ind w:left="360"/>
        <w:jc w:val="both"/>
        <w:rPr>
          <w:color w:val="ED7D31" w:themeColor="accent2"/>
        </w:rPr>
      </w:pPr>
      <w:r w:rsidRPr="008C3287">
        <w:rPr>
          <w:color w:val="ED7D31" w:themeColor="accent2"/>
        </w:rPr>
        <w:t>Response:</w:t>
      </w:r>
    </w:p>
    <w:p w:rsidR="00837DB6" w:rsidRDefault="00F00415" w:rsidP="00837DB6">
      <w:pPr>
        <w:ind w:left="360"/>
        <w:jc w:val="both"/>
        <w:rPr>
          <w:color w:val="ED7D31" w:themeColor="accent2"/>
        </w:rPr>
      </w:pPr>
      <w:r>
        <w:rPr>
          <w:color w:val="ED7D31" w:themeColor="accent2"/>
        </w:rPr>
        <w:t xml:space="preserve">Included below is PMU frequency plot from a frequency event </w:t>
      </w:r>
      <w:r w:rsidR="00837DB6">
        <w:rPr>
          <w:color w:val="ED7D31" w:themeColor="accent2"/>
        </w:rPr>
        <w:t xml:space="preserve">on May 1, 2016 caused by 1311 MW unit trip </w:t>
      </w:r>
      <w:r>
        <w:rPr>
          <w:color w:val="ED7D31" w:themeColor="accent2"/>
        </w:rPr>
        <w:t xml:space="preserve">that </w:t>
      </w:r>
      <w:r w:rsidR="00837DB6">
        <w:rPr>
          <w:color w:val="ED7D31" w:themeColor="accent2"/>
        </w:rPr>
        <w:t xml:space="preserve">resulted in </w:t>
      </w:r>
      <w:r w:rsidR="00E662FA">
        <w:rPr>
          <w:color w:val="ED7D31" w:themeColor="accent2"/>
        </w:rPr>
        <w:t xml:space="preserve">activation of LRs. </w:t>
      </w:r>
      <w:r w:rsidR="00837DB6" w:rsidRPr="00D36425">
        <w:rPr>
          <w:color w:val="ED7D31" w:themeColor="accent2"/>
        </w:rPr>
        <w:t>LRs providing RRS are required to set their under-frequency relays no lower than 59.70 Hz, so some portion of load resources are set at frequency slightly higher than 59.70 Hz and their response avoid tripping all the LRs.</w:t>
      </w:r>
      <w:r w:rsidR="00837DB6">
        <w:rPr>
          <w:color w:val="ED7D31" w:themeColor="accent2"/>
        </w:rPr>
        <w:t xml:space="preserve"> Not only are the frequency set-points slightly different but the delay settings are also slightly different. On top of that there is some sensitivity to where the Loads are located (e.g. Far West versus Coast Weather Zone, transmission connected vs distribution connected). During this event we had </w:t>
      </w:r>
      <w:r w:rsidR="002903FE">
        <w:rPr>
          <w:color w:val="ED7D31" w:themeColor="accent2"/>
        </w:rPr>
        <w:t>1323.1</w:t>
      </w:r>
      <w:r w:rsidR="00837DB6">
        <w:rPr>
          <w:color w:val="ED7D31" w:themeColor="accent2"/>
        </w:rPr>
        <w:t xml:space="preserve"> MW that w</w:t>
      </w:r>
      <w:r w:rsidR="002903FE">
        <w:rPr>
          <w:color w:val="ED7D31" w:themeColor="accent2"/>
        </w:rPr>
        <w:t>ere</w:t>
      </w:r>
      <w:r w:rsidR="00837DB6">
        <w:rPr>
          <w:color w:val="ED7D31" w:themeColor="accent2"/>
        </w:rPr>
        <w:t xml:space="preserve"> providing RRS-LRs, </w:t>
      </w:r>
      <w:r w:rsidR="002903FE">
        <w:rPr>
          <w:color w:val="ED7D31" w:themeColor="accent2"/>
        </w:rPr>
        <w:t>927.1 MW of LRs carrying RRS</w:t>
      </w:r>
      <w:r w:rsidR="00837DB6">
        <w:rPr>
          <w:color w:val="ED7D31" w:themeColor="accent2"/>
        </w:rPr>
        <w:t xml:space="preserve"> tripped and </w:t>
      </w:r>
      <w:r w:rsidR="002903FE">
        <w:rPr>
          <w:color w:val="ED7D31" w:themeColor="accent2"/>
        </w:rPr>
        <w:t>9.1</w:t>
      </w:r>
      <w:r w:rsidR="00837DB6">
        <w:rPr>
          <w:color w:val="ED7D31" w:themeColor="accent2"/>
        </w:rPr>
        <w:t>MW of LRs w</w:t>
      </w:r>
      <w:r w:rsidR="002903FE">
        <w:rPr>
          <w:color w:val="ED7D31" w:themeColor="accent2"/>
        </w:rPr>
        <w:t>ere</w:t>
      </w:r>
      <w:r w:rsidR="00837DB6">
        <w:rPr>
          <w:color w:val="ED7D31" w:themeColor="accent2"/>
        </w:rPr>
        <w:t xml:space="preserve"> not awarded R</w:t>
      </w:r>
      <w:r w:rsidR="002903FE">
        <w:rPr>
          <w:color w:val="ED7D31" w:themeColor="accent2"/>
        </w:rPr>
        <w:t>RS tripped</w:t>
      </w:r>
      <w:r w:rsidR="00837DB6">
        <w:rPr>
          <w:color w:val="ED7D31" w:themeColor="accent2"/>
        </w:rPr>
        <w:t>.</w:t>
      </w:r>
    </w:p>
    <w:p w:rsidR="00837DB6" w:rsidRDefault="00837DB6" w:rsidP="00F00415">
      <w:pPr>
        <w:ind w:left="360"/>
        <w:jc w:val="both"/>
        <w:rPr>
          <w:color w:val="ED7D31" w:themeColor="accent2"/>
        </w:rPr>
      </w:pPr>
    </w:p>
    <w:p w:rsidR="00F00415" w:rsidRDefault="00837DB6" w:rsidP="00F00415">
      <w:pPr>
        <w:ind w:left="360"/>
        <w:jc w:val="both"/>
        <w:rPr>
          <w:color w:val="ED7D31" w:themeColor="accent2"/>
        </w:rPr>
      </w:pPr>
      <w:r>
        <w:rPr>
          <w:color w:val="ED7D31" w:themeColor="accent2"/>
        </w:rPr>
        <w:t>ERCOT’s s</w:t>
      </w:r>
      <w:r w:rsidR="00E662FA">
        <w:rPr>
          <w:color w:val="ED7D31" w:themeColor="accent2"/>
        </w:rPr>
        <w:t>imulation studies</w:t>
      </w:r>
      <w:r w:rsidR="00F00415">
        <w:rPr>
          <w:color w:val="ED7D31" w:themeColor="accent2"/>
        </w:rPr>
        <w:t xml:space="preserve"> assume all LRs </w:t>
      </w:r>
      <w:r w:rsidR="00F00415" w:rsidRPr="00D36425">
        <w:rPr>
          <w:color w:val="ED7D31" w:themeColor="accent2"/>
        </w:rPr>
        <w:t>providing RRS</w:t>
      </w:r>
      <w:r w:rsidR="00F00415">
        <w:rPr>
          <w:color w:val="ED7D31" w:themeColor="accent2"/>
        </w:rPr>
        <w:t xml:space="preserve"> </w:t>
      </w:r>
      <w:r w:rsidR="00F00415" w:rsidRPr="00182758">
        <w:rPr>
          <w:color w:val="ED7D31" w:themeColor="accent2"/>
        </w:rPr>
        <w:t>to have a 0.333 seconds of relay delay and 0.083 seconds of breaker action time</w:t>
      </w:r>
      <w:r w:rsidR="00F00415">
        <w:rPr>
          <w:color w:val="ED7D31" w:themeColor="accent2"/>
        </w:rPr>
        <w:t xml:space="preserve">. </w:t>
      </w:r>
      <w:r w:rsidR="00E662FA">
        <w:rPr>
          <w:color w:val="ED7D31" w:themeColor="accent2"/>
        </w:rPr>
        <w:t>Th</w:t>
      </w:r>
      <w:r w:rsidR="002903FE">
        <w:rPr>
          <w:color w:val="ED7D31" w:themeColor="accent2"/>
        </w:rPr>
        <w:t>is</w:t>
      </w:r>
      <w:r w:rsidR="00E662FA">
        <w:rPr>
          <w:color w:val="ED7D31" w:themeColor="accent2"/>
        </w:rPr>
        <w:t xml:space="preserve"> assumption of all LRs hav</w:t>
      </w:r>
      <w:r w:rsidR="002903FE">
        <w:rPr>
          <w:color w:val="ED7D31" w:themeColor="accent2"/>
        </w:rPr>
        <w:t>ing</w:t>
      </w:r>
      <w:r w:rsidR="00E662FA">
        <w:rPr>
          <w:color w:val="ED7D31" w:themeColor="accent2"/>
        </w:rPr>
        <w:t xml:space="preserve"> the same delay and the same frequency trigger level would result in higher magnitude of LRs tripping compared to actual response due </w:t>
      </w:r>
      <w:r w:rsidR="002903FE">
        <w:rPr>
          <w:color w:val="ED7D31" w:themeColor="accent2"/>
        </w:rPr>
        <w:t xml:space="preserve">to their </w:t>
      </w:r>
      <w:r w:rsidR="00E662FA">
        <w:rPr>
          <w:color w:val="ED7D31" w:themeColor="accent2"/>
        </w:rPr>
        <w:t>slightly different settings</w:t>
      </w:r>
      <w:r w:rsidR="002903FE">
        <w:rPr>
          <w:color w:val="ED7D31" w:themeColor="accent2"/>
        </w:rPr>
        <w:t xml:space="preserve"> in actuality</w:t>
      </w:r>
      <w:r w:rsidR="00E662FA">
        <w:rPr>
          <w:color w:val="ED7D31" w:themeColor="accent2"/>
        </w:rPr>
        <w:t xml:space="preserve">. Also, please note that in the studies all governors except the ones providing minimum RRS-PFR are turned off. </w:t>
      </w:r>
    </w:p>
    <w:p w:rsidR="00F00415" w:rsidRDefault="00F00415" w:rsidP="00F00415">
      <w:pPr>
        <w:pStyle w:val="ListParagraph"/>
        <w:ind w:left="360"/>
        <w:jc w:val="both"/>
      </w:pPr>
    </w:p>
    <w:p w:rsidR="00F00415" w:rsidRDefault="00F00415" w:rsidP="002903FE">
      <w:pPr>
        <w:pStyle w:val="ListParagraph"/>
        <w:ind w:left="360"/>
        <w:jc w:val="center"/>
      </w:pPr>
      <w:r>
        <w:rPr>
          <w:noProof/>
        </w:rPr>
        <w:drawing>
          <wp:inline distT="0" distB="0" distL="0" distR="0" wp14:anchorId="4E81EDE6" wp14:editId="69906EAA">
            <wp:extent cx="4500741" cy="3050505"/>
            <wp:effectExtent l="0" t="0" r="0" b="0"/>
            <wp:docPr id="24" name="Picture 24" descr="cid:image001.jpg@01D2B478.109374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B478.109374A0"/>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4517968" cy="3062181"/>
                    </a:xfrm>
                    <a:prstGeom prst="rect">
                      <a:avLst/>
                    </a:prstGeom>
                    <a:noFill/>
                    <a:ln>
                      <a:noFill/>
                    </a:ln>
                  </pic:spPr>
                </pic:pic>
              </a:graphicData>
            </a:graphic>
          </wp:inline>
        </w:drawing>
      </w:r>
    </w:p>
    <w:p w:rsidR="00F00415" w:rsidRDefault="00F00415">
      <w:pPr>
        <w:spacing w:after="160" w:line="259" w:lineRule="auto"/>
      </w:pPr>
      <w:r>
        <w:br w:type="page"/>
      </w:r>
    </w:p>
    <w:p w:rsidR="00093C1C" w:rsidRDefault="00093C1C" w:rsidP="00022FED">
      <w:pPr>
        <w:pStyle w:val="ListParagraph"/>
        <w:numPr>
          <w:ilvl w:val="0"/>
          <w:numId w:val="1"/>
        </w:numPr>
        <w:ind w:left="360"/>
        <w:jc w:val="both"/>
      </w:pPr>
      <w:r w:rsidRPr="00093C1C">
        <w:lastRenderedPageBreak/>
        <w:t>What is the confidence level that all on-line ge</w:t>
      </w:r>
      <w:r>
        <w:t>nerators, including 80 percent </w:t>
      </w:r>
      <w:r w:rsidRPr="00093C1C">
        <w:t>of wind and solar, respond to high frequency conditions by decreasing power according to 5 percent droop?</w:t>
      </w:r>
    </w:p>
    <w:p w:rsidR="008C3287" w:rsidRDefault="00335331" w:rsidP="00335331">
      <w:pPr>
        <w:ind w:left="360"/>
        <w:jc w:val="both"/>
        <w:rPr>
          <w:color w:val="ED7D31" w:themeColor="accent2"/>
        </w:rPr>
      </w:pPr>
      <w:r w:rsidRPr="00335331">
        <w:rPr>
          <w:color w:val="ED7D31" w:themeColor="accent2"/>
        </w:rPr>
        <w:t>Response:</w:t>
      </w:r>
    </w:p>
    <w:p w:rsidR="006A70FF" w:rsidRDefault="00AA1580" w:rsidP="00335331">
      <w:pPr>
        <w:ind w:left="360"/>
        <w:jc w:val="both"/>
        <w:rPr>
          <w:color w:val="ED7D31" w:themeColor="accent2"/>
        </w:rPr>
      </w:pPr>
      <w:r>
        <w:rPr>
          <w:color w:val="ED7D31" w:themeColor="accent2"/>
        </w:rPr>
        <w:t>Ge</w:t>
      </w:r>
      <w:r w:rsidR="006A70FF" w:rsidRPr="00AA1580">
        <w:rPr>
          <w:color w:val="ED7D31" w:themeColor="accent2"/>
        </w:rPr>
        <w:t xml:space="preserve">nerators including Wind Resources </w:t>
      </w:r>
      <w:r w:rsidR="007D7E5D" w:rsidRPr="00AA1580">
        <w:rPr>
          <w:color w:val="ED7D31" w:themeColor="accent2"/>
        </w:rPr>
        <w:t xml:space="preserve">are not limited by their headroom when responding to high frequency response. </w:t>
      </w:r>
      <w:r w:rsidR="006A70FF" w:rsidRPr="00AA1580">
        <w:rPr>
          <w:color w:val="ED7D31" w:themeColor="accent2"/>
        </w:rPr>
        <w:t xml:space="preserve"> </w:t>
      </w:r>
      <w:r w:rsidR="008C3287">
        <w:rPr>
          <w:color w:val="ED7D31" w:themeColor="accent2"/>
        </w:rPr>
        <w:t>While high frequency events do not occur as often, ERCOT</w:t>
      </w:r>
      <w:r w:rsidR="000014CF">
        <w:rPr>
          <w:color w:val="ED7D31" w:themeColor="accent2"/>
        </w:rPr>
        <w:t xml:space="preserve"> in conjunction with PDCWG</w:t>
      </w:r>
      <w:r w:rsidR="008C3287">
        <w:rPr>
          <w:color w:val="ED7D31" w:themeColor="accent2"/>
        </w:rPr>
        <w:t xml:space="preserve"> review</w:t>
      </w:r>
      <w:bookmarkStart w:id="0" w:name="_GoBack"/>
      <w:bookmarkEnd w:id="0"/>
      <w:r w:rsidR="000014CF">
        <w:rPr>
          <w:color w:val="ED7D31" w:themeColor="accent2"/>
        </w:rPr>
        <w:t>s</w:t>
      </w:r>
      <w:r w:rsidR="008C3287">
        <w:rPr>
          <w:color w:val="ED7D31" w:themeColor="accent2"/>
        </w:rPr>
        <w:t xml:space="preserve"> primary </w:t>
      </w:r>
      <w:r w:rsidR="000014CF">
        <w:rPr>
          <w:color w:val="ED7D31" w:themeColor="accent2"/>
        </w:rPr>
        <w:t xml:space="preserve">frequency </w:t>
      </w:r>
      <w:r w:rsidR="008C3287">
        <w:rPr>
          <w:color w:val="ED7D31" w:themeColor="accent2"/>
        </w:rPr>
        <w:t>response</w:t>
      </w:r>
      <w:r w:rsidR="000014CF">
        <w:rPr>
          <w:color w:val="ED7D31" w:themeColor="accent2"/>
        </w:rPr>
        <w:t xml:space="preserve"> of all online generators for every</w:t>
      </w:r>
      <w:r w:rsidR="008C3287">
        <w:rPr>
          <w:color w:val="ED7D31" w:themeColor="accent2"/>
        </w:rPr>
        <w:t xml:space="preserve"> high frequency</w:t>
      </w:r>
      <w:r w:rsidR="000014CF">
        <w:rPr>
          <w:color w:val="ED7D31" w:themeColor="accent2"/>
        </w:rPr>
        <w:t xml:space="preserve"> event. Included below are charts depicting response from Wind Generation Resources to two recent high frequency events.</w:t>
      </w:r>
    </w:p>
    <w:p w:rsidR="00A9562A" w:rsidRDefault="00A9562A" w:rsidP="00A9562A">
      <w:pPr>
        <w:tabs>
          <w:tab w:val="left" w:pos="0"/>
        </w:tabs>
        <w:rPr>
          <w:color w:val="ED7D31" w:themeColor="accent2"/>
        </w:rPr>
      </w:pPr>
    </w:p>
    <w:p w:rsidR="00F00415" w:rsidRDefault="008C3287" w:rsidP="00F00415">
      <w:pPr>
        <w:tabs>
          <w:tab w:val="left" w:pos="0"/>
        </w:tabs>
        <w:jc w:val="center"/>
        <w:rPr>
          <w:color w:val="ED7D31" w:themeColor="accent2"/>
        </w:rPr>
      </w:pPr>
      <w:r>
        <w:rPr>
          <w:noProof/>
          <w:color w:val="ED7D31" w:themeColor="accent2"/>
        </w:rPr>
        <w:drawing>
          <wp:inline distT="0" distB="0" distL="0" distR="0" wp14:anchorId="64F24EFD" wp14:editId="3ECD3AF1">
            <wp:extent cx="4181320" cy="3039042"/>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194367" cy="3048525"/>
                    </a:xfrm>
                    <a:prstGeom prst="rect">
                      <a:avLst/>
                    </a:prstGeom>
                    <a:noFill/>
                  </pic:spPr>
                </pic:pic>
              </a:graphicData>
            </a:graphic>
          </wp:inline>
        </w:drawing>
      </w:r>
    </w:p>
    <w:p w:rsidR="00F00415" w:rsidRDefault="00F00415" w:rsidP="00F00415">
      <w:pPr>
        <w:tabs>
          <w:tab w:val="left" w:pos="0"/>
        </w:tabs>
        <w:jc w:val="center"/>
        <w:rPr>
          <w:color w:val="ED7D31" w:themeColor="accent2"/>
        </w:rPr>
      </w:pPr>
    </w:p>
    <w:p w:rsidR="00F00415" w:rsidRDefault="00A9562A" w:rsidP="00F00415">
      <w:pPr>
        <w:tabs>
          <w:tab w:val="left" w:pos="0"/>
        </w:tabs>
        <w:jc w:val="center"/>
        <w:rPr>
          <w:color w:val="ED7D31" w:themeColor="accent2"/>
        </w:rPr>
      </w:pPr>
      <w:r>
        <w:rPr>
          <w:noProof/>
        </w:rPr>
        <w:drawing>
          <wp:inline distT="0" distB="0" distL="0" distR="0" wp14:anchorId="625B1321" wp14:editId="5AF9C230">
            <wp:extent cx="4220532" cy="3064520"/>
            <wp:effectExtent l="0" t="0" r="889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237944" cy="3077163"/>
                    </a:xfrm>
                    <a:prstGeom prst="rect">
                      <a:avLst/>
                    </a:prstGeom>
                    <a:noFill/>
                  </pic:spPr>
                </pic:pic>
              </a:graphicData>
            </a:graphic>
          </wp:inline>
        </w:drawing>
      </w:r>
    </w:p>
    <w:p w:rsidR="00F00415" w:rsidRDefault="00F00415">
      <w:pPr>
        <w:spacing w:after="160" w:line="259" w:lineRule="auto"/>
      </w:pPr>
      <w:r>
        <w:br w:type="page"/>
      </w:r>
    </w:p>
    <w:p w:rsidR="00093C1C" w:rsidRDefault="00093C1C" w:rsidP="00022FED">
      <w:pPr>
        <w:pStyle w:val="ListParagraph"/>
        <w:numPr>
          <w:ilvl w:val="0"/>
          <w:numId w:val="1"/>
        </w:numPr>
        <w:ind w:left="360"/>
        <w:jc w:val="both"/>
      </w:pPr>
      <w:r w:rsidRPr="00093C1C">
        <w:lastRenderedPageBreak/>
        <w:t>Could the decrease of PFR to a minimum level allowing for greater LaaR amounts possibly result in more frequent activation of LaaR?</w:t>
      </w:r>
    </w:p>
    <w:p w:rsidR="001060AB" w:rsidRPr="00335331" w:rsidRDefault="00335331" w:rsidP="00335331">
      <w:pPr>
        <w:ind w:left="360"/>
        <w:jc w:val="both"/>
        <w:rPr>
          <w:color w:val="ED7D31" w:themeColor="accent2"/>
        </w:rPr>
      </w:pPr>
      <w:r w:rsidRPr="00335331">
        <w:rPr>
          <w:color w:val="ED7D31" w:themeColor="accent2"/>
        </w:rPr>
        <w:t>Response:</w:t>
      </w:r>
    </w:p>
    <w:p w:rsidR="00875EC8" w:rsidRPr="00875EC8" w:rsidRDefault="001060AB" w:rsidP="00335331">
      <w:pPr>
        <w:ind w:left="360"/>
        <w:jc w:val="both"/>
        <w:rPr>
          <w:color w:val="ED7D31" w:themeColor="accent2"/>
        </w:rPr>
      </w:pPr>
      <w:r w:rsidRPr="00875EC8">
        <w:rPr>
          <w:color w:val="ED7D31" w:themeColor="accent2"/>
        </w:rPr>
        <w:t xml:space="preserve">LRs response is more a function of the size of unit loss and the system inertia. </w:t>
      </w:r>
      <w:r w:rsidR="002903FE">
        <w:rPr>
          <w:color w:val="ED7D31" w:themeColor="accent2"/>
        </w:rPr>
        <w:t xml:space="preserve">Based on the overshoot study, LRs would generally only be activated for unit trips greater than 985 MW at low inertia conditions, and a larger unit trip would be required during higher inertia conditions to trigger these; such trips are rare. </w:t>
      </w:r>
      <w:r w:rsidRPr="00875EC8">
        <w:rPr>
          <w:color w:val="ED7D31" w:themeColor="accent2"/>
        </w:rPr>
        <w:t xml:space="preserve">LRs are designed to respond if system frequency stays below 59.70 Hz for more than 20 cycles. The Operating Guide requirement allows for a breaker opening time of up to 10 cycles for a combined response of no more than 30 cycles. </w:t>
      </w:r>
      <w:r w:rsidR="00875EC8" w:rsidRPr="00875EC8">
        <w:rPr>
          <w:color w:val="ED7D31" w:themeColor="accent2"/>
        </w:rPr>
        <w:t xml:space="preserve">The combination of minimum PFR (1150 MW) and LRs triggered at 59.70 Hz </w:t>
      </w:r>
      <w:r w:rsidR="005E3F01">
        <w:rPr>
          <w:color w:val="ED7D31" w:themeColor="accent2"/>
        </w:rPr>
        <w:t>is</w:t>
      </w:r>
      <w:r w:rsidR="00875EC8" w:rsidRPr="00875EC8">
        <w:rPr>
          <w:color w:val="ED7D31" w:themeColor="accent2"/>
        </w:rPr>
        <w:t xml:space="preserve"> sufficient to keep the frequency above 59.40 Hz for a loss of 2750 MW. ERCOT does not design its minimum PFR requirements to avoid tripping LRs. </w:t>
      </w:r>
      <w:r w:rsidR="001D115D" w:rsidRPr="001D115D">
        <w:rPr>
          <w:color w:val="ED7D31" w:themeColor="accent2"/>
        </w:rPr>
        <w:t xml:space="preserve"> </w:t>
      </w:r>
      <w:r w:rsidR="001D115D">
        <w:rPr>
          <w:color w:val="ED7D31" w:themeColor="accent2"/>
        </w:rPr>
        <w:t>H</w:t>
      </w:r>
      <w:r w:rsidR="001D115D" w:rsidRPr="00875EC8">
        <w:rPr>
          <w:color w:val="ED7D31" w:themeColor="accent2"/>
        </w:rPr>
        <w:t xml:space="preserve">istorically, </w:t>
      </w:r>
      <w:r w:rsidR="001D115D">
        <w:rPr>
          <w:color w:val="ED7D31" w:themeColor="accent2"/>
        </w:rPr>
        <w:t>e</w:t>
      </w:r>
      <w:r w:rsidR="001D115D" w:rsidRPr="001D115D">
        <w:rPr>
          <w:color w:val="ED7D31" w:themeColor="accent2"/>
        </w:rPr>
        <w:t>vents that cause frequency to drop to 59.7 Hz are not common</w:t>
      </w:r>
      <w:r w:rsidR="00AA4F92">
        <w:rPr>
          <w:color w:val="ED7D31" w:themeColor="accent2"/>
        </w:rPr>
        <w:t xml:space="preserve"> and are sufficiently large to trigger LRs deployment with or without the changes proposed by NPRR-815</w:t>
      </w:r>
      <w:r w:rsidR="001D115D" w:rsidRPr="001D115D">
        <w:rPr>
          <w:color w:val="ED7D31" w:themeColor="accent2"/>
        </w:rPr>
        <w:t>.</w:t>
      </w:r>
    </w:p>
    <w:p w:rsidR="001060AB" w:rsidRDefault="001060AB" w:rsidP="00093C1C">
      <w:pPr>
        <w:pStyle w:val="ListParagraph"/>
      </w:pPr>
    </w:p>
    <w:p w:rsidR="00093C1C" w:rsidRDefault="00093C1C" w:rsidP="00022FED">
      <w:pPr>
        <w:pStyle w:val="ListParagraph"/>
        <w:numPr>
          <w:ilvl w:val="0"/>
          <w:numId w:val="1"/>
        </w:numPr>
        <w:ind w:left="360"/>
        <w:jc w:val="both"/>
      </w:pPr>
      <w:r>
        <w:t>Did you use 60.6 Hz as the threshold instead of 60.4 Hz?  Shouldn’t we leave some margin?</w:t>
      </w:r>
    </w:p>
    <w:p w:rsidR="00AA1580" w:rsidRPr="00335331" w:rsidRDefault="00335331" w:rsidP="00335331">
      <w:pPr>
        <w:ind w:left="360"/>
        <w:jc w:val="both"/>
        <w:rPr>
          <w:color w:val="ED7D31" w:themeColor="accent2"/>
        </w:rPr>
      </w:pPr>
      <w:r w:rsidRPr="00335331">
        <w:rPr>
          <w:color w:val="ED7D31" w:themeColor="accent2"/>
        </w:rPr>
        <w:t>Response:</w:t>
      </w:r>
    </w:p>
    <w:p w:rsidR="00AA1580" w:rsidRDefault="006E7DE8" w:rsidP="00335331">
      <w:pPr>
        <w:ind w:left="360"/>
        <w:jc w:val="both"/>
        <w:rPr>
          <w:color w:val="ED7D31" w:themeColor="accent2"/>
        </w:rPr>
      </w:pPr>
      <w:r w:rsidRPr="00217F17">
        <w:rPr>
          <w:color w:val="ED7D31" w:themeColor="accent2"/>
        </w:rPr>
        <w:t xml:space="preserve">Operating Guide Section 2.2.6 below requires Generators </w:t>
      </w:r>
      <w:r w:rsidR="005D05E5" w:rsidRPr="00217F17">
        <w:rPr>
          <w:color w:val="ED7D31" w:themeColor="accent2"/>
        </w:rPr>
        <w:t xml:space="preserve">with over-frequency relays to meet the requirement below. </w:t>
      </w:r>
      <w:r w:rsidR="002903FE">
        <w:rPr>
          <w:color w:val="ED7D31" w:themeColor="accent2"/>
        </w:rPr>
        <w:t xml:space="preserve">ERCOT did not add a margin, because of the time delay associated with generator tripping if frequency exceeds 60.6 Hz. </w:t>
      </w:r>
      <w:r w:rsidR="005D05E5" w:rsidRPr="00217F17">
        <w:rPr>
          <w:color w:val="ED7D31" w:themeColor="accent2"/>
        </w:rPr>
        <w:t>The max RRS requirement for 2017 is 2808 MW</w:t>
      </w:r>
      <w:r w:rsidR="00F00415">
        <w:rPr>
          <w:color w:val="ED7D31" w:themeColor="accent2"/>
        </w:rPr>
        <w:t>.</w:t>
      </w:r>
      <w:r w:rsidR="005D05E5" w:rsidRPr="00217F17">
        <w:rPr>
          <w:color w:val="ED7D31" w:themeColor="accent2"/>
        </w:rPr>
        <w:t xml:space="preserve"> </w:t>
      </w:r>
      <w:r w:rsidR="00F00415">
        <w:rPr>
          <w:color w:val="ED7D31" w:themeColor="accent2"/>
        </w:rPr>
        <w:t>T</w:t>
      </w:r>
      <w:r w:rsidR="005D05E5" w:rsidRPr="00217F17">
        <w:rPr>
          <w:color w:val="ED7D31" w:themeColor="accent2"/>
        </w:rPr>
        <w:t xml:space="preserve">he minimum RRS Gen requirement from Generators automatically </w:t>
      </w:r>
      <w:r w:rsidR="00F00415">
        <w:rPr>
          <w:color w:val="ED7D31" w:themeColor="accent2"/>
        </w:rPr>
        <w:t xml:space="preserve">enforces a </w:t>
      </w:r>
      <w:r w:rsidR="005D05E5" w:rsidRPr="00217F17">
        <w:rPr>
          <w:color w:val="ED7D31" w:themeColor="accent2"/>
        </w:rPr>
        <w:t>limit</w:t>
      </w:r>
      <w:r w:rsidR="00F00415">
        <w:rPr>
          <w:color w:val="ED7D31" w:themeColor="accent2"/>
        </w:rPr>
        <w:t xml:space="preserve"> on</w:t>
      </w:r>
      <w:r w:rsidR="005D05E5" w:rsidRPr="00217F17">
        <w:rPr>
          <w:color w:val="ED7D31" w:themeColor="accent2"/>
        </w:rPr>
        <w:t xml:space="preserve"> how much LRs can participate. </w:t>
      </w:r>
      <w:r w:rsidR="00F00415">
        <w:rPr>
          <w:color w:val="ED7D31" w:themeColor="accent2"/>
        </w:rPr>
        <w:t>I</w:t>
      </w:r>
      <w:r w:rsidR="00F00415" w:rsidRPr="00217F17">
        <w:rPr>
          <w:color w:val="ED7D31" w:themeColor="accent2"/>
        </w:rPr>
        <w:t xml:space="preserve">f 50% limit were to be removed </w:t>
      </w:r>
      <w:r w:rsidR="00F00415">
        <w:rPr>
          <w:color w:val="ED7D31" w:themeColor="accent2"/>
        </w:rPr>
        <w:t>f</w:t>
      </w:r>
      <w:r w:rsidR="005D05E5" w:rsidRPr="00217F17">
        <w:rPr>
          <w:color w:val="ED7D31" w:themeColor="accent2"/>
        </w:rPr>
        <w:t>or 2017</w:t>
      </w:r>
      <w:r w:rsidR="00F00415">
        <w:rPr>
          <w:color w:val="ED7D31" w:themeColor="accent2"/>
        </w:rPr>
        <w:t>,</w:t>
      </w:r>
      <w:r w:rsidR="005D05E5" w:rsidRPr="00217F17">
        <w:rPr>
          <w:color w:val="ED7D31" w:themeColor="accent2"/>
        </w:rPr>
        <w:t xml:space="preserve"> LRs would be limited to slightly below 59%. See below for 2017 minimum ancillary service requirements</w:t>
      </w:r>
      <w:r w:rsidR="00217F17" w:rsidRPr="00217F17">
        <w:rPr>
          <w:color w:val="ED7D31" w:themeColor="accent2"/>
        </w:rPr>
        <w:t xml:space="preserve">. </w:t>
      </w:r>
    </w:p>
    <w:p w:rsidR="005432E8" w:rsidRPr="00217F17" w:rsidRDefault="005432E8" w:rsidP="00335331">
      <w:pPr>
        <w:ind w:left="360"/>
        <w:jc w:val="both"/>
        <w:rPr>
          <w:color w:val="ED7D31" w:themeColor="accent2"/>
        </w:rPr>
      </w:pPr>
    </w:p>
    <w:p w:rsidR="005D05E5" w:rsidRDefault="00934528" w:rsidP="00335331">
      <w:pPr>
        <w:pStyle w:val="ListParagraph"/>
        <w:ind w:left="360"/>
      </w:pPr>
      <w:hyperlink r:id="rId18" w:history="1">
        <w:r w:rsidR="00F84EE0">
          <w:rPr>
            <w:rStyle w:val="Hyperlink"/>
          </w:rPr>
          <w:t>ERCOT Methodology for Determining Ancillary Service Requirements</w:t>
        </w:r>
      </w:hyperlink>
      <w:r w:rsidR="005D05E5">
        <w:t xml:space="preserve"> </w:t>
      </w:r>
    </w:p>
    <w:p w:rsidR="006E7DE8" w:rsidRDefault="006E7DE8" w:rsidP="007F1E73">
      <w:pPr>
        <w:pStyle w:val="ListParagraph"/>
        <w:ind w:left="360"/>
      </w:pPr>
    </w:p>
    <w:p w:rsidR="00B002B3" w:rsidRDefault="006E7DE8" w:rsidP="007F1E73">
      <w:pPr>
        <w:pStyle w:val="ListParagraph"/>
        <w:ind w:left="360"/>
        <w:jc w:val="center"/>
      </w:pPr>
      <w:r>
        <w:rPr>
          <w:noProof/>
        </w:rPr>
        <w:drawing>
          <wp:inline distT="0" distB="0" distL="0" distR="0" wp14:anchorId="3A9B862D" wp14:editId="7B7744E9">
            <wp:extent cx="4507992" cy="2162487"/>
            <wp:effectExtent l="19050" t="19050" r="26035" b="285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507992" cy="2162487"/>
                    </a:xfrm>
                    <a:prstGeom prst="rect">
                      <a:avLst/>
                    </a:prstGeom>
                    <a:ln w="12700">
                      <a:solidFill>
                        <a:schemeClr val="accent1"/>
                      </a:solidFill>
                    </a:ln>
                  </pic:spPr>
                </pic:pic>
              </a:graphicData>
            </a:graphic>
          </wp:inline>
        </w:drawing>
      </w:r>
    </w:p>
    <w:p w:rsidR="00B002B3" w:rsidRDefault="00B002B3" w:rsidP="00B002B3"/>
    <w:p w:rsidR="00093C1C" w:rsidRDefault="00093C1C" w:rsidP="00022FED">
      <w:pPr>
        <w:pStyle w:val="ListParagraph"/>
        <w:numPr>
          <w:ilvl w:val="0"/>
          <w:numId w:val="1"/>
        </w:numPr>
        <w:ind w:left="360"/>
        <w:jc w:val="both"/>
      </w:pPr>
      <w:r>
        <w:lastRenderedPageBreak/>
        <w:t>In this study, you identify 985 MW generation loss is what is needed to cause the system frequency drop below 59.7 Hz. Then you use 985 MW generation loss for all the studies. Is this understanding right? If yes, we would like to see what happens if 2750 MW generation is lost. We would expect the frequency nadir goes lower and more LRs are tripped, which will cause the overshoot to be higher.  Is there a relationship between frequency nadir and the amount of activated LRs?</w:t>
      </w:r>
    </w:p>
    <w:p w:rsidR="00217F17" w:rsidRPr="00335331" w:rsidRDefault="00335331" w:rsidP="00335331">
      <w:pPr>
        <w:ind w:left="360"/>
        <w:jc w:val="both"/>
        <w:rPr>
          <w:color w:val="ED7D31" w:themeColor="accent2"/>
        </w:rPr>
      </w:pPr>
      <w:r w:rsidRPr="00335331">
        <w:rPr>
          <w:color w:val="ED7D31" w:themeColor="accent2"/>
        </w:rPr>
        <w:t>Response:</w:t>
      </w:r>
    </w:p>
    <w:p w:rsidR="00217F17" w:rsidRDefault="00217F17" w:rsidP="00335331">
      <w:pPr>
        <w:ind w:left="360"/>
        <w:jc w:val="both"/>
        <w:rPr>
          <w:color w:val="ED7D31" w:themeColor="accent2"/>
        </w:rPr>
      </w:pPr>
      <w:r w:rsidRPr="00217F17">
        <w:rPr>
          <w:color w:val="ED7D31" w:themeColor="accent2"/>
        </w:rPr>
        <w:t xml:space="preserve">In the overshoot study we identified that loss of 985 MW would be enough to cause frequency to reach 59.70 Hz </w:t>
      </w:r>
      <w:r w:rsidR="005E3F01">
        <w:rPr>
          <w:color w:val="ED7D31" w:themeColor="accent2"/>
        </w:rPr>
        <w:t>to</w:t>
      </w:r>
      <w:r w:rsidRPr="00217F17">
        <w:rPr>
          <w:color w:val="ED7D31" w:themeColor="accent2"/>
        </w:rPr>
        <w:t xml:space="preserve"> trigger </w:t>
      </w:r>
      <w:r w:rsidR="005E3F01">
        <w:rPr>
          <w:color w:val="ED7D31" w:themeColor="accent2"/>
        </w:rPr>
        <w:t xml:space="preserve">tripping of </w:t>
      </w:r>
      <w:r w:rsidRPr="00217F17">
        <w:rPr>
          <w:color w:val="ED7D31" w:themeColor="accent2"/>
        </w:rPr>
        <w:t>LRs</w:t>
      </w:r>
      <w:r w:rsidR="005E3F01">
        <w:rPr>
          <w:color w:val="ED7D31" w:themeColor="accent2"/>
        </w:rPr>
        <w:t xml:space="preserve"> and lead to a high frequency overshoot</w:t>
      </w:r>
      <w:r w:rsidRPr="00217F17">
        <w:rPr>
          <w:color w:val="ED7D31" w:themeColor="accent2"/>
        </w:rPr>
        <w:t xml:space="preserve">. </w:t>
      </w:r>
      <w:r w:rsidR="005E3F01">
        <w:rPr>
          <w:color w:val="ED7D31" w:themeColor="accent2"/>
        </w:rPr>
        <w:t xml:space="preserve">The frequency results in the study report </w:t>
      </w:r>
      <w:r w:rsidRPr="00217F17">
        <w:rPr>
          <w:color w:val="ED7D31" w:themeColor="accent2"/>
        </w:rPr>
        <w:t>shows the trend of overshoot for all scenario</w:t>
      </w:r>
      <w:r w:rsidR="007F1E73">
        <w:rPr>
          <w:color w:val="ED7D31" w:themeColor="accent2"/>
        </w:rPr>
        <w:t>s</w:t>
      </w:r>
      <w:r w:rsidRPr="00217F17">
        <w:rPr>
          <w:color w:val="ED7D31" w:themeColor="accent2"/>
        </w:rPr>
        <w:t xml:space="preserve"> where 2200 MW, 2400 MW and 2638 MW of LRs tripped. That was the maximum LRs that was modeled in the case. If we consider 2750 MW trip then there would be no overshoot concerns. </w:t>
      </w:r>
    </w:p>
    <w:p w:rsidR="002B5086" w:rsidRPr="00217F17" w:rsidRDefault="002B5086" w:rsidP="00335331">
      <w:pPr>
        <w:ind w:left="360"/>
        <w:jc w:val="both"/>
        <w:rPr>
          <w:color w:val="ED7D31" w:themeColor="accent2"/>
        </w:rPr>
      </w:pPr>
    </w:p>
    <w:p w:rsidR="00093C1C" w:rsidRDefault="00093C1C" w:rsidP="00022FED">
      <w:pPr>
        <w:pStyle w:val="ListParagraph"/>
        <w:numPr>
          <w:ilvl w:val="0"/>
          <w:numId w:val="1"/>
        </w:numPr>
        <w:ind w:left="360"/>
        <w:jc w:val="both"/>
      </w:pPr>
      <w:r>
        <w:t>The overshoot is mainly caused by LRs, but the generator governor also has some effects on it. Do you have a way to separate the effects of LRs and governors?</w:t>
      </w:r>
    </w:p>
    <w:p w:rsidR="00FF7E00" w:rsidRPr="00335331" w:rsidRDefault="00335331" w:rsidP="00335331">
      <w:pPr>
        <w:ind w:left="360"/>
        <w:jc w:val="both"/>
        <w:rPr>
          <w:color w:val="ED7D31" w:themeColor="accent2"/>
        </w:rPr>
      </w:pPr>
      <w:r w:rsidRPr="00335331">
        <w:rPr>
          <w:color w:val="ED7D31" w:themeColor="accent2"/>
        </w:rPr>
        <w:t>Response:</w:t>
      </w:r>
    </w:p>
    <w:p w:rsidR="00FF7E00" w:rsidRDefault="00FF7E00" w:rsidP="00335331">
      <w:pPr>
        <w:ind w:left="360"/>
        <w:jc w:val="both"/>
        <w:rPr>
          <w:color w:val="ED7D31" w:themeColor="accent2"/>
        </w:rPr>
      </w:pPr>
      <w:r w:rsidRPr="00F566C3">
        <w:rPr>
          <w:color w:val="ED7D31" w:themeColor="accent2"/>
        </w:rPr>
        <w:t>Governor response would be proportional to the frequency deviation</w:t>
      </w:r>
      <w:r w:rsidR="00D04CAE">
        <w:rPr>
          <w:color w:val="ED7D31" w:themeColor="accent2"/>
        </w:rPr>
        <w:t>;</w:t>
      </w:r>
      <w:r w:rsidRPr="00F566C3">
        <w:rPr>
          <w:color w:val="ED7D31" w:themeColor="accent2"/>
        </w:rPr>
        <w:t xml:space="preserve"> it would </w:t>
      </w:r>
      <w:r w:rsidR="00AA4F92">
        <w:rPr>
          <w:color w:val="ED7D31" w:themeColor="accent2"/>
        </w:rPr>
        <w:t xml:space="preserve">not </w:t>
      </w:r>
      <w:r w:rsidR="00AA4F92" w:rsidRPr="00F566C3">
        <w:rPr>
          <w:color w:val="ED7D31" w:themeColor="accent2"/>
        </w:rPr>
        <w:t>contribute</w:t>
      </w:r>
      <w:r w:rsidR="00D04CAE">
        <w:rPr>
          <w:color w:val="ED7D31" w:themeColor="accent2"/>
        </w:rPr>
        <w:t xml:space="preserve"> to the</w:t>
      </w:r>
      <w:r w:rsidRPr="00F566C3">
        <w:rPr>
          <w:color w:val="ED7D31" w:themeColor="accent2"/>
        </w:rPr>
        <w:t xml:space="preserve"> overshoot. </w:t>
      </w:r>
    </w:p>
    <w:p w:rsidR="00B002B3" w:rsidRDefault="00B002B3" w:rsidP="002B5086">
      <w:pPr>
        <w:ind w:left="360"/>
        <w:jc w:val="both"/>
      </w:pPr>
    </w:p>
    <w:p w:rsidR="00093C1C" w:rsidRDefault="00093C1C" w:rsidP="00022FED">
      <w:pPr>
        <w:pStyle w:val="ListParagraph"/>
        <w:numPr>
          <w:ilvl w:val="0"/>
          <w:numId w:val="1"/>
        </w:numPr>
        <w:ind w:left="360"/>
        <w:jc w:val="both"/>
      </w:pPr>
      <w:r>
        <w:t>On page 7, it is mentioned “this conclusion is conservative from two aspects.”  We do not fully understand aspect 2. In the simulation, the generators should not be tripped if the frequency is less than 60.6 Hz, which is the same as the real generator over-frequency setting.  Why does it make the results more conservative?</w:t>
      </w:r>
    </w:p>
    <w:p w:rsidR="006A70FF" w:rsidRPr="00335331" w:rsidRDefault="00335331" w:rsidP="00335331">
      <w:pPr>
        <w:ind w:left="360"/>
        <w:jc w:val="both"/>
        <w:rPr>
          <w:color w:val="ED7D31" w:themeColor="accent2"/>
        </w:rPr>
      </w:pPr>
      <w:r w:rsidRPr="00335331">
        <w:rPr>
          <w:color w:val="ED7D31" w:themeColor="accent2"/>
        </w:rPr>
        <w:t>Response:</w:t>
      </w:r>
    </w:p>
    <w:p w:rsidR="007E21A9" w:rsidRDefault="007E21A9" w:rsidP="00335331">
      <w:pPr>
        <w:ind w:left="360"/>
        <w:jc w:val="both"/>
        <w:rPr>
          <w:color w:val="ED7D31" w:themeColor="accent2"/>
        </w:rPr>
      </w:pPr>
      <w:r>
        <w:rPr>
          <w:color w:val="ED7D31" w:themeColor="accent2"/>
        </w:rPr>
        <w:t xml:space="preserve">Generators over-frequency trip settings has to meet at a minimum the requirement below from the </w:t>
      </w:r>
      <w:r w:rsidR="00B002B3">
        <w:rPr>
          <w:color w:val="ED7D31" w:themeColor="accent2"/>
        </w:rPr>
        <w:t>O</w:t>
      </w:r>
      <w:r>
        <w:rPr>
          <w:color w:val="ED7D31" w:themeColor="accent2"/>
        </w:rPr>
        <w:t xml:space="preserve">perating </w:t>
      </w:r>
      <w:r w:rsidR="00B002B3">
        <w:rPr>
          <w:color w:val="ED7D31" w:themeColor="accent2"/>
        </w:rPr>
        <w:t>G</w:t>
      </w:r>
      <w:r>
        <w:rPr>
          <w:color w:val="ED7D31" w:themeColor="accent2"/>
        </w:rPr>
        <w:t xml:space="preserve">uide </w:t>
      </w:r>
      <w:r w:rsidR="00B002B3">
        <w:rPr>
          <w:color w:val="ED7D31" w:themeColor="accent2"/>
        </w:rPr>
        <w:t>S</w:t>
      </w:r>
      <w:r>
        <w:rPr>
          <w:color w:val="ED7D31" w:themeColor="accent2"/>
        </w:rPr>
        <w:t xml:space="preserve">ection 2.2.6. ERCOT study criteria were designed for frequency overshoot to not exceed 60.60 Hz post LRs activation. The overshoot study that ERCOT conducted had frequency stay below 60.40 Hz. Beyond 60.60 Hz, the Generators are required to continuously operate for at least 9 minutes. </w:t>
      </w:r>
    </w:p>
    <w:p w:rsidR="00B002B3" w:rsidRDefault="00B002B3" w:rsidP="00335331">
      <w:pPr>
        <w:ind w:left="360"/>
        <w:jc w:val="both"/>
        <w:rPr>
          <w:color w:val="ED7D31" w:themeColor="accent2"/>
        </w:rPr>
      </w:pPr>
    </w:p>
    <w:p w:rsidR="007E21A9" w:rsidRDefault="007E21A9" w:rsidP="002B5086">
      <w:pPr>
        <w:ind w:left="360"/>
        <w:jc w:val="center"/>
        <w:rPr>
          <w:color w:val="ED7D31" w:themeColor="accent2"/>
        </w:rPr>
      </w:pPr>
      <w:r>
        <w:rPr>
          <w:noProof/>
        </w:rPr>
        <w:lastRenderedPageBreak/>
        <w:drawing>
          <wp:inline distT="0" distB="0" distL="0" distR="0" wp14:anchorId="4FD8A6F6" wp14:editId="458A0881">
            <wp:extent cx="4505325" cy="2161208"/>
            <wp:effectExtent l="19050" t="19050" r="9525" b="1079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518616" cy="2167584"/>
                    </a:xfrm>
                    <a:prstGeom prst="rect">
                      <a:avLst/>
                    </a:prstGeom>
                    <a:ln w="12700">
                      <a:solidFill>
                        <a:schemeClr val="accent1"/>
                      </a:solidFill>
                    </a:ln>
                  </pic:spPr>
                </pic:pic>
              </a:graphicData>
            </a:graphic>
          </wp:inline>
        </w:drawing>
      </w:r>
    </w:p>
    <w:p w:rsidR="007E21A9" w:rsidRDefault="007E21A9" w:rsidP="00335331">
      <w:pPr>
        <w:ind w:left="360"/>
        <w:jc w:val="both"/>
      </w:pPr>
    </w:p>
    <w:p w:rsidR="00093C1C" w:rsidRDefault="00093C1C" w:rsidP="00022FED">
      <w:pPr>
        <w:pStyle w:val="ListParagraph"/>
        <w:numPr>
          <w:ilvl w:val="0"/>
          <w:numId w:val="1"/>
        </w:numPr>
        <w:ind w:left="360"/>
        <w:jc w:val="both"/>
      </w:pPr>
      <w:r>
        <w:t>What is the connection between the Minimum Requirement of RRS study and Frequency Overshoot Study?</w:t>
      </w:r>
    </w:p>
    <w:p w:rsidR="00335331" w:rsidRDefault="00335331" w:rsidP="00335331">
      <w:pPr>
        <w:ind w:left="360"/>
        <w:jc w:val="both"/>
        <w:rPr>
          <w:color w:val="ED7D31" w:themeColor="accent2"/>
        </w:rPr>
      </w:pPr>
      <w:r w:rsidRPr="00335331">
        <w:rPr>
          <w:color w:val="ED7D31" w:themeColor="accent2"/>
        </w:rPr>
        <w:t>Response:</w:t>
      </w:r>
    </w:p>
    <w:p w:rsidR="001F64A8" w:rsidRDefault="00F566C3" w:rsidP="00335331">
      <w:pPr>
        <w:ind w:left="360"/>
        <w:jc w:val="both"/>
        <w:rPr>
          <w:color w:val="ED7D31" w:themeColor="accent2"/>
        </w:rPr>
      </w:pPr>
      <w:r w:rsidRPr="00F566C3">
        <w:rPr>
          <w:color w:val="ED7D31" w:themeColor="accent2"/>
        </w:rPr>
        <w:t xml:space="preserve">The RRS studies provides guidance on combination of Generation RRS and the RRS provided by LRs to keep the frequency </w:t>
      </w:r>
      <w:r w:rsidR="00D04CAE">
        <w:rPr>
          <w:color w:val="ED7D31" w:themeColor="accent2"/>
        </w:rPr>
        <w:t xml:space="preserve">nadir </w:t>
      </w:r>
      <w:r w:rsidRPr="00F566C3">
        <w:rPr>
          <w:color w:val="ED7D31" w:themeColor="accent2"/>
        </w:rPr>
        <w:t xml:space="preserve">above 59.40 Hz. The overshoot study uses the same case to see if there is overshoot concern if a smaller unit trip causes LRs to trip. </w:t>
      </w:r>
    </w:p>
    <w:p w:rsidR="002B5086" w:rsidRDefault="002B5086" w:rsidP="00335331">
      <w:pPr>
        <w:ind w:left="360"/>
        <w:jc w:val="both"/>
        <w:rPr>
          <w:color w:val="ED7D31" w:themeColor="accent2"/>
        </w:rPr>
      </w:pPr>
    </w:p>
    <w:p w:rsidR="00093C1C" w:rsidRDefault="002D0910" w:rsidP="00022FED">
      <w:pPr>
        <w:pStyle w:val="ListParagraph"/>
        <w:numPr>
          <w:ilvl w:val="0"/>
          <w:numId w:val="1"/>
        </w:numPr>
        <w:ind w:left="360"/>
        <w:jc w:val="both"/>
      </w:pPr>
      <w:r>
        <w:t>It was shown that 4095 MW is needed with an inertia of 100 GW*s to bring the frequency overshoot to 60.6 Hz. How close is 4095 MW to the actual number of LR’s qualified to provide RRS?</w:t>
      </w:r>
    </w:p>
    <w:p w:rsidR="00335331" w:rsidRDefault="00335331" w:rsidP="00335331">
      <w:pPr>
        <w:pStyle w:val="ListParagraph"/>
        <w:ind w:left="360"/>
        <w:rPr>
          <w:color w:val="FF0000"/>
          <w:highlight w:val="yellow"/>
        </w:rPr>
      </w:pPr>
      <w:r w:rsidRPr="00335331">
        <w:rPr>
          <w:color w:val="ED7D31" w:themeColor="accent2"/>
        </w:rPr>
        <w:t>Response:</w:t>
      </w:r>
    </w:p>
    <w:p w:rsidR="002D0910" w:rsidRPr="0020101D" w:rsidRDefault="0020101D" w:rsidP="0020101D">
      <w:pPr>
        <w:ind w:left="360"/>
        <w:jc w:val="both"/>
        <w:rPr>
          <w:color w:val="ED7D31" w:themeColor="accent2"/>
        </w:rPr>
      </w:pPr>
      <w:r>
        <w:rPr>
          <w:color w:val="ED7D31" w:themeColor="accent2"/>
        </w:rPr>
        <w:t>T</w:t>
      </w:r>
      <w:r w:rsidR="00CD0792" w:rsidRPr="0020101D">
        <w:rPr>
          <w:color w:val="ED7D31" w:themeColor="accent2"/>
        </w:rPr>
        <w:t xml:space="preserve">he </w:t>
      </w:r>
      <w:r>
        <w:rPr>
          <w:color w:val="ED7D31" w:themeColor="accent2"/>
        </w:rPr>
        <w:t xml:space="preserve">sum of </w:t>
      </w:r>
      <w:r w:rsidR="00CD0792" w:rsidRPr="0020101D">
        <w:rPr>
          <w:color w:val="ED7D31" w:themeColor="accent2"/>
        </w:rPr>
        <w:t xml:space="preserve">maximum interruptible load that is registered for every qualified Load Resource </w:t>
      </w:r>
      <w:r>
        <w:rPr>
          <w:color w:val="ED7D31" w:themeColor="accent2"/>
        </w:rPr>
        <w:t xml:space="preserve">is </w:t>
      </w:r>
      <w:r w:rsidR="00CD0792" w:rsidRPr="0020101D">
        <w:rPr>
          <w:color w:val="ED7D31" w:themeColor="accent2"/>
        </w:rPr>
        <w:t>about 4230 MW</w:t>
      </w:r>
      <w:r w:rsidR="00B0066C" w:rsidRPr="0020101D">
        <w:rPr>
          <w:color w:val="ED7D31" w:themeColor="accent2"/>
        </w:rPr>
        <w:t xml:space="preserve">. </w:t>
      </w:r>
      <w:r w:rsidRPr="0020101D">
        <w:rPr>
          <w:color w:val="ED7D31" w:themeColor="accent2"/>
        </w:rPr>
        <w:t>The chart</w:t>
      </w:r>
      <w:r w:rsidR="00B0066C" w:rsidRPr="0020101D">
        <w:rPr>
          <w:color w:val="ED7D31" w:themeColor="accent2"/>
        </w:rPr>
        <w:t xml:space="preserve"> below shows</w:t>
      </w:r>
      <w:r>
        <w:rPr>
          <w:color w:val="ED7D31" w:themeColor="accent2"/>
        </w:rPr>
        <w:t xml:space="preserve"> the additional load</w:t>
      </w:r>
      <w:r w:rsidR="00B0066C" w:rsidRPr="0020101D">
        <w:rPr>
          <w:color w:val="ED7D31" w:themeColor="accent2"/>
        </w:rPr>
        <w:t xml:space="preserve"> </w:t>
      </w:r>
      <w:r>
        <w:rPr>
          <w:color w:val="ED7D31" w:themeColor="accent2"/>
        </w:rPr>
        <w:t xml:space="preserve">that would be </w:t>
      </w:r>
      <w:r w:rsidR="00B0066C" w:rsidRPr="0020101D">
        <w:rPr>
          <w:color w:val="ED7D31" w:themeColor="accent2"/>
        </w:rPr>
        <w:t>activated</w:t>
      </w:r>
      <w:r>
        <w:rPr>
          <w:color w:val="ED7D31" w:themeColor="accent2"/>
        </w:rPr>
        <w:t>/tripped</w:t>
      </w:r>
      <w:r w:rsidR="00B0066C" w:rsidRPr="0020101D">
        <w:rPr>
          <w:color w:val="ED7D31" w:themeColor="accent2"/>
        </w:rPr>
        <w:t xml:space="preserve"> above and beyond </w:t>
      </w:r>
      <w:r>
        <w:rPr>
          <w:color w:val="ED7D31" w:themeColor="accent2"/>
        </w:rPr>
        <w:t xml:space="preserve">this </w:t>
      </w:r>
      <w:r w:rsidR="00B0066C" w:rsidRPr="0020101D">
        <w:rPr>
          <w:color w:val="ED7D31" w:themeColor="accent2"/>
        </w:rPr>
        <w:t>RRS contribution</w:t>
      </w:r>
      <w:r>
        <w:rPr>
          <w:color w:val="ED7D31" w:themeColor="accent2"/>
        </w:rPr>
        <w:t xml:space="preserve"> from Load Resources</w:t>
      </w:r>
      <w:r w:rsidR="00B0066C" w:rsidRPr="0020101D">
        <w:rPr>
          <w:color w:val="ED7D31" w:themeColor="accent2"/>
        </w:rPr>
        <w:t xml:space="preserve">. </w:t>
      </w:r>
    </w:p>
    <w:p w:rsidR="0020101D" w:rsidRDefault="0020101D" w:rsidP="00335331">
      <w:pPr>
        <w:pStyle w:val="ListParagraph"/>
        <w:ind w:left="360"/>
        <w:rPr>
          <w:color w:val="FF0000"/>
          <w:highlight w:val="yellow"/>
        </w:rPr>
      </w:pPr>
    </w:p>
    <w:p w:rsidR="00B0066C" w:rsidRDefault="0020101D" w:rsidP="0020101D">
      <w:pPr>
        <w:pStyle w:val="ListParagraph"/>
        <w:ind w:left="360"/>
        <w:jc w:val="center"/>
        <w:rPr>
          <w:color w:val="FF0000"/>
        </w:rPr>
      </w:pPr>
      <w:r w:rsidRPr="0020101D">
        <w:rPr>
          <w:noProof/>
          <w:color w:val="FF0000"/>
        </w:rPr>
        <w:drawing>
          <wp:inline distT="0" distB="0" distL="0" distR="0" wp14:anchorId="5B750E3C" wp14:editId="34AFF7AD">
            <wp:extent cx="4782312" cy="3019074"/>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82312" cy="3019074"/>
                    </a:xfrm>
                    <a:prstGeom prst="rect">
                      <a:avLst/>
                    </a:prstGeom>
                    <a:noFill/>
                  </pic:spPr>
                </pic:pic>
              </a:graphicData>
            </a:graphic>
          </wp:inline>
        </w:drawing>
      </w:r>
    </w:p>
    <w:p w:rsidR="00B0066C" w:rsidRDefault="00B0066C" w:rsidP="002D0910">
      <w:pPr>
        <w:pStyle w:val="ListParagraph"/>
      </w:pPr>
    </w:p>
    <w:p w:rsidR="002D0910" w:rsidRDefault="002D0910" w:rsidP="00022FED">
      <w:pPr>
        <w:pStyle w:val="ListParagraph"/>
        <w:numPr>
          <w:ilvl w:val="0"/>
          <w:numId w:val="1"/>
        </w:numPr>
        <w:ind w:left="360"/>
        <w:jc w:val="both"/>
      </w:pPr>
      <w:r>
        <w:lastRenderedPageBreak/>
        <w:t>Regarding the modeling of LR’s, is it realistic to assume that all LR’s would trip with the same time delay or at the same frequency level?</w:t>
      </w:r>
    </w:p>
    <w:p w:rsidR="00F566C3" w:rsidRPr="00335331" w:rsidRDefault="00335331" w:rsidP="00335331">
      <w:pPr>
        <w:ind w:left="360"/>
        <w:jc w:val="both"/>
        <w:rPr>
          <w:color w:val="ED7D31" w:themeColor="accent2"/>
        </w:rPr>
      </w:pPr>
      <w:r w:rsidRPr="00335331">
        <w:rPr>
          <w:color w:val="ED7D31" w:themeColor="accent2"/>
        </w:rPr>
        <w:t>Response:</w:t>
      </w:r>
    </w:p>
    <w:p w:rsidR="00F566C3" w:rsidRPr="00D36425" w:rsidRDefault="00D36425" w:rsidP="00335331">
      <w:pPr>
        <w:ind w:left="360"/>
        <w:jc w:val="both"/>
        <w:rPr>
          <w:color w:val="ED7D31" w:themeColor="accent2"/>
        </w:rPr>
      </w:pPr>
      <w:r w:rsidRPr="00D36425">
        <w:rPr>
          <w:color w:val="ED7D31" w:themeColor="accent2"/>
        </w:rPr>
        <w:t>LRs providing RRS are required to set their under-frequency relays no lower than 59.70 Hz, so some portion of load resources are set at frequency slightly higher than 59.70 Hz and their response avoid tripping all the LRs.</w:t>
      </w:r>
      <w:r w:rsidR="00875EC8">
        <w:rPr>
          <w:color w:val="ED7D31" w:themeColor="accent2"/>
        </w:rPr>
        <w:t xml:space="preserve"> Not only are the frequency set-points slightly different but the delay settings are also different.  On top of that there is some sensitivity to where the Loads are located (e.g. Far West versus Coast Weather Zone, transmission connected vs distribution connected).  </w:t>
      </w:r>
      <w:r w:rsidR="00D04CAE">
        <w:rPr>
          <w:color w:val="ED7D31" w:themeColor="accent2"/>
        </w:rPr>
        <w:t>The assumption of all LRs hav</w:t>
      </w:r>
      <w:r w:rsidR="006A4AB4">
        <w:rPr>
          <w:color w:val="ED7D31" w:themeColor="accent2"/>
        </w:rPr>
        <w:t>ing</w:t>
      </w:r>
      <w:r w:rsidR="00D04CAE">
        <w:rPr>
          <w:color w:val="ED7D31" w:themeColor="accent2"/>
        </w:rPr>
        <w:t xml:space="preserve"> the same delay and the same frequency trigger level </w:t>
      </w:r>
      <w:r w:rsidR="006A4AB4">
        <w:rPr>
          <w:color w:val="ED7D31" w:themeColor="accent2"/>
        </w:rPr>
        <w:t xml:space="preserve">in the study </w:t>
      </w:r>
      <w:r w:rsidR="00D04CAE">
        <w:rPr>
          <w:color w:val="ED7D31" w:themeColor="accent2"/>
        </w:rPr>
        <w:t>would result in higher frequency overshoot</w:t>
      </w:r>
      <w:r w:rsidR="006A4AB4">
        <w:rPr>
          <w:color w:val="ED7D31" w:themeColor="accent2"/>
        </w:rPr>
        <w:t xml:space="preserve"> than would be expected in reality;</w:t>
      </w:r>
      <w:r w:rsidR="00D04CAE">
        <w:rPr>
          <w:color w:val="ED7D31" w:themeColor="accent2"/>
        </w:rPr>
        <w:t xml:space="preserve"> as a result,</w:t>
      </w:r>
      <w:r w:rsidR="006A4AB4">
        <w:rPr>
          <w:color w:val="ED7D31" w:themeColor="accent2"/>
        </w:rPr>
        <w:t xml:space="preserve"> the study</w:t>
      </w:r>
      <w:r w:rsidR="00D04CAE">
        <w:rPr>
          <w:color w:val="ED7D31" w:themeColor="accent2"/>
        </w:rPr>
        <w:t xml:space="preserve"> provide</w:t>
      </w:r>
      <w:r w:rsidR="006A4AB4">
        <w:rPr>
          <w:color w:val="ED7D31" w:themeColor="accent2"/>
        </w:rPr>
        <w:t>s</w:t>
      </w:r>
      <w:r w:rsidR="00D04CAE">
        <w:rPr>
          <w:color w:val="ED7D31" w:themeColor="accent2"/>
        </w:rPr>
        <w:t xml:space="preserve"> conservative results for frequency overshoot assessment.</w:t>
      </w:r>
      <w:r w:rsidRPr="00D36425">
        <w:rPr>
          <w:color w:val="ED7D31" w:themeColor="accent2"/>
        </w:rPr>
        <w:t xml:space="preserve"> </w:t>
      </w:r>
    </w:p>
    <w:p w:rsidR="00774B62" w:rsidRDefault="00774B62" w:rsidP="002B5086"/>
    <w:p w:rsidR="002D0910" w:rsidRDefault="002D0910" w:rsidP="00022FED">
      <w:pPr>
        <w:pStyle w:val="ListParagraph"/>
        <w:numPr>
          <w:ilvl w:val="0"/>
          <w:numId w:val="1"/>
        </w:numPr>
        <w:ind w:left="360"/>
        <w:jc w:val="both"/>
      </w:pPr>
      <w:r>
        <w:t>Which specific generators were tripped that total 985 MW? What would happen if generators that carry PFR capabilities were tripped?</w:t>
      </w:r>
    </w:p>
    <w:p w:rsidR="00D36425" w:rsidRPr="00335331" w:rsidRDefault="00335331" w:rsidP="00335331">
      <w:pPr>
        <w:ind w:left="360"/>
        <w:jc w:val="both"/>
        <w:rPr>
          <w:color w:val="ED7D31" w:themeColor="accent2"/>
        </w:rPr>
      </w:pPr>
      <w:r w:rsidRPr="00335331">
        <w:rPr>
          <w:color w:val="ED7D31" w:themeColor="accent2"/>
        </w:rPr>
        <w:t>Response:</w:t>
      </w:r>
    </w:p>
    <w:p w:rsidR="00977A00" w:rsidRDefault="00E62A58" w:rsidP="00335331">
      <w:pPr>
        <w:ind w:left="360"/>
        <w:jc w:val="both"/>
        <w:rPr>
          <w:color w:val="ED7D31" w:themeColor="accent2"/>
        </w:rPr>
      </w:pPr>
      <w:r>
        <w:rPr>
          <w:color w:val="ED7D31" w:themeColor="accent2"/>
        </w:rPr>
        <w:t xml:space="preserve">The 985 MW total trip was simulated using </w:t>
      </w:r>
      <w:r w:rsidR="00977A00">
        <w:rPr>
          <w:color w:val="ED7D31" w:themeColor="accent2"/>
        </w:rPr>
        <w:t xml:space="preserve">Oak Grove Unit 1A (~840.5 MW) &amp; </w:t>
      </w:r>
      <w:r>
        <w:rPr>
          <w:color w:val="ED7D31" w:themeColor="accent2"/>
        </w:rPr>
        <w:t>Lamar Power Partners Combustion Turbine CT21 (~144.3 MW).</w:t>
      </w:r>
    </w:p>
    <w:p w:rsidR="00E62A58" w:rsidRDefault="00E62A58" w:rsidP="00335331">
      <w:pPr>
        <w:ind w:left="360"/>
        <w:jc w:val="both"/>
        <w:rPr>
          <w:color w:val="ED7D31" w:themeColor="accent2"/>
        </w:rPr>
      </w:pPr>
    </w:p>
    <w:p w:rsidR="00D36425" w:rsidRPr="00D36425" w:rsidRDefault="00D36425" w:rsidP="00335331">
      <w:pPr>
        <w:ind w:left="360"/>
        <w:jc w:val="both"/>
        <w:rPr>
          <w:color w:val="ED7D31" w:themeColor="accent2"/>
        </w:rPr>
      </w:pPr>
      <w:r w:rsidRPr="00D36425">
        <w:rPr>
          <w:color w:val="ED7D31" w:themeColor="accent2"/>
        </w:rPr>
        <w:t xml:space="preserve">ERCOT maintains safety margin in its studies to account of potential loss of PFR capability. In the dynamic studies ERCOT maintains frequency at or above 59.40 Hz and keeps 0.1 Hz margin above the 59.30 Hz UFLS set-point. In the dynamic study case, ERCOT deactivates all the governor models other than the ones needed to carry minimum 1150 MW of PFR making the cases further conservative. </w:t>
      </w:r>
    </w:p>
    <w:p w:rsidR="00335331" w:rsidRDefault="00335331">
      <w:pPr>
        <w:spacing w:after="160" w:line="259" w:lineRule="auto"/>
      </w:pPr>
      <w:r>
        <w:br w:type="page"/>
      </w:r>
    </w:p>
    <w:p w:rsidR="00C35B87" w:rsidRPr="004D26BF" w:rsidRDefault="00774B62" w:rsidP="004D26BF">
      <w:pPr>
        <w:jc w:val="center"/>
        <w:rPr>
          <w:b/>
          <w:smallCaps/>
          <w:sz w:val="32"/>
          <w:u w:val="single"/>
        </w:rPr>
      </w:pPr>
      <w:r w:rsidRPr="004D26BF">
        <w:rPr>
          <w:b/>
          <w:smallCaps/>
          <w:sz w:val="32"/>
          <w:u w:val="single"/>
        </w:rPr>
        <w:lastRenderedPageBreak/>
        <w:t>General Comments/Questions</w:t>
      </w:r>
    </w:p>
    <w:p w:rsidR="00774B62" w:rsidRDefault="00774B62"/>
    <w:p w:rsidR="00774B62" w:rsidRDefault="00774B62" w:rsidP="00022FED">
      <w:pPr>
        <w:pStyle w:val="ListParagraph"/>
        <w:numPr>
          <w:ilvl w:val="0"/>
          <w:numId w:val="1"/>
        </w:numPr>
        <w:ind w:left="360"/>
        <w:jc w:val="both"/>
      </w:pPr>
      <w:r w:rsidRPr="00774B62">
        <w:t>A concern back in 2007 was that ERCOT protocol allows for load to shed up to 150% of their obligation. The DWG was worried about raising the percentage of load used for RRS due to frequency overshoot caused by 150% of committed load tripping.</w:t>
      </w:r>
    </w:p>
    <w:p w:rsidR="00DE7EC9" w:rsidRDefault="00335331" w:rsidP="00335331">
      <w:pPr>
        <w:ind w:left="360"/>
        <w:jc w:val="both"/>
      </w:pPr>
      <w:r w:rsidRPr="00335331">
        <w:rPr>
          <w:color w:val="ED7D31" w:themeColor="accent2"/>
        </w:rPr>
        <w:t>Response:</w:t>
      </w:r>
    </w:p>
    <w:p w:rsidR="0031471B" w:rsidRPr="0020101D" w:rsidRDefault="0031471B" w:rsidP="0031471B">
      <w:pPr>
        <w:ind w:left="360"/>
        <w:jc w:val="both"/>
        <w:rPr>
          <w:color w:val="ED7D31" w:themeColor="accent2"/>
        </w:rPr>
      </w:pPr>
      <w:r w:rsidRPr="0031471B">
        <w:rPr>
          <w:color w:val="ED7D31" w:themeColor="accent2"/>
        </w:rPr>
        <w:t xml:space="preserve">ERCOT expects QSE’s to manage their portfolios after they receive their RRS awards and make sure that on a portfolio basis they don’t provide more than 150% of </w:t>
      </w:r>
      <w:r w:rsidR="006A4AB4" w:rsidRPr="0031471B">
        <w:rPr>
          <w:color w:val="ED7D31" w:themeColor="accent2"/>
        </w:rPr>
        <w:t>their</w:t>
      </w:r>
      <w:r w:rsidRPr="0031471B">
        <w:rPr>
          <w:color w:val="ED7D31" w:themeColor="accent2"/>
        </w:rPr>
        <w:t xml:space="preserve"> obligation. That said, ERCOT tracks the </w:t>
      </w:r>
      <w:r>
        <w:rPr>
          <w:color w:val="ED7D31" w:themeColor="accent2"/>
        </w:rPr>
        <w:t>additional load</w:t>
      </w:r>
      <w:r>
        <w:t xml:space="preserve"> </w:t>
      </w:r>
      <w:r>
        <w:rPr>
          <w:color w:val="ED7D31" w:themeColor="accent2"/>
        </w:rPr>
        <w:t xml:space="preserve">that would be </w:t>
      </w:r>
      <w:r w:rsidRPr="0020101D">
        <w:rPr>
          <w:color w:val="ED7D31" w:themeColor="accent2"/>
        </w:rPr>
        <w:t>activated</w:t>
      </w:r>
      <w:r>
        <w:rPr>
          <w:color w:val="ED7D31" w:themeColor="accent2"/>
        </w:rPr>
        <w:t>/tripped</w:t>
      </w:r>
      <w:r w:rsidRPr="0020101D">
        <w:rPr>
          <w:color w:val="ED7D31" w:themeColor="accent2"/>
        </w:rPr>
        <w:t xml:space="preserve"> above and beyond </w:t>
      </w:r>
      <w:r>
        <w:rPr>
          <w:color w:val="ED7D31" w:themeColor="accent2"/>
        </w:rPr>
        <w:t xml:space="preserve">the </w:t>
      </w:r>
      <w:r w:rsidRPr="0020101D">
        <w:rPr>
          <w:color w:val="ED7D31" w:themeColor="accent2"/>
        </w:rPr>
        <w:t>RRS</w:t>
      </w:r>
      <w:r>
        <w:rPr>
          <w:color w:val="ED7D31" w:themeColor="accent2"/>
        </w:rPr>
        <w:t xml:space="preserve"> obligation from Load Resources</w:t>
      </w:r>
      <w:r w:rsidRPr="0020101D">
        <w:rPr>
          <w:color w:val="ED7D31" w:themeColor="accent2"/>
        </w:rPr>
        <w:t xml:space="preserve">. </w:t>
      </w:r>
      <w:r>
        <w:rPr>
          <w:color w:val="ED7D31" w:themeColor="accent2"/>
        </w:rPr>
        <w:t xml:space="preserve">The box-plot below shows a trend of this excess capacity from Nov, 2016 thru Mar, 2017. On an average this value is around 120 MW. </w:t>
      </w:r>
    </w:p>
    <w:p w:rsidR="0031471B" w:rsidRPr="00977A00" w:rsidRDefault="0031471B" w:rsidP="0031471B">
      <w:pPr>
        <w:pStyle w:val="ListParagraph"/>
        <w:ind w:left="360"/>
        <w:rPr>
          <w:highlight w:val="yellow"/>
        </w:rPr>
      </w:pPr>
    </w:p>
    <w:p w:rsidR="0031471B" w:rsidRPr="00977A00" w:rsidRDefault="0031471B" w:rsidP="0031471B">
      <w:pPr>
        <w:pStyle w:val="ListParagraph"/>
        <w:ind w:left="360"/>
        <w:jc w:val="center"/>
      </w:pPr>
      <w:r w:rsidRPr="00977A00">
        <w:rPr>
          <w:noProof/>
        </w:rPr>
        <w:drawing>
          <wp:inline distT="0" distB="0" distL="0" distR="0" wp14:anchorId="5DBD868E" wp14:editId="4ADFE634">
            <wp:extent cx="4779034" cy="3017004"/>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82205" cy="3019006"/>
                    </a:xfrm>
                    <a:prstGeom prst="rect">
                      <a:avLst/>
                    </a:prstGeom>
                    <a:noFill/>
                  </pic:spPr>
                </pic:pic>
              </a:graphicData>
            </a:graphic>
          </wp:inline>
        </w:drawing>
      </w:r>
    </w:p>
    <w:p w:rsidR="00774B62" w:rsidRDefault="00774B62" w:rsidP="00774B62"/>
    <w:p w:rsidR="00774B62" w:rsidRDefault="00774B62" w:rsidP="00022FED">
      <w:pPr>
        <w:pStyle w:val="ListParagraph"/>
        <w:numPr>
          <w:ilvl w:val="0"/>
          <w:numId w:val="1"/>
        </w:numPr>
        <w:ind w:left="360"/>
        <w:jc w:val="both"/>
      </w:pPr>
      <w:r>
        <w:t>We</w:t>
      </w:r>
      <w:r w:rsidRPr="00774B62">
        <w:t xml:space="preserve"> didn’t see any benchmarking done in the ERCOT study. </w:t>
      </w:r>
      <w:r>
        <w:t>Has ERCOT</w:t>
      </w:r>
      <w:r w:rsidRPr="00774B62">
        <w:t xml:space="preserve"> studied actual event data to analyze how the wind would perform for an under- or over-frequency event?  We did a lot of benchmarking and governor tuning in 2007.</w:t>
      </w:r>
    </w:p>
    <w:p w:rsidR="00DE7EC9" w:rsidRPr="00335331" w:rsidRDefault="00335331" w:rsidP="00335331">
      <w:pPr>
        <w:ind w:left="360"/>
        <w:jc w:val="both"/>
        <w:rPr>
          <w:color w:val="ED7D31" w:themeColor="accent2"/>
        </w:rPr>
      </w:pPr>
      <w:r w:rsidRPr="00335331">
        <w:rPr>
          <w:color w:val="ED7D31" w:themeColor="accent2"/>
        </w:rPr>
        <w:t>Response:</w:t>
      </w:r>
    </w:p>
    <w:p w:rsidR="00A31686" w:rsidRDefault="00D04CAE" w:rsidP="00D04CAE">
      <w:pPr>
        <w:ind w:firstLine="360"/>
        <w:jc w:val="both"/>
        <w:rPr>
          <w:color w:val="ED7D31" w:themeColor="accent2"/>
        </w:rPr>
      </w:pPr>
      <w:r w:rsidRPr="00022FED">
        <w:rPr>
          <w:color w:val="ED7D31" w:themeColor="accent2"/>
        </w:rPr>
        <w:t xml:space="preserve">See response to Question </w:t>
      </w:r>
      <w:r>
        <w:rPr>
          <w:color w:val="ED7D31" w:themeColor="accent2"/>
        </w:rPr>
        <w:t>11</w:t>
      </w:r>
      <w:r w:rsidRPr="00022FED">
        <w:rPr>
          <w:color w:val="ED7D31" w:themeColor="accent2"/>
        </w:rPr>
        <w:t xml:space="preserve"> above</w:t>
      </w:r>
      <w:r w:rsidR="00A31686">
        <w:rPr>
          <w:color w:val="ED7D31" w:themeColor="accent2"/>
        </w:rPr>
        <w:t xml:space="preserve">. </w:t>
      </w:r>
    </w:p>
    <w:p w:rsidR="00DE7EC9" w:rsidRPr="00093C1C" w:rsidRDefault="00DE7EC9" w:rsidP="00837DB6">
      <w:pPr>
        <w:ind w:firstLine="360"/>
      </w:pPr>
    </w:p>
    <w:p w:rsidR="00774B62" w:rsidRDefault="00774B62" w:rsidP="00022FED">
      <w:pPr>
        <w:pStyle w:val="ListParagraph"/>
        <w:numPr>
          <w:ilvl w:val="0"/>
          <w:numId w:val="1"/>
        </w:numPr>
        <w:ind w:left="360"/>
        <w:jc w:val="both"/>
      </w:pPr>
      <w:r w:rsidRPr="00774B62">
        <w:t>Should caution be taken regarding generator high frequency protection setting assumptions? We know from experience that generators sometimes don’t respond to events as simulated in off-line studies.</w:t>
      </w:r>
    </w:p>
    <w:p w:rsidR="00DE7EC9" w:rsidRDefault="00335331" w:rsidP="00335331">
      <w:pPr>
        <w:ind w:left="360"/>
        <w:jc w:val="both"/>
        <w:rPr>
          <w:color w:val="ED7D31" w:themeColor="accent2"/>
        </w:rPr>
      </w:pPr>
      <w:r w:rsidRPr="00335331">
        <w:rPr>
          <w:color w:val="ED7D31" w:themeColor="accent2"/>
        </w:rPr>
        <w:t>Response:</w:t>
      </w:r>
    </w:p>
    <w:p w:rsidR="00A31686" w:rsidRDefault="00A31686" w:rsidP="00335331">
      <w:pPr>
        <w:ind w:left="360"/>
        <w:jc w:val="both"/>
        <w:rPr>
          <w:color w:val="ED7D31" w:themeColor="accent2"/>
        </w:rPr>
      </w:pPr>
      <w:r w:rsidRPr="00022FED">
        <w:rPr>
          <w:color w:val="ED7D31" w:themeColor="accent2"/>
        </w:rPr>
        <w:t xml:space="preserve">See response to Question </w:t>
      </w:r>
      <w:r>
        <w:rPr>
          <w:color w:val="ED7D31" w:themeColor="accent2"/>
        </w:rPr>
        <w:t>15</w:t>
      </w:r>
      <w:r w:rsidRPr="00022FED">
        <w:rPr>
          <w:color w:val="ED7D31" w:themeColor="accent2"/>
        </w:rPr>
        <w:t xml:space="preserve"> above</w:t>
      </w:r>
      <w:r>
        <w:rPr>
          <w:color w:val="ED7D31" w:themeColor="accent2"/>
        </w:rPr>
        <w:t>.</w:t>
      </w:r>
    </w:p>
    <w:p w:rsidR="001F64A8" w:rsidRPr="00335331" w:rsidRDefault="001F64A8" w:rsidP="00335331">
      <w:pPr>
        <w:ind w:left="360"/>
        <w:jc w:val="both"/>
        <w:rPr>
          <w:color w:val="ED7D31" w:themeColor="accent2"/>
        </w:rPr>
      </w:pPr>
    </w:p>
    <w:p w:rsidR="00DE7EC9" w:rsidRDefault="00DE7EC9" w:rsidP="00335331">
      <w:pPr>
        <w:ind w:left="360"/>
        <w:jc w:val="both"/>
        <w:rPr>
          <w:color w:val="ED7D31" w:themeColor="accent2"/>
        </w:rPr>
      </w:pPr>
      <w:r>
        <w:rPr>
          <w:color w:val="ED7D31" w:themeColor="accent2"/>
        </w:rPr>
        <w:t xml:space="preserve">The 2008 study and the recently updated study shows that frequency does not overshoot above </w:t>
      </w:r>
      <w:r w:rsidR="002D1B7F">
        <w:rPr>
          <w:color w:val="ED7D31" w:themeColor="accent2"/>
        </w:rPr>
        <w:t>60</w:t>
      </w:r>
      <w:r>
        <w:rPr>
          <w:color w:val="ED7D31" w:themeColor="accent2"/>
        </w:rPr>
        <w:t xml:space="preserve">.40 Hz allowing a healthy margin of 0.2 Hz from 60.6 Hz. </w:t>
      </w:r>
    </w:p>
    <w:p w:rsidR="00774B62" w:rsidRDefault="00774B62" w:rsidP="00A31686">
      <w:pPr>
        <w:pStyle w:val="ListParagraph"/>
        <w:ind w:left="360"/>
      </w:pPr>
    </w:p>
    <w:p w:rsidR="00774B62" w:rsidRDefault="00774B62" w:rsidP="00022FED">
      <w:pPr>
        <w:pStyle w:val="ListParagraph"/>
        <w:numPr>
          <w:ilvl w:val="0"/>
          <w:numId w:val="1"/>
        </w:numPr>
        <w:ind w:left="360"/>
        <w:jc w:val="both"/>
      </w:pPr>
      <w:r w:rsidRPr="00774B62">
        <w:t>It would be interesting to study the high wind events</w:t>
      </w:r>
      <w:r>
        <w:t xml:space="preserve"> (from LCRA’s NPRR-815 presentation)</w:t>
      </w:r>
      <w:r w:rsidRPr="00774B62">
        <w:t xml:space="preserve"> as a NERC Extreme event (since there has been only 2 in 21 years). </w:t>
      </w:r>
      <w:r>
        <w:t>S</w:t>
      </w:r>
      <w:r w:rsidRPr="00774B62">
        <w:t>uch an event would allow for RRS and UFLS.  The study would give us a glimpse of how the system would respond to an extreme but credible event. Would the system remain secure?</w:t>
      </w:r>
    </w:p>
    <w:p w:rsidR="00F95F63" w:rsidRPr="00335331" w:rsidRDefault="00335331" w:rsidP="00335331">
      <w:pPr>
        <w:ind w:left="360"/>
        <w:jc w:val="both"/>
        <w:rPr>
          <w:color w:val="ED7D31" w:themeColor="accent2"/>
        </w:rPr>
      </w:pPr>
      <w:r w:rsidRPr="00335331">
        <w:rPr>
          <w:color w:val="ED7D31" w:themeColor="accent2"/>
        </w:rPr>
        <w:t>Response:</w:t>
      </w:r>
    </w:p>
    <w:p w:rsidR="00F95F63" w:rsidRPr="00282A85" w:rsidRDefault="001E2A66" w:rsidP="00335331">
      <w:pPr>
        <w:ind w:left="360"/>
        <w:jc w:val="both"/>
        <w:rPr>
          <w:color w:val="ED7D31" w:themeColor="accent2"/>
        </w:rPr>
      </w:pPr>
      <w:r>
        <w:rPr>
          <w:color w:val="ED7D31" w:themeColor="accent2"/>
        </w:rPr>
        <w:t xml:space="preserve">Wind Generation ramped down by approximately 1550 MW over </w:t>
      </w:r>
      <w:r w:rsidR="006A4AB4">
        <w:rPr>
          <w:color w:val="ED7D31" w:themeColor="accent2"/>
        </w:rPr>
        <w:t xml:space="preserve">a </w:t>
      </w:r>
      <w:r>
        <w:rPr>
          <w:color w:val="ED7D31" w:themeColor="accent2"/>
        </w:rPr>
        <w:t>two hour period during the 2007 event (</w:t>
      </w:r>
      <w:r w:rsidR="006A4AB4">
        <w:rPr>
          <w:color w:val="ED7D31" w:themeColor="accent2"/>
        </w:rPr>
        <w:t xml:space="preserve">See: </w:t>
      </w:r>
      <w:hyperlink r:id="rId21" w:history="1">
        <w:r w:rsidR="006A4AB4" w:rsidRPr="006A4AB4">
          <w:rPr>
            <w:rStyle w:val="Hyperlink"/>
          </w:rPr>
          <w:t>Report for Event on February 24, 2007</w:t>
        </w:r>
      </w:hyperlink>
      <w:r>
        <w:rPr>
          <w:color w:val="ED7D31" w:themeColor="accent2"/>
        </w:rPr>
        <w:t xml:space="preserve">). Dynamic studies are </w:t>
      </w:r>
      <w:r w:rsidR="00A31686">
        <w:rPr>
          <w:color w:val="ED7D31" w:themeColor="accent2"/>
        </w:rPr>
        <w:t xml:space="preserve">to help determine the </w:t>
      </w:r>
      <w:r w:rsidR="006A4AB4">
        <w:rPr>
          <w:color w:val="ED7D31" w:themeColor="accent2"/>
        </w:rPr>
        <w:t xml:space="preserve">need for </w:t>
      </w:r>
      <w:r w:rsidR="00A31686">
        <w:rPr>
          <w:color w:val="ED7D31" w:themeColor="accent2"/>
        </w:rPr>
        <w:t xml:space="preserve">RRS </w:t>
      </w:r>
      <w:r w:rsidR="006A4AB4">
        <w:rPr>
          <w:color w:val="ED7D31" w:themeColor="accent2"/>
        </w:rPr>
        <w:t xml:space="preserve">to protect against the rapid loss of generation, such as </w:t>
      </w:r>
      <w:r w:rsidR="00A31686">
        <w:rPr>
          <w:color w:val="ED7D31" w:themeColor="accent2"/>
        </w:rPr>
        <w:t xml:space="preserve">losing two largest units in a frequency event, </w:t>
      </w:r>
      <w:r>
        <w:rPr>
          <w:color w:val="ED7D31" w:themeColor="accent2"/>
        </w:rPr>
        <w:t xml:space="preserve">not to study this type of ramp-down scenario that stretches overs hours.  </w:t>
      </w:r>
    </w:p>
    <w:p w:rsidR="004D26BF" w:rsidRDefault="004D26BF">
      <w:pPr>
        <w:spacing w:after="160" w:line="259" w:lineRule="auto"/>
      </w:pPr>
    </w:p>
    <w:sectPr w:rsidR="004D26BF">
      <w:headerReference w:type="default" r:id="rId22"/>
      <w:footerReference w:type="default" r:id="rId2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21BA7" w:rsidRDefault="00921BA7" w:rsidP="00707413">
      <w:r>
        <w:separator/>
      </w:r>
    </w:p>
  </w:endnote>
  <w:endnote w:type="continuationSeparator" w:id="0">
    <w:p w:rsidR="00921BA7" w:rsidRDefault="00921BA7" w:rsidP="007074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263B" w:rsidRPr="00F3263B" w:rsidRDefault="00F3263B" w:rsidP="00F3263B">
    <w:pPr>
      <w:tabs>
        <w:tab w:val="center" w:pos="4320"/>
        <w:tab w:val="right" w:pos="8640"/>
      </w:tabs>
      <w:rPr>
        <w:rFonts w:ascii="Arial" w:eastAsia="Times New Roman" w:hAnsi="Arial"/>
        <w:color w:val="00AEC7"/>
        <w:sz w:val="24"/>
        <w:szCs w:val="24"/>
      </w:rPr>
    </w:pPr>
    <w:r w:rsidRPr="00F3263B">
      <w:rPr>
        <w:rFonts w:ascii="Arial" w:eastAsia="Times New Roman" w:hAnsi="Arial"/>
        <w:color w:val="00AEC7"/>
        <w:sz w:val="16"/>
        <w:szCs w:val="16"/>
      </w:rPr>
      <w:t>© 2016 ERCOT</w:t>
    </w:r>
    <w:r w:rsidRPr="00F3263B">
      <w:rPr>
        <w:rFonts w:ascii="Arial" w:eastAsia="Times New Roman" w:hAnsi="Arial"/>
        <w:color w:val="00AEC7"/>
        <w:sz w:val="16"/>
        <w:szCs w:val="16"/>
      </w:rPr>
      <w:br/>
      <w:t>All rights reserved.</w:t>
    </w:r>
    <w:r w:rsidRPr="00F3263B">
      <w:rPr>
        <w:rFonts w:ascii="Times New Roman" w:eastAsia="Times New Roman" w:hAnsi="Times New Roman"/>
        <w:color w:val="00AEC7"/>
        <w:sz w:val="24"/>
        <w:szCs w:val="24"/>
      </w:rPr>
      <w:tab/>
    </w:r>
    <w:r w:rsidRPr="00F3263B">
      <w:rPr>
        <w:rFonts w:ascii="Times New Roman" w:eastAsia="Times New Roman" w:hAnsi="Times New Roman"/>
        <w:color w:val="00AEC7"/>
        <w:sz w:val="24"/>
        <w:szCs w:val="24"/>
      </w:rPr>
      <w:tab/>
    </w:r>
    <w:r w:rsidRPr="00F3263B">
      <w:rPr>
        <w:rFonts w:ascii="Arial" w:eastAsia="Times New Roman" w:hAnsi="Arial"/>
        <w:color w:val="00AEC7"/>
        <w:sz w:val="24"/>
        <w:szCs w:val="24"/>
      </w:rPr>
      <w:fldChar w:fldCharType="begin"/>
    </w:r>
    <w:r w:rsidRPr="00F3263B">
      <w:rPr>
        <w:rFonts w:ascii="Arial" w:eastAsia="Times New Roman" w:hAnsi="Arial"/>
        <w:color w:val="00AEC7"/>
        <w:sz w:val="24"/>
        <w:szCs w:val="24"/>
      </w:rPr>
      <w:instrText xml:space="preserve"> PAGE </w:instrText>
    </w:r>
    <w:r w:rsidRPr="00F3263B">
      <w:rPr>
        <w:rFonts w:ascii="Arial" w:eastAsia="Times New Roman" w:hAnsi="Arial"/>
        <w:color w:val="00AEC7"/>
        <w:sz w:val="24"/>
        <w:szCs w:val="24"/>
      </w:rPr>
      <w:fldChar w:fldCharType="separate"/>
    </w:r>
    <w:r w:rsidR="00934528">
      <w:rPr>
        <w:rFonts w:ascii="Arial" w:eastAsia="Times New Roman" w:hAnsi="Arial"/>
        <w:noProof/>
        <w:color w:val="00AEC7"/>
        <w:sz w:val="24"/>
        <w:szCs w:val="24"/>
      </w:rPr>
      <w:t>4</w:t>
    </w:r>
    <w:r w:rsidRPr="00F3263B">
      <w:rPr>
        <w:rFonts w:ascii="Arial" w:eastAsia="Times New Roman" w:hAnsi="Arial"/>
        <w:color w:val="00AEC7"/>
        <w:sz w:val="24"/>
        <w:szCs w:val="24"/>
      </w:rPr>
      <w:fldChar w:fldCharType="end"/>
    </w:r>
  </w:p>
  <w:p w:rsidR="00C8094D" w:rsidRPr="00F3263B" w:rsidRDefault="00C8094D" w:rsidP="00F3263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21BA7" w:rsidRDefault="00921BA7" w:rsidP="00707413">
      <w:r>
        <w:separator/>
      </w:r>
    </w:p>
  </w:footnote>
  <w:footnote w:type="continuationSeparator" w:id="0">
    <w:p w:rsidR="00921BA7" w:rsidRDefault="00921BA7" w:rsidP="0070741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0" w:type="auto"/>
      <w:tblLook w:val="04A0" w:firstRow="1" w:lastRow="0" w:firstColumn="1" w:lastColumn="0" w:noHBand="0" w:noVBand="1"/>
    </w:tblPr>
    <w:tblGrid>
      <w:gridCol w:w="4675"/>
      <w:gridCol w:w="4675"/>
    </w:tblGrid>
    <w:tr w:rsidR="00F84EE0" w:rsidTr="00F84EE0">
      <w:tc>
        <w:tcPr>
          <w:tcW w:w="4675" w:type="dxa"/>
          <w:tcBorders>
            <w:top w:val="nil"/>
            <w:left w:val="nil"/>
            <w:bottom w:val="nil"/>
            <w:right w:val="nil"/>
          </w:tcBorders>
          <w:vAlign w:val="center"/>
        </w:tcPr>
        <w:p w:rsidR="00F84EE0" w:rsidRDefault="00F84EE0" w:rsidP="00F84EE0">
          <w:pPr>
            <w:tabs>
              <w:tab w:val="right" w:pos="9360"/>
            </w:tabs>
          </w:pPr>
          <w:r>
            <w:rPr>
              <w:noProof/>
            </w:rPr>
            <w:drawing>
              <wp:inline distT="0" distB="0" distL="0" distR="0" wp14:anchorId="5529B326" wp14:editId="3BCAAC1F">
                <wp:extent cx="1009510" cy="390525"/>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ColorSm"/>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009510" cy="390525"/>
                        </a:xfrm>
                        <a:prstGeom prst="rect">
                          <a:avLst/>
                        </a:prstGeom>
                        <a:noFill/>
                        <a:ln>
                          <a:noFill/>
                        </a:ln>
                      </pic:spPr>
                    </pic:pic>
                  </a:graphicData>
                </a:graphic>
              </wp:inline>
            </w:drawing>
          </w:r>
        </w:p>
      </w:tc>
      <w:tc>
        <w:tcPr>
          <w:tcW w:w="4675" w:type="dxa"/>
          <w:tcBorders>
            <w:top w:val="nil"/>
            <w:left w:val="nil"/>
            <w:bottom w:val="nil"/>
            <w:right w:val="nil"/>
          </w:tcBorders>
          <w:vAlign w:val="center"/>
        </w:tcPr>
        <w:p w:rsidR="002B5086" w:rsidRDefault="00F84EE0" w:rsidP="00F84EE0">
          <w:pPr>
            <w:tabs>
              <w:tab w:val="right" w:pos="9360"/>
            </w:tabs>
            <w:jc w:val="right"/>
            <w:rPr>
              <w:rFonts w:ascii="Arial" w:eastAsia="Times New Roman" w:hAnsi="Arial" w:cs="Arial"/>
              <w:color w:val="5B6770"/>
              <w:sz w:val="16"/>
              <w:szCs w:val="16"/>
            </w:rPr>
          </w:pPr>
          <w:r>
            <w:rPr>
              <w:rFonts w:ascii="Arial" w:eastAsia="Times New Roman" w:hAnsi="Arial" w:cs="Arial"/>
              <w:color w:val="5B6770"/>
              <w:sz w:val="16"/>
              <w:szCs w:val="16"/>
            </w:rPr>
            <w:t>DWG Questions and</w:t>
          </w:r>
          <w:r w:rsidRPr="00F3263B">
            <w:rPr>
              <w:rFonts w:ascii="Arial" w:eastAsia="Times New Roman" w:hAnsi="Arial" w:cs="Arial"/>
              <w:color w:val="5B6770"/>
              <w:sz w:val="16"/>
              <w:szCs w:val="16"/>
            </w:rPr>
            <w:t xml:space="preserve"> C</w:t>
          </w:r>
          <w:r>
            <w:rPr>
              <w:rFonts w:ascii="Arial" w:eastAsia="Times New Roman" w:hAnsi="Arial" w:cs="Arial"/>
              <w:color w:val="5B6770"/>
              <w:sz w:val="16"/>
              <w:szCs w:val="16"/>
            </w:rPr>
            <w:t xml:space="preserve">omments </w:t>
          </w:r>
          <w:r w:rsidRPr="00F3263B">
            <w:rPr>
              <w:rFonts w:ascii="Arial" w:eastAsia="Times New Roman" w:hAnsi="Arial" w:cs="Arial"/>
              <w:color w:val="5B6770"/>
              <w:sz w:val="16"/>
              <w:szCs w:val="16"/>
            </w:rPr>
            <w:t>O</w:t>
          </w:r>
          <w:r>
            <w:rPr>
              <w:rFonts w:ascii="Arial" w:eastAsia="Times New Roman" w:hAnsi="Arial" w:cs="Arial"/>
              <w:color w:val="5B6770"/>
              <w:sz w:val="16"/>
              <w:szCs w:val="16"/>
            </w:rPr>
            <w:t>n NPRR-815 Studies</w:t>
          </w:r>
          <w:r w:rsidR="002B5086">
            <w:rPr>
              <w:rFonts w:ascii="Arial" w:eastAsia="Times New Roman" w:hAnsi="Arial" w:cs="Arial"/>
              <w:color w:val="5B6770"/>
              <w:sz w:val="16"/>
              <w:szCs w:val="16"/>
            </w:rPr>
            <w:t xml:space="preserve"> </w:t>
          </w:r>
        </w:p>
        <w:p w:rsidR="00F84EE0" w:rsidRDefault="002B5086" w:rsidP="00F84EE0">
          <w:pPr>
            <w:tabs>
              <w:tab w:val="right" w:pos="9360"/>
            </w:tabs>
            <w:jc w:val="right"/>
          </w:pPr>
          <w:r>
            <w:rPr>
              <w:rFonts w:ascii="Arial" w:eastAsia="Times New Roman" w:hAnsi="Arial" w:cs="Arial"/>
              <w:color w:val="5B6770"/>
              <w:sz w:val="16"/>
              <w:szCs w:val="16"/>
            </w:rPr>
            <w:t>From March 23, 2017 Meeting</w:t>
          </w:r>
        </w:p>
      </w:tc>
    </w:tr>
  </w:tbl>
  <w:p w:rsidR="00F84EE0" w:rsidRPr="00F3263B" w:rsidRDefault="00F84EE0" w:rsidP="00F84EE0">
    <w:pPr>
      <w:tabs>
        <w:tab w:val="right" w:pos="9360"/>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4A6474F"/>
    <w:multiLevelType w:val="hybridMultilevel"/>
    <w:tmpl w:val="6534F10E"/>
    <w:lvl w:ilvl="0" w:tplc="61244020">
      <w:numFmt w:val="bullet"/>
      <w:lvlText w:val=""/>
      <w:lvlJc w:val="left"/>
      <w:pPr>
        <w:ind w:left="1080" w:hanging="360"/>
      </w:pPr>
      <w:rPr>
        <w:rFonts w:ascii="Wingdings" w:eastAsiaTheme="minorHAnsi"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19633246"/>
    <w:multiLevelType w:val="hybridMultilevel"/>
    <w:tmpl w:val="B75497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3372B36"/>
    <w:multiLevelType w:val="hybridMultilevel"/>
    <w:tmpl w:val="4880C1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18A28E5"/>
    <w:multiLevelType w:val="hybridMultilevel"/>
    <w:tmpl w:val="31865A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24F1400"/>
    <w:multiLevelType w:val="hybridMultilevel"/>
    <w:tmpl w:val="2FB6C518"/>
    <w:lvl w:ilvl="0" w:tplc="04090011">
      <w:start w:val="1"/>
      <w:numFmt w:val="decimal"/>
      <w:lvlText w:val="%1)"/>
      <w:lvlJc w:val="left"/>
      <w:pPr>
        <w:ind w:left="720" w:hanging="360"/>
      </w:pPr>
    </w:lvl>
    <w:lvl w:ilvl="1" w:tplc="E710DBD0">
      <w:numFmt w:val="bullet"/>
      <w:lvlText w:val="•"/>
      <w:lvlJc w:val="left"/>
      <w:pPr>
        <w:ind w:left="1440" w:hanging="360"/>
      </w:pPr>
      <w:rPr>
        <w:rFonts w:ascii="Calibri" w:eastAsiaTheme="minorHAnsi" w:hAnsi="Calibri"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21621EC"/>
    <w:multiLevelType w:val="hybridMultilevel"/>
    <w:tmpl w:val="CAD83BB2"/>
    <w:lvl w:ilvl="0" w:tplc="B6B6EAA0">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5436A2D"/>
    <w:multiLevelType w:val="hybridMultilevel"/>
    <w:tmpl w:val="FB36D33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7C5934C5"/>
    <w:multiLevelType w:val="hybridMultilevel"/>
    <w:tmpl w:val="B75497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2"/>
  </w:num>
  <w:num w:numId="3">
    <w:abstractNumId w:val="3"/>
  </w:num>
  <w:num w:numId="4">
    <w:abstractNumId w:val="4"/>
  </w:num>
  <w:num w:numId="5">
    <w:abstractNumId w:val="0"/>
  </w:num>
  <w:num w:numId="6">
    <w:abstractNumId w:val="1"/>
  </w:num>
  <w:num w:numId="7">
    <w:abstractNumId w:val="7"/>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023B"/>
    <w:rsid w:val="000014CF"/>
    <w:rsid w:val="00022FED"/>
    <w:rsid w:val="0002312B"/>
    <w:rsid w:val="00041D4C"/>
    <w:rsid w:val="00043B89"/>
    <w:rsid w:val="00065E0D"/>
    <w:rsid w:val="00093C1C"/>
    <w:rsid w:val="000A0D95"/>
    <w:rsid w:val="001060AB"/>
    <w:rsid w:val="00170B43"/>
    <w:rsid w:val="00182758"/>
    <w:rsid w:val="001A043C"/>
    <w:rsid w:val="001A5BA2"/>
    <w:rsid w:val="001C71E1"/>
    <w:rsid w:val="001D115D"/>
    <w:rsid w:val="001E2A66"/>
    <w:rsid w:val="001F5865"/>
    <w:rsid w:val="001F64A8"/>
    <w:rsid w:val="0020101D"/>
    <w:rsid w:val="00217F17"/>
    <w:rsid w:val="00282A85"/>
    <w:rsid w:val="002903FE"/>
    <w:rsid w:val="002A4F26"/>
    <w:rsid w:val="002B5086"/>
    <w:rsid w:val="002D0910"/>
    <w:rsid w:val="002D1B7F"/>
    <w:rsid w:val="002D551A"/>
    <w:rsid w:val="002D63E5"/>
    <w:rsid w:val="002F2855"/>
    <w:rsid w:val="00313F8F"/>
    <w:rsid w:val="0031471B"/>
    <w:rsid w:val="00317785"/>
    <w:rsid w:val="00335331"/>
    <w:rsid w:val="00403BBE"/>
    <w:rsid w:val="00404486"/>
    <w:rsid w:val="00437354"/>
    <w:rsid w:val="00437521"/>
    <w:rsid w:val="00475453"/>
    <w:rsid w:val="004D26BF"/>
    <w:rsid w:val="00516FE5"/>
    <w:rsid w:val="005432E8"/>
    <w:rsid w:val="005634F9"/>
    <w:rsid w:val="005D05E5"/>
    <w:rsid w:val="005E3F01"/>
    <w:rsid w:val="006A4AB4"/>
    <w:rsid w:val="006A70FF"/>
    <w:rsid w:val="006E7DE8"/>
    <w:rsid w:val="00707413"/>
    <w:rsid w:val="0073200C"/>
    <w:rsid w:val="00774B62"/>
    <w:rsid w:val="00793584"/>
    <w:rsid w:val="007D7E5D"/>
    <w:rsid w:val="007E21A9"/>
    <w:rsid w:val="007E631E"/>
    <w:rsid w:val="007F12F0"/>
    <w:rsid w:val="007F1E73"/>
    <w:rsid w:val="00822582"/>
    <w:rsid w:val="00837DB6"/>
    <w:rsid w:val="00875EC8"/>
    <w:rsid w:val="008A4EA4"/>
    <w:rsid w:val="008C3287"/>
    <w:rsid w:val="00916149"/>
    <w:rsid w:val="00921BA7"/>
    <w:rsid w:val="00931FD1"/>
    <w:rsid w:val="00934528"/>
    <w:rsid w:val="00936C12"/>
    <w:rsid w:val="00955408"/>
    <w:rsid w:val="00977A00"/>
    <w:rsid w:val="00993971"/>
    <w:rsid w:val="009A36B3"/>
    <w:rsid w:val="009F6725"/>
    <w:rsid w:val="00A03B23"/>
    <w:rsid w:val="00A123B3"/>
    <w:rsid w:val="00A31686"/>
    <w:rsid w:val="00A6360D"/>
    <w:rsid w:val="00A90EE1"/>
    <w:rsid w:val="00A9562A"/>
    <w:rsid w:val="00A97889"/>
    <w:rsid w:val="00AA1580"/>
    <w:rsid w:val="00AA4F92"/>
    <w:rsid w:val="00AA5C26"/>
    <w:rsid w:val="00B002B3"/>
    <w:rsid w:val="00B0066C"/>
    <w:rsid w:val="00B30273"/>
    <w:rsid w:val="00B35989"/>
    <w:rsid w:val="00B36C67"/>
    <w:rsid w:val="00B66BBF"/>
    <w:rsid w:val="00BD3620"/>
    <w:rsid w:val="00C01E9F"/>
    <w:rsid w:val="00C35B87"/>
    <w:rsid w:val="00C40AAC"/>
    <w:rsid w:val="00C779F7"/>
    <w:rsid w:val="00C8094D"/>
    <w:rsid w:val="00C9161E"/>
    <w:rsid w:val="00CA6EEA"/>
    <w:rsid w:val="00CD0792"/>
    <w:rsid w:val="00CF1A31"/>
    <w:rsid w:val="00D0023B"/>
    <w:rsid w:val="00D04CAE"/>
    <w:rsid w:val="00D04FEC"/>
    <w:rsid w:val="00D36425"/>
    <w:rsid w:val="00D41CCE"/>
    <w:rsid w:val="00D57DB8"/>
    <w:rsid w:val="00D63DBD"/>
    <w:rsid w:val="00DC617B"/>
    <w:rsid w:val="00DD5363"/>
    <w:rsid w:val="00DE7EC9"/>
    <w:rsid w:val="00E30F34"/>
    <w:rsid w:val="00E33452"/>
    <w:rsid w:val="00E62A58"/>
    <w:rsid w:val="00E662FA"/>
    <w:rsid w:val="00EF00F9"/>
    <w:rsid w:val="00F00415"/>
    <w:rsid w:val="00F13FD5"/>
    <w:rsid w:val="00F227E7"/>
    <w:rsid w:val="00F26FAF"/>
    <w:rsid w:val="00F3263B"/>
    <w:rsid w:val="00F566C3"/>
    <w:rsid w:val="00F813DE"/>
    <w:rsid w:val="00F84EE0"/>
    <w:rsid w:val="00F95F63"/>
    <w:rsid w:val="00FF7E0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chartTrackingRefBased/>
  <w15:docId w15:val="{0DA20AAF-BF68-4AB0-ACF4-027C8D22A5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93C1C"/>
    <w:pPr>
      <w:spacing w:after="0" w:line="240" w:lineRule="auto"/>
    </w:pPr>
    <w:rPr>
      <w:rFonts w:ascii="Calibri" w:hAnsi="Calibri" w:cs="Times New Roman"/>
    </w:rPr>
  </w:style>
  <w:style w:type="paragraph" w:styleId="Heading1">
    <w:name w:val="heading 1"/>
    <w:basedOn w:val="Normal"/>
    <w:next w:val="Normal"/>
    <w:link w:val="Heading1Char"/>
    <w:uiPriority w:val="9"/>
    <w:qFormat/>
    <w:rsid w:val="00335331"/>
    <w:pPr>
      <w:keepNext/>
      <w:keepLines/>
      <w:spacing w:before="24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93C1C"/>
    <w:pPr>
      <w:ind w:left="720"/>
      <w:contextualSpacing/>
    </w:pPr>
  </w:style>
  <w:style w:type="paragraph" w:styleId="Header">
    <w:name w:val="header"/>
    <w:basedOn w:val="Normal"/>
    <w:link w:val="HeaderChar"/>
    <w:unhideWhenUsed/>
    <w:rsid w:val="00707413"/>
    <w:pPr>
      <w:tabs>
        <w:tab w:val="center" w:pos="4680"/>
        <w:tab w:val="right" w:pos="9360"/>
      </w:tabs>
    </w:pPr>
  </w:style>
  <w:style w:type="character" w:customStyle="1" w:styleId="HeaderChar">
    <w:name w:val="Header Char"/>
    <w:basedOn w:val="DefaultParagraphFont"/>
    <w:link w:val="Header"/>
    <w:uiPriority w:val="99"/>
    <w:rsid w:val="00707413"/>
    <w:rPr>
      <w:rFonts w:ascii="Calibri" w:hAnsi="Calibri" w:cs="Times New Roman"/>
    </w:rPr>
  </w:style>
  <w:style w:type="paragraph" w:styleId="Footer">
    <w:name w:val="footer"/>
    <w:basedOn w:val="Normal"/>
    <w:link w:val="FooterChar"/>
    <w:uiPriority w:val="99"/>
    <w:unhideWhenUsed/>
    <w:rsid w:val="00707413"/>
    <w:pPr>
      <w:tabs>
        <w:tab w:val="center" w:pos="4680"/>
        <w:tab w:val="right" w:pos="9360"/>
      </w:tabs>
    </w:pPr>
  </w:style>
  <w:style w:type="character" w:customStyle="1" w:styleId="FooterChar">
    <w:name w:val="Footer Char"/>
    <w:basedOn w:val="DefaultParagraphFont"/>
    <w:link w:val="Footer"/>
    <w:uiPriority w:val="99"/>
    <w:rsid w:val="00707413"/>
    <w:rPr>
      <w:rFonts w:ascii="Calibri" w:hAnsi="Calibri" w:cs="Times New Roman"/>
    </w:rPr>
  </w:style>
  <w:style w:type="table" w:styleId="TableGrid">
    <w:name w:val="Table Grid"/>
    <w:basedOn w:val="TableNormal"/>
    <w:uiPriority w:val="39"/>
    <w:rsid w:val="00A90E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EF00F9"/>
    <w:pPr>
      <w:autoSpaceDE w:val="0"/>
      <w:autoSpaceDN w:val="0"/>
      <w:adjustRightInd w:val="0"/>
    </w:pPr>
    <w:rPr>
      <w:rFonts w:ascii="Times New Roman" w:hAnsi="Times New Roman"/>
      <w:sz w:val="24"/>
      <w:szCs w:val="24"/>
    </w:rPr>
  </w:style>
  <w:style w:type="character" w:styleId="Hyperlink">
    <w:name w:val="Hyperlink"/>
    <w:basedOn w:val="DefaultParagraphFont"/>
    <w:uiPriority w:val="99"/>
    <w:unhideWhenUsed/>
    <w:rsid w:val="001E2A66"/>
    <w:rPr>
      <w:color w:val="0563C1" w:themeColor="hyperlink"/>
      <w:u w:val="single"/>
    </w:rPr>
  </w:style>
  <w:style w:type="character" w:styleId="CommentReference">
    <w:name w:val="annotation reference"/>
    <w:basedOn w:val="DefaultParagraphFont"/>
    <w:uiPriority w:val="99"/>
    <w:semiHidden/>
    <w:unhideWhenUsed/>
    <w:rsid w:val="001E2A66"/>
    <w:rPr>
      <w:sz w:val="16"/>
      <w:szCs w:val="16"/>
    </w:rPr>
  </w:style>
  <w:style w:type="paragraph" w:styleId="CommentText">
    <w:name w:val="annotation text"/>
    <w:basedOn w:val="Normal"/>
    <w:link w:val="CommentTextChar"/>
    <w:uiPriority w:val="99"/>
    <w:semiHidden/>
    <w:unhideWhenUsed/>
    <w:rsid w:val="001E2A66"/>
    <w:rPr>
      <w:sz w:val="20"/>
      <w:szCs w:val="20"/>
    </w:rPr>
  </w:style>
  <w:style w:type="character" w:customStyle="1" w:styleId="CommentTextChar">
    <w:name w:val="Comment Text Char"/>
    <w:basedOn w:val="DefaultParagraphFont"/>
    <w:link w:val="CommentText"/>
    <w:uiPriority w:val="99"/>
    <w:semiHidden/>
    <w:rsid w:val="001E2A66"/>
    <w:rPr>
      <w:rFonts w:ascii="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1E2A66"/>
    <w:rPr>
      <w:b/>
      <w:bCs/>
    </w:rPr>
  </w:style>
  <w:style w:type="character" w:customStyle="1" w:styleId="CommentSubjectChar">
    <w:name w:val="Comment Subject Char"/>
    <w:basedOn w:val="CommentTextChar"/>
    <w:link w:val="CommentSubject"/>
    <w:uiPriority w:val="99"/>
    <w:semiHidden/>
    <w:rsid w:val="001E2A66"/>
    <w:rPr>
      <w:rFonts w:ascii="Calibri" w:hAnsi="Calibri" w:cs="Times New Roman"/>
      <w:b/>
      <w:bCs/>
      <w:sz w:val="20"/>
      <w:szCs w:val="20"/>
    </w:rPr>
  </w:style>
  <w:style w:type="paragraph" w:styleId="BalloonText">
    <w:name w:val="Balloon Text"/>
    <w:basedOn w:val="Normal"/>
    <w:link w:val="BalloonTextChar"/>
    <w:uiPriority w:val="99"/>
    <w:semiHidden/>
    <w:unhideWhenUsed/>
    <w:rsid w:val="001E2A66"/>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E2A66"/>
    <w:rPr>
      <w:rFonts w:ascii="Segoe UI" w:hAnsi="Segoe UI" w:cs="Segoe UI"/>
      <w:sz w:val="18"/>
      <w:szCs w:val="18"/>
    </w:rPr>
  </w:style>
  <w:style w:type="character" w:customStyle="1" w:styleId="Heading1Char">
    <w:name w:val="Heading 1 Char"/>
    <w:basedOn w:val="DefaultParagraphFont"/>
    <w:link w:val="Heading1"/>
    <w:uiPriority w:val="9"/>
    <w:rsid w:val="00335331"/>
    <w:rPr>
      <w:rFonts w:asciiTheme="majorHAnsi" w:eastAsiaTheme="majorEastAsia" w:hAnsiTheme="majorHAnsi" w:cstheme="majorBidi"/>
      <w:color w:val="2E74B5" w:themeColor="accent1" w:themeShade="BF"/>
      <w:sz w:val="32"/>
      <w:szCs w:val="32"/>
    </w:rPr>
  </w:style>
  <w:style w:type="paragraph" w:styleId="Revision">
    <w:name w:val="Revision"/>
    <w:hidden/>
    <w:uiPriority w:val="99"/>
    <w:semiHidden/>
    <w:rsid w:val="001F5865"/>
    <w:pPr>
      <w:spacing w:after="0" w:line="240" w:lineRule="auto"/>
    </w:pPr>
    <w:rPr>
      <w:rFonts w:ascii="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18914">
      <w:bodyDiv w:val="1"/>
      <w:marLeft w:val="0"/>
      <w:marRight w:val="0"/>
      <w:marTop w:val="0"/>
      <w:marBottom w:val="0"/>
      <w:divBdr>
        <w:top w:val="none" w:sz="0" w:space="0" w:color="auto"/>
        <w:left w:val="none" w:sz="0" w:space="0" w:color="auto"/>
        <w:bottom w:val="none" w:sz="0" w:space="0" w:color="auto"/>
        <w:right w:val="none" w:sz="0" w:space="0" w:color="auto"/>
      </w:divBdr>
    </w:div>
    <w:div w:id="158470938">
      <w:bodyDiv w:val="1"/>
      <w:marLeft w:val="0"/>
      <w:marRight w:val="0"/>
      <w:marTop w:val="0"/>
      <w:marBottom w:val="0"/>
      <w:divBdr>
        <w:top w:val="none" w:sz="0" w:space="0" w:color="auto"/>
        <w:left w:val="none" w:sz="0" w:space="0" w:color="auto"/>
        <w:bottom w:val="none" w:sz="0" w:space="0" w:color="auto"/>
        <w:right w:val="none" w:sz="0" w:space="0" w:color="auto"/>
      </w:divBdr>
    </w:div>
    <w:div w:id="623730612">
      <w:bodyDiv w:val="1"/>
      <w:marLeft w:val="0"/>
      <w:marRight w:val="0"/>
      <w:marTop w:val="0"/>
      <w:marBottom w:val="0"/>
      <w:divBdr>
        <w:top w:val="none" w:sz="0" w:space="0" w:color="auto"/>
        <w:left w:val="none" w:sz="0" w:space="0" w:color="auto"/>
        <w:bottom w:val="none" w:sz="0" w:space="0" w:color="auto"/>
        <w:right w:val="none" w:sz="0" w:space="0" w:color="auto"/>
      </w:divBdr>
    </w:div>
    <w:div w:id="1120101419">
      <w:bodyDiv w:val="1"/>
      <w:marLeft w:val="0"/>
      <w:marRight w:val="0"/>
      <w:marTop w:val="0"/>
      <w:marBottom w:val="0"/>
      <w:divBdr>
        <w:top w:val="none" w:sz="0" w:space="0" w:color="auto"/>
        <w:left w:val="none" w:sz="0" w:space="0" w:color="auto"/>
        <w:bottom w:val="none" w:sz="0" w:space="0" w:color="auto"/>
        <w:right w:val="none" w:sz="0" w:space="0" w:color="auto"/>
      </w:divBdr>
    </w:div>
    <w:div w:id="1360397063">
      <w:bodyDiv w:val="1"/>
      <w:marLeft w:val="0"/>
      <w:marRight w:val="0"/>
      <w:marTop w:val="0"/>
      <w:marBottom w:val="0"/>
      <w:divBdr>
        <w:top w:val="none" w:sz="0" w:space="0" w:color="auto"/>
        <w:left w:val="none" w:sz="0" w:space="0" w:color="auto"/>
        <w:bottom w:val="none" w:sz="0" w:space="0" w:color="auto"/>
        <w:right w:val="none" w:sz="0" w:space="0" w:color="auto"/>
      </w:divBdr>
    </w:div>
    <w:div w:id="1693066133">
      <w:bodyDiv w:val="1"/>
      <w:marLeft w:val="0"/>
      <w:marRight w:val="0"/>
      <w:marTop w:val="0"/>
      <w:marBottom w:val="0"/>
      <w:divBdr>
        <w:top w:val="none" w:sz="0" w:space="0" w:color="auto"/>
        <w:left w:val="none" w:sz="0" w:space="0" w:color="auto"/>
        <w:bottom w:val="none" w:sz="0" w:space="0" w:color="auto"/>
        <w:right w:val="none" w:sz="0" w:space="0" w:color="auto"/>
      </w:divBdr>
    </w:div>
    <w:div w:id="1736581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cid:image005.png@01D2B3A3.9D428830" TargetMode="External"/><Relationship Id="rId18" Type="http://schemas.openxmlformats.org/officeDocument/2006/relationships/hyperlink" Target="http://www.ercot.com/content/wcm/key_documents_lists/89135/ERCOT_Methodology_for_Determining_Ancillary_Service_Requirements.zip" TargetMode="External"/><Relationship Id="rId3" Type="http://schemas.openxmlformats.org/officeDocument/2006/relationships/styles" Target="styles.xml"/><Relationship Id="rId21" Type="http://schemas.openxmlformats.org/officeDocument/2006/relationships/hyperlink" Target="http://www.ercot.com/content/meetings/ros/keydocs/2007/0315/07._ERCOT_OPERATIONS_REPORT_EECP022407_final.doc" TargetMode="External"/><Relationship Id="rId7" Type="http://schemas.openxmlformats.org/officeDocument/2006/relationships/endnotes" Target="endnotes.xml"/><Relationship Id="rId12" Type="http://schemas.openxmlformats.org/officeDocument/2006/relationships/image" Target="media/image3.gif"/><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cid:image003.png@01D2B46E.801E7E50"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cid:image001.jpg@01D2B478.109374A0" TargetMode="External"/><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04C5EA-269F-4523-96E2-5B752FDC43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2537</Words>
  <Characters>14461</Characters>
  <Application>Microsoft Office Word</Application>
  <DocSecurity>4</DocSecurity>
  <Lines>120</Lines>
  <Paragraphs>33</Paragraphs>
  <ScaleCrop>false</ScaleCrop>
  <HeadingPairs>
    <vt:vector size="2" baseType="variant">
      <vt:variant>
        <vt:lpstr>Title</vt:lpstr>
      </vt:variant>
      <vt:variant>
        <vt:i4>1</vt:i4>
      </vt:variant>
    </vt:vector>
  </HeadingPairs>
  <TitlesOfParts>
    <vt:vector size="1" baseType="lpstr">
      <vt:lpstr/>
    </vt:vector>
  </TitlesOfParts>
  <Company>Lower Colorado River Authority</Company>
  <LinksUpToDate>false</LinksUpToDate>
  <CharactersWithSpaces>16965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cdietert</dc:creator>
  <cp:keywords/>
  <dc:description/>
  <cp:lastModifiedBy>ERCOT</cp:lastModifiedBy>
  <cp:revision>2</cp:revision>
  <dcterms:created xsi:type="dcterms:W3CDTF">2017-04-17T18:03:00Z</dcterms:created>
  <dcterms:modified xsi:type="dcterms:W3CDTF">2017-04-17T18:03:00Z</dcterms:modified>
</cp:coreProperties>
</file>