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E7A" w:rsidRDefault="00AB7E7A" w:rsidP="00AB7E7A">
      <w:r>
        <w:rPr>
          <w:rStyle w:val="StyleBold"/>
        </w:rPr>
        <w:t>NOTICE DATE:</w:t>
      </w:r>
      <w:r>
        <w:t xml:space="preserve">  March 31, 2017 </w:t>
      </w:r>
    </w:p>
    <w:p w:rsidR="00AB7E7A" w:rsidRDefault="00AB7E7A" w:rsidP="00AB7E7A">
      <w:r>
        <w:rPr>
          <w:rStyle w:val="StyleBold"/>
        </w:rPr>
        <w:t>NOTICE TYPE:</w:t>
      </w:r>
      <w:r>
        <w:t>  M-D033117-01 Settlements</w:t>
      </w:r>
    </w:p>
    <w:p w:rsidR="00AB7E7A" w:rsidRDefault="00AB7E7A" w:rsidP="00AB7E7A">
      <w:r>
        <w:rPr>
          <w:rStyle w:val="StyleBold"/>
        </w:rPr>
        <w:t>SHORT DESCRIPTION:</w:t>
      </w:r>
      <w:r>
        <w:t>   Implementation of NPRR746 and NPRR786</w:t>
      </w:r>
    </w:p>
    <w:p w:rsidR="00AB7E7A" w:rsidRDefault="00AB7E7A" w:rsidP="00AB7E7A">
      <w:r>
        <w:rPr>
          <w:rStyle w:val="StyleBold"/>
        </w:rPr>
        <w:t>INTENDED AUDIENCE:</w:t>
      </w:r>
      <w:r>
        <w:t>  ERCOT Market Participants</w:t>
      </w:r>
    </w:p>
    <w:p w:rsidR="00AB7E7A" w:rsidRDefault="00AB7E7A" w:rsidP="00AB7E7A">
      <w:r>
        <w:rPr>
          <w:rStyle w:val="StyleBold"/>
        </w:rPr>
        <w:t>DAYS AFFECTED:</w:t>
      </w:r>
      <w:r>
        <w:t>  May 1 – 11, 2017</w:t>
      </w:r>
    </w:p>
    <w:p w:rsidR="00AB7E7A" w:rsidRDefault="00AB7E7A" w:rsidP="00AB7E7A">
      <w:pPr>
        <w:pStyle w:val="Header"/>
        <w:rPr>
          <w:b w:val="0"/>
          <w:bCs w:val="0"/>
          <w:lang w:eastAsia="en-US"/>
        </w:rPr>
      </w:pPr>
      <w:r>
        <w:rPr>
          <w:rStyle w:val="StyleBold"/>
          <w:b/>
          <w:bCs/>
          <w:lang w:eastAsia="en-US"/>
        </w:rPr>
        <w:t>LONG DESCRIPTION</w:t>
      </w:r>
      <w:r>
        <w:rPr>
          <w:rStyle w:val="StyleBold"/>
          <w:lang w:val="x-none"/>
        </w:rPr>
        <w:t>:</w:t>
      </w:r>
      <w:r>
        <w:rPr>
          <w:lang w:val="x-none"/>
        </w:rPr>
        <w:t>  </w:t>
      </w:r>
      <w:r>
        <w:rPr>
          <w:b w:val="0"/>
          <w:bCs w:val="0"/>
          <w:lang w:val="x-none"/>
        </w:rPr>
        <w:t>As part of the 2017-R2 scheduled release</w:t>
      </w:r>
      <w:r>
        <w:rPr>
          <w:b w:val="0"/>
          <w:bCs w:val="0"/>
        </w:rPr>
        <w:t>,</w:t>
      </w:r>
      <w:r>
        <w:t xml:space="preserve"> </w:t>
      </w:r>
      <w:r>
        <w:rPr>
          <w:b w:val="0"/>
          <w:bCs w:val="0"/>
          <w:lang w:val="x-none"/>
        </w:rPr>
        <w:t>ERCOT will be implementing Nodal Protocol Revision Request (NPRR) 746</w:t>
      </w:r>
      <w:r>
        <w:rPr>
          <w:b w:val="0"/>
          <w:bCs w:val="0"/>
        </w:rPr>
        <w:t xml:space="preserve">, </w:t>
      </w:r>
      <w:r>
        <w:rPr>
          <w:b w:val="0"/>
          <w:bCs w:val="0"/>
          <w:lang w:eastAsia="en-US"/>
        </w:rPr>
        <w:t xml:space="preserve">Adjustments Due to Negative Load and NPRR786, Consumption Data Adjustments for Negative Load. These NPRRs introduce adjustments to the Settlement equations to resolve settlement issues arising from QSEs being assigned Negative Load. </w:t>
      </w:r>
    </w:p>
    <w:p w:rsidR="00AB7E7A" w:rsidRDefault="00AB7E7A" w:rsidP="00AB7E7A">
      <w:pPr>
        <w:pStyle w:val="Header"/>
        <w:rPr>
          <w:b w:val="0"/>
          <w:bCs w:val="0"/>
          <w:lang w:eastAsia="en-US"/>
        </w:rPr>
      </w:pPr>
    </w:p>
    <w:p w:rsidR="00AB7E7A" w:rsidRDefault="00AB7E7A" w:rsidP="00AB7E7A">
      <w:pPr>
        <w:spacing w:before="100" w:beforeAutospacing="1" w:after="100" w:afterAutospacing="1"/>
        <w:contextualSpacing/>
        <w:rPr>
          <w:u w:val="single"/>
        </w:rPr>
      </w:pPr>
      <w:r>
        <w:rPr>
          <w:u w:val="single"/>
        </w:rPr>
        <w:t>Protocol Section 4.2.1.2 adjustment:</w:t>
      </w:r>
    </w:p>
    <w:p w:rsidR="00AB7E7A" w:rsidRDefault="00AB7E7A" w:rsidP="00AB7E7A">
      <w:pPr>
        <w:spacing w:before="100" w:beforeAutospacing="1" w:after="100" w:afterAutospacing="1"/>
        <w:contextualSpacing/>
      </w:pPr>
    </w:p>
    <w:p w:rsidR="00AB7E7A" w:rsidRDefault="00AB7E7A" w:rsidP="00AB7E7A">
      <w:pPr>
        <w:spacing w:before="100" w:beforeAutospacing="1" w:after="100" w:afterAutospacing="1"/>
        <w:ind w:left="720"/>
        <w:contextualSpacing/>
      </w:pPr>
      <w:r>
        <w:t>The LRSQSE calculation will be modified such that if the resultant QSE-level share is negative, the QSE’s share will be set to zero and all other QSE shares will be adjusted on a pro rata basis such that the sum of all shares is equal to one.</w:t>
      </w:r>
    </w:p>
    <w:p w:rsidR="00AB7E7A" w:rsidRDefault="00AB7E7A" w:rsidP="00AB7E7A">
      <w:pPr>
        <w:pStyle w:val="NoSpacing"/>
        <w:rPr>
          <w:u w:val="single"/>
        </w:rPr>
      </w:pPr>
      <w:r>
        <w:rPr>
          <w:u w:val="single"/>
        </w:rPr>
        <w:t>Protocol Section Addition:</w:t>
      </w:r>
    </w:p>
    <w:p w:rsidR="00AB7E7A" w:rsidRDefault="00AB7E7A" w:rsidP="00AB7E7A">
      <w:pPr>
        <w:keepNext/>
        <w:spacing w:before="240"/>
        <w:ind w:left="1980" w:hanging="1260"/>
        <w:rPr>
          <w:snapToGrid w:val="0"/>
        </w:rPr>
      </w:pPr>
      <w:r>
        <w:rPr>
          <w:snapToGrid w:val="0"/>
        </w:rPr>
        <w:t>6.6.2.3         ERCOT Total Adjusted Metered Load for an Operating Hour</w:t>
      </w:r>
    </w:p>
    <w:p w:rsidR="00AB7E7A" w:rsidRDefault="00AB7E7A" w:rsidP="00AB7E7A">
      <w:pPr>
        <w:ind w:left="720"/>
      </w:pPr>
      <w:r>
        <w:t xml:space="preserve">ERCOT total AML (excluding the DC Tie export associated with the QSEs under the </w:t>
      </w:r>
      <w:proofErr w:type="spellStart"/>
      <w:r>
        <w:t>Oklaunion</w:t>
      </w:r>
      <w:proofErr w:type="spellEnd"/>
      <w:r>
        <w:t xml:space="preserve"> Exemption) for an Operating Hour is calculated as follows:</w:t>
      </w:r>
    </w:p>
    <w:p w:rsidR="00AB7E7A" w:rsidRDefault="00AB7E7A" w:rsidP="00AB7E7A">
      <w:pPr>
        <w:ind w:left="4680" w:hanging="3240"/>
      </w:pPr>
      <w:r>
        <w:t xml:space="preserve">HRTAMLTOT     =           </w:t>
      </w:r>
      <w:r>
        <w:rPr>
          <w:noProof/>
          <w:position w:val="-22"/>
          <w:lang w:eastAsia="en-US"/>
        </w:rPr>
        <w:drawing>
          <wp:inline distT="0" distB="0" distL="0" distR="0">
            <wp:extent cx="146050" cy="2984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050" cy="298450"/>
                    </a:xfrm>
                    <a:prstGeom prst="rect">
                      <a:avLst/>
                    </a:prstGeom>
                    <a:noFill/>
                    <a:ln>
                      <a:noFill/>
                    </a:ln>
                  </pic:spPr>
                </pic:pic>
              </a:graphicData>
            </a:graphic>
          </wp:inline>
        </w:drawing>
      </w:r>
      <w:r>
        <w:t>(</w:t>
      </w:r>
      <w:proofErr w:type="gramStart"/>
      <w:r>
        <w:t>max(</w:t>
      </w:r>
      <w:proofErr w:type="gramEnd"/>
      <w:r>
        <w:t xml:space="preserve">0, </w:t>
      </w:r>
      <w:r>
        <w:rPr>
          <w:noProof/>
          <w:position w:val="-20"/>
          <w:lang w:eastAsia="en-US"/>
        </w:rPr>
        <w:drawing>
          <wp:inline distT="0" distB="0" distL="0" distR="0">
            <wp:extent cx="165100" cy="3746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100" cy="374650"/>
                    </a:xfrm>
                    <a:prstGeom prst="rect">
                      <a:avLst/>
                    </a:prstGeom>
                    <a:noFill/>
                    <a:ln>
                      <a:noFill/>
                    </a:ln>
                  </pic:spPr>
                </pic:pic>
              </a:graphicData>
            </a:graphic>
          </wp:inline>
        </w:drawing>
      </w:r>
      <w:r>
        <w:rPr>
          <w:noProof/>
          <w:position w:val="-22"/>
          <w:lang w:eastAsia="en-US"/>
        </w:rPr>
        <w:drawing>
          <wp:inline distT="0" distB="0" distL="0" distR="0">
            <wp:extent cx="146050" cy="2984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98450"/>
                    </a:xfrm>
                    <a:prstGeom prst="rect">
                      <a:avLst/>
                    </a:prstGeom>
                    <a:noFill/>
                    <a:ln>
                      <a:noFill/>
                    </a:ln>
                  </pic:spPr>
                </pic:pic>
              </a:graphicData>
            </a:graphic>
          </wp:inline>
        </w:drawing>
      </w:r>
      <w:r>
        <w:t xml:space="preserve">RTAML </w:t>
      </w:r>
      <w:r>
        <w:rPr>
          <w:i/>
          <w:iCs/>
          <w:vertAlign w:val="subscript"/>
        </w:rPr>
        <w:t>q, p</w:t>
      </w:r>
      <w:r>
        <w:t>) )</w:t>
      </w:r>
    </w:p>
    <w:p w:rsidR="00AB7E7A" w:rsidRDefault="00AB7E7A" w:rsidP="00AB7E7A">
      <w:pPr>
        <w:pStyle w:val="NoSpacing"/>
      </w:pPr>
    </w:p>
    <w:p w:rsidR="00AB7E7A" w:rsidRDefault="00AB7E7A" w:rsidP="00AB7E7A">
      <w:pPr>
        <w:pStyle w:val="NoSpacing"/>
      </w:pPr>
      <w:r>
        <w:rPr>
          <w:u w:val="single"/>
        </w:rPr>
        <w:t>Protocol Section 6.6.2.3 becomes 6.6.2.4 and the equation is modified as below</w:t>
      </w:r>
      <w:r>
        <w:t>:</w:t>
      </w:r>
    </w:p>
    <w:p w:rsidR="00AB7E7A" w:rsidRDefault="00AB7E7A" w:rsidP="00AB7E7A">
      <w:pPr>
        <w:pStyle w:val="FormulaBold"/>
        <w:rPr>
          <w:lang w:val="sv-SE"/>
        </w:rPr>
      </w:pPr>
      <w:r>
        <w:t xml:space="preserve">            </w:t>
      </w:r>
      <w:r>
        <w:rPr>
          <w:lang w:val="sv-SE"/>
        </w:rPr>
        <w:t>HLRS</w:t>
      </w:r>
      <w:r>
        <w:rPr>
          <w:i/>
          <w:iCs/>
          <w:vertAlign w:val="subscript"/>
          <w:lang w:val="sv-SE"/>
        </w:rPr>
        <w:t xml:space="preserve"> q</w:t>
      </w:r>
      <w:r>
        <w:rPr>
          <w:lang w:val="sv-SE"/>
        </w:rPr>
        <w:t>    =          (</w:t>
      </w:r>
      <w:r>
        <w:t>max(0,</w:t>
      </w:r>
      <w:r>
        <w:rPr>
          <w:noProof/>
          <w:position w:val="-20"/>
        </w:rPr>
        <w:drawing>
          <wp:inline distT="0" distB="0" distL="0" distR="0">
            <wp:extent cx="165100" cy="3746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100" cy="374650"/>
                    </a:xfrm>
                    <a:prstGeom prst="rect">
                      <a:avLst/>
                    </a:prstGeom>
                    <a:noFill/>
                    <a:ln>
                      <a:noFill/>
                    </a:ln>
                  </pic:spPr>
                </pic:pic>
              </a:graphicData>
            </a:graphic>
          </wp:inline>
        </w:drawing>
      </w:r>
      <w:r>
        <w:rPr>
          <w:noProof/>
          <w:position w:val="-22"/>
        </w:rPr>
        <w:drawing>
          <wp:inline distT="0" distB="0" distL="0" distR="0">
            <wp:extent cx="146050" cy="2984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98450"/>
                    </a:xfrm>
                    <a:prstGeom prst="rect">
                      <a:avLst/>
                    </a:prstGeom>
                    <a:noFill/>
                    <a:ln>
                      <a:noFill/>
                    </a:ln>
                  </pic:spPr>
                </pic:pic>
              </a:graphicData>
            </a:graphic>
          </wp:inline>
        </w:drawing>
      </w:r>
      <w:r>
        <w:rPr>
          <w:lang w:val="sv-SE"/>
        </w:rPr>
        <w:t xml:space="preserve">RTAML </w:t>
      </w:r>
      <w:r>
        <w:rPr>
          <w:i/>
          <w:iCs/>
          <w:vertAlign w:val="subscript"/>
          <w:lang w:val="sv-SE"/>
        </w:rPr>
        <w:t>q, p, i</w:t>
      </w:r>
      <w:r>
        <w:rPr>
          <w:lang w:val="sv-SE"/>
        </w:rPr>
        <w:t>)</w:t>
      </w:r>
      <w:r>
        <w:t>)</w:t>
      </w:r>
      <w:r>
        <w:rPr>
          <w:lang w:val="sv-SE"/>
        </w:rPr>
        <w:t xml:space="preserve"> / (</w:t>
      </w:r>
      <w:r>
        <w:t>H</w:t>
      </w:r>
      <w:r>
        <w:rPr>
          <w:lang w:val="sv-SE"/>
        </w:rPr>
        <w:t xml:space="preserve">RTAMLTOT)  </w:t>
      </w:r>
    </w:p>
    <w:p w:rsidR="00AB7E7A" w:rsidRDefault="00AB7E7A" w:rsidP="00AB7E7A">
      <w:pPr>
        <w:pStyle w:val="NoSpacing"/>
        <w:rPr>
          <w:u w:val="single"/>
        </w:rPr>
      </w:pPr>
      <w:r>
        <w:rPr>
          <w:u w:val="single"/>
        </w:rPr>
        <w:t xml:space="preserve">Protocol Sections 6.6.11.1, and 6.6.11.2, will have the following definition change: </w:t>
      </w:r>
    </w:p>
    <w:tbl>
      <w:tblPr>
        <w:tblW w:w="4957" w:type="pct"/>
        <w:tblCellMar>
          <w:left w:w="0" w:type="dxa"/>
          <w:right w:w="0" w:type="dxa"/>
        </w:tblCellMar>
        <w:tblLook w:val="04A0" w:firstRow="1" w:lastRow="0" w:firstColumn="1" w:lastColumn="0" w:noHBand="0" w:noVBand="1"/>
      </w:tblPr>
      <w:tblGrid>
        <w:gridCol w:w="965"/>
        <w:gridCol w:w="665"/>
        <w:gridCol w:w="7630"/>
      </w:tblGrid>
      <w:tr w:rsidR="00AB7E7A" w:rsidTr="00AB7E7A">
        <w:trPr>
          <w:cantSplit/>
        </w:trPr>
        <w:tc>
          <w:tcPr>
            <w:tcW w:w="521"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rsidR="00AB7E7A" w:rsidRDefault="00AB7E7A">
            <w:pPr>
              <w:pStyle w:val="TableBody"/>
              <w:spacing w:line="276" w:lineRule="auto"/>
            </w:pPr>
            <w:r>
              <w:t xml:space="preserve">ERSLRS </w:t>
            </w:r>
            <w:r>
              <w:rPr>
                <w:i/>
                <w:iCs/>
                <w:vertAlign w:val="subscript"/>
              </w:rPr>
              <w:t>qc(</w:t>
            </w:r>
            <w:proofErr w:type="spellStart"/>
            <w:r>
              <w:rPr>
                <w:i/>
                <w:iCs/>
                <w:vertAlign w:val="subscript"/>
              </w:rPr>
              <w:t>tp</w:t>
            </w:r>
            <w:proofErr w:type="spellEnd"/>
            <w:r>
              <w:rPr>
                <w:i/>
                <w:iCs/>
                <w:vertAlign w:val="subscript"/>
              </w:rPr>
              <w:t>)</w:t>
            </w:r>
          </w:p>
        </w:tc>
        <w:tc>
          <w:tcPr>
            <w:tcW w:w="359"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AB7E7A" w:rsidRDefault="00AB7E7A">
            <w:pPr>
              <w:pStyle w:val="VariableDefinition"/>
              <w:spacing w:after="60" w:line="276" w:lineRule="auto"/>
              <w:ind w:left="0" w:firstLine="0"/>
            </w:pPr>
            <w:r>
              <w:rPr>
                <w:sz w:val="20"/>
                <w:szCs w:val="20"/>
              </w:rPr>
              <w:t>None</w:t>
            </w:r>
          </w:p>
        </w:tc>
        <w:tc>
          <w:tcPr>
            <w:tcW w:w="4121"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rsidR="00AB7E7A" w:rsidRDefault="00AB7E7A">
            <w:pPr>
              <w:pStyle w:val="VariableDefinition"/>
              <w:spacing w:after="60" w:line="276" w:lineRule="auto"/>
              <w:ind w:left="0" w:firstLine="0"/>
              <w:rPr>
                <w:i/>
                <w:iCs/>
                <w:sz w:val="20"/>
                <w:szCs w:val="20"/>
              </w:rPr>
            </w:pPr>
            <w:r>
              <w:rPr>
                <w:i/>
                <w:iCs/>
                <w:sz w:val="20"/>
                <w:szCs w:val="20"/>
              </w:rPr>
              <w:t>ERS Load Ratio Share per QSE per ERS Contract Period per ERS Time Period per ERS Service Type</w:t>
            </w:r>
            <w:r>
              <w:t>—</w:t>
            </w:r>
            <w:r>
              <w:rPr>
                <w:sz w:val="20"/>
                <w:szCs w:val="20"/>
              </w:rPr>
              <w:t xml:space="preserve">ERS LRS for QSE </w:t>
            </w:r>
            <w:r>
              <w:rPr>
                <w:i/>
                <w:iCs/>
                <w:sz w:val="20"/>
                <w:szCs w:val="20"/>
              </w:rPr>
              <w:t xml:space="preserve">q </w:t>
            </w:r>
            <w:r>
              <w:rPr>
                <w:sz w:val="20"/>
                <w:szCs w:val="20"/>
              </w:rPr>
              <w:t xml:space="preserve">for ERS Contract Period </w:t>
            </w:r>
            <w:r>
              <w:rPr>
                <w:i/>
                <w:iCs/>
                <w:sz w:val="20"/>
                <w:szCs w:val="20"/>
              </w:rPr>
              <w:t>c</w:t>
            </w:r>
            <w:r>
              <w:rPr>
                <w:sz w:val="20"/>
                <w:szCs w:val="20"/>
              </w:rPr>
              <w:t>, ERS Time Period</w:t>
            </w:r>
            <w:r>
              <w:rPr>
                <w:i/>
                <w:iCs/>
                <w:sz w:val="20"/>
                <w:szCs w:val="20"/>
              </w:rPr>
              <w:t xml:space="preserve"> </w:t>
            </w:r>
            <w:proofErr w:type="spellStart"/>
            <w:r>
              <w:rPr>
                <w:i/>
                <w:iCs/>
                <w:sz w:val="20"/>
                <w:szCs w:val="20"/>
              </w:rPr>
              <w:t>tp</w:t>
            </w:r>
            <w:proofErr w:type="spellEnd"/>
            <w:r>
              <w:rPr>
                <w:i/>
                <w:iCs/>
                <w:sz w:val="20"/>
                <w:szCs w:val="20"/>
              </w:rPr>
              <w:t xml:space="preserve"> </w:t>
            </w:r>
            <w:r>
              <w:rPr>
                <w:sz w:val="20"/>
                <w:szCs w:val="20"/>
              </w:rPr>
              <w:t xml:space="preserve">and ERS service </w:t>
            </w:r>
            <w:proofErr w:type="spellStart"/>
            <w:r>
              <w:rPr>
                <w:sz w:val="20"/>
                <w:szCs w:val="20"/>
              </w:rPr>
              <w:t xml:space="preserve">type </w:t>
            </w:r>
            <w:r>
              <w:rPr>
                <w:i/>
                <w:iCs/>
                <w:sz w:val="20"/>
                <w:szCs w:val="20"/>
              </w:rPr>
              <w:t>d</w:t>
            </w:r>
            <w:proofErr w:type="spellEnd"/>
            <w:r>
              <w:rPr>
                <w:i/>
                <w:iCs/>
                <w:sz w:val="20"/>
                <w:szCs w:val="20"/>
              </w:rPr>
              <w:t xml:space="preserve">, </w:t>
            </w:r>
            <w:r>
              <w:rPr>
                <w:sz w:val="20"/>
                <w:szCs w:val="20"/>
              </w:rPr>
              <w:t xml:space="preserve">calculated starting with the first hour of the ERS Contract Period and ending with the earlier of the last hour of the ERS Contract Period or the hour containing the recall instruction in an ERS deployment event that results in the exhaustion of a QSE portfolio’s ERS obligation.  </w:t>
            </w:r>
            <w:r>
              <w:rPr>
                <w:b/>
                <w:bCs/>
                <w:sz w:val="20"/>
                <w:szCs w:val="20"/>
              </w:rPr>
              <w:t>If the resultant QSE-level share is negative, the QSE’s share will be set to zero and all other QSE shares will be adjusted on a pro rata basis such that the sum of all shares is equal to one.</w:t>
            </w:r>
          </w:p>
        </w:tc>
      </w:tr>
    </w:tbl>
    <w:p w:rsidR="00AB7E7A" w:rsidRDefault="00AB7E7A" w:rsidP="00AB7E7A">
      <w:pPr>
        <w:pStyle w:val="NoSpacing"/>
      </w:pPr>
    </w:p>
    <w:p w:rsidR="00AB7E7A" w:rsidRDefault="00AB7E7A" w:rsidP="00AB7E7A">
      <w:pPr>
        <w:pStyle w:val="NoSpacing"/>
      </w:pPr>
    </w:p>
    <w:p w:rsidR="00AB7E7A" w:rsidRDefault="00AB7E7A" w:rsidP="00AB7E7A">
      <w:pPr>
        <w:pStyle w:val="NoSpacing"/>
        <w:rPr>
          <w:u w:val="single"/>
        </w:rPr>
      </w:pPr>
      <w:r>
        <w:rPr>
          <w:u w:val="single"/>
        </w:rPr>
        <w:t>Protocol Section 7.5.7</w:t>
      </w:r>
    </w:p>
    <w:p w:rsidR="00AB7E7A" w:rsidRDefault="00AB7E7A" w:rsidP="00AB7E7A">
      <w:pPr>
        <w:pStyle w:val="NoSpacing"/>
        <w:ind w:left="720"/>
      </w:pPr>
      <w:r>
        <w:t>The billing determinant MLRSZ (Monthly Load Ratio Share Zonal) will be modified such that if the sum of the QSE load in a load zone is negative, their MLRSZ value will be zero and negative load will not be included when ERCOT creates billing determinant RTAMLLZTOT (Real-Time Adjusted Metered Load by Load Zone Total).</w:t>
      </w:r>
    </w:p>
    <w:p w:rsidR="00AB7E7A" w:rsidRDefault="00AB7E7A" w:rsidP="00AB7E7A">
      <w:pPr>
        <w:pStyle w:val="NoSpacing"/>
      </w:pPr>
    </w:p>
    <w:p w:rsidR="00AB7E7A" w:rsidRDefault="00AB7E7A" w:rsidP="00AB7E7A">
      <w:pPr>
        <w:pStyle w:val="NoSpacing"/>
        <w:rPr>
          <w:u w:val="single"/>
        </w:rPr>
      </w:pPr>
      <w:r>
        <w:rPr>
          <w:u w:val="single"/>
        </w:rPr>
        <w:t xml:space="preserve">The following equations will have a </w:t>
      </w:r>
      <w:proofErr w:type="gramStart"/>
      <w:r>
        <w:rPr>
          <w:u w:val="single"/>
        </w:rPr>
        <w:t>max(</w:t>
      </w:r>
      <w:proofErr w:type="gramEnd"/>
      <w:r>
        <w:rPr>
          <w:u w:val="single"/>
        </w:rPr>
        <w:t>0) introduced:</w:t>
      </w:r>
    </w:p>
    <w:p w:rsidR="00AB7E7A" w:rsidRDefault="00AB7E7A" w:rsidP="00AB7E7A">
      <w:pPr>
        <w:pStyle w:val="NoSpacing"/>
      </w:pPr>
    </w:p>
    <w:p w:rsidR="00AB7E7A" w:rsidRDefault="00AB7E7A" w:rsidP="00AB7E7A">
      <w:pPr>
        <w:pStyle w:val="NoSpacing"/>
        <w:ind w:left="450"/>
      </w:pPr>
      <w:r>
        <w:t>6.6.2.1 ERCOT Total Adjusted Metered Load for a 15-Minute Settlement Interval</w:t>
      </w:r>
    </w:p>
    <w:p w:rsidR="00AB7E7A" w:rsidRDefault="00AB7E7A" w:rsidP="00AB7E7A">
      <w:pPr>
        <w:pStyle w:val="NoSpacing"/>
        <w:ind w:left="450"/>
      </w:pPr>
    </w:p>
    <w:p w:rsidR="00AB7E7A" w:rsidRDefault="00AB7E7A" w:rsidP="00AB7E7A">
      <w:pPr>
        <w:pStyle w:val="FormulaBold"/>
        <w:ind w:left="1620"/>
      </w:pPr>
      <w:r>
        <w:t xml:space="preserve">RTAMLTOT =          </w:t>
      </w:r>
      <w:r>
        <w:rPr>
          <w:noProof/>
          <w:position w:val="-22"/>
        </w:rPr>
        <w:drawing>
          <wp:inline distT="0" distB="0" distL="0" distR="0">
            <wp:extent cx="146050" cy="2984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050" cy="298450"/>
                    </a:xfrm>
                    <a:prstGeom prst="rect">
                      <a:avLst/>
                    </a:prstGeom>
                    <a:noFill/>
                    <a:ln>
                      <a:noFill/>
                    </a:ln>
                  </pic:spPr>
                </pic:pic>
              </a:graphicData>
            </a:graphic>
          </wp:inline>
        </w:drawing>
      </w:r>
      <w:r>
        <w:t>(</w:t>
      </w:r>
      <w:proofErr w:type="gramStart"/>
      <w:r>
        <w:t>max(</w:t>
      </w:r>
      <w:proofErr w:type="gramEnd"/>
      <w:r>
        <w:t>0,</w:t>
      </w:r>
      <w:r>
        <w:rPr>
          <w:noProof/>
          <w:position w:val="-22"/>
        </w:rPr>
        <w:drawing>
          <wp:inline distT="0" distB="0" distL="0" distR="0">
            <wp:extent cx="146050" cy="2984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98450"/>
                    </a:xfrm>
                    <a:prstGeom prst="rect">
                      <a:avLst/>
                    </a:prstGeom>
                    <a:noFill/>
                    <a:ln>
                      <a:noFill/>
                    </a:ln>
                  </pic:spPr>
                </pic:pic>
              </a:graphicData>
            </a:graphic>
          </wp:inline>
        </w:drawing>
      </w:r>
      <w:r>
        <w:t xml:space="preserve">RTAML </w:t>
      </w:r>
      <w:r>
        <w:rPr>
          <w:i/>
          <w:iCs/>
          <w:vertAlign w:val="subscript"/>
        </w:rPr>
        <w:t>q, p</w:t>
      </w:r>
      <w:r>
        <w:t>))</w:t>
      </w:r>
    </w:p>
    <w:p w:rsidR="00AB7E7A" w:rsidRDefault="00AB7E7A" w:rsidP="00AB7E7A">
      <w:pPr>
        <w:pStyle w:val="NoSpacing"/>
        <w:ind w:left="450"/>
      </w:pPr>
      <w:r>
        <w:t>6.6.2.2 QSE Load Ratio Share for a 15-Minute Settlement Interval</w:t>
      </w:r>
    </w:p>
    <w:p w:rsidR="00AB7E7A" w:rsidRDefault="00AB7E7A" w:rsidP="00AB7E7A">
      <w:pPr>
        <w:pStyle w:val="NoSpacing"/>
        <w:ind w:left="450"/>
      </w:pPr>
    </w:p>
    <w:p w:rsidR="00AB7E7A" w:rsidRDefault="00AB7E7A" w:rsidP="00AB7E7A">
      <w:pPr>
        <w:pStyle w:val="FormulaBold"/>
        <w:ind w:left="1620"/>
      </w:pPr>
      <w:r>
        <w:t>LRS</w:t>
      </w:r>
      <w:r>
        <w:rPr>
          <w:i/>
          <w:iCs/>
          <w:vertAlign w:val="subscript"/>
        </w:rPr>
        <w:t xml:space="preserve"> q</w:t>
      </w:r>
      <w:r>
        <w:t>   =       (</w:t>
      </w:r>
      <w:proofErr w:type="gramStart"/>
      <w:r>
        <w:t>max(</w:t>
      </w:r>
      <w:proofErr w:type="gramEnd"/>
      <w:r>
        <w:t>0,</w:t>
      </w:r>
      <w:r>
        <w:rPr>
          <w:noProof/>
          <w:position w:val="-22"/>
        </w:rPr>
        <w:drawing>
          <wp:inline distT="0" distB="0" distL="0" distR="0">
            <wp:extent cx="146050" cy="2984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50" cy="298450"/>
                    </a:xfrm>
                    <a:prstGeom prst="rect">
                      <a:avLst/>
                    </a:prstGeom>
                    <a:noFill/>
                    <a:ln>
                      <a:noFill/>
                    </a:ln>
                  </pic:spPr>
                </pic:pic>
              </a:graphicData>
            </a:graphic>
          </wp:inline>
        </w:drawing>
      </w:r>
      <w:r>
        <w:t xml:space="preserve">RTAML </w:t>
      </w:r>
      <w:r>
        <w:rPr>
          <w:i/>
          <w:iCs/>
          <w:vertAlign w:val="subscript"/>
        </w:rPr>
        <w:t>q, p</w:t>
      </w:r>
      <w:r>
        <w:t>)) / RTAMLTOT</w:t>
      </w:r>
    </w:p>
    <w:p w:rsidR="00AB7E7A" w:rsidRDefault="00AB7E7A" w:rsidP="00AB7E7A">
      <w:pPr>
        <w:pStyle w:val="NoSpacing"/>
        <w:ind w:left="450"/>
      </w:pPr>
      <w:r>
        <w:t xml:space="preserve">9.16.1 ERCOT System Administration Fee </w:t>
      </w:r>
    </w:p>
    <w:p w:rsidR="00AB7E7A" w:rsidRDefault="00AB7E7A" w:rsidP="00AB7E7A">
      <w:pPr>
        <w:pStyle w:val="NoSpacing"/>
        <w:ind w:left="450"/>
      </w:pPr>
    </w:p>
    <w:p w:rsidR="00AB7E7A" w:rsidRDefault="00AB7E7A" w:rsidP="00AB7E7A">
      <w:pPr>
        <w:pStyle w:val="NoSpacing"/>
        <w:ind w:left="450"/>
      </w:pPr>
      <w:r>
        <w:t xml:space="preserve">     </w:t>
      </w:r>
      <w:proofErr w:type="spellStart"/>
      <w:proofErr w:type="gramStart"/>
      <w:r>
        <w:t>ESACAMT</w:t>
      </w:r>
      <w:r>
        <w:rPr>
          <w:i/>
          <w:iCs/>
          <w:vertAlign w:val="subscript"/>
        </w:rPr>
        <w:t>q</w:t>
      </w:r>
      <w:proofErr w:type="spellEnd"/>
      <w:r>
        <w:rPr>
          <w:i/>
          <w:iCs/>
          <w:vertAlign w:val="subscript"/>
        </w:rPr>
        <w:t xml:space="preserve"> </w:t>
      </w:r>
      <w:r>
        <w:t> =</w:t>
      </w:r>
      <w:proofErr w:type="gramEnd"/>
      <w:r>
        <w:t xml:space="preserve">  LAFF *  max(0, </w:t>
      </w:r>
      <w:r>
        <w:rPr>
          <w:noProof/>
          <w:position w:val="-22"/>
          <w:lang w:eastAsia="en-US"/>
        </w:rPr>
        <w:drawing>
          <wp:inline distT="0" distB="0" distL="0" distR="0">
            <wp:extent cx="146050" cy="2984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50" cy="298450"/>
                    </a:xfrm>
                    <a:prstGeom prst="rect">
                      <a:avLst/>
                    </a:prstGeom>
                    <a:noFill/>
                    <a:ln>
                      <a:noFill/>
                    </a:ln>
                  </pic:spPr>
                </pic:pic>
              </a:graphicData>
            </a:graphic>
          </wp:inline>
        </w:drawing>
      </w:r>
      <w:proofErr w:type="spellStart"/>
      <w:r>
        <w:t>RTAML</w:t>
      </w:r>
      <w:r>
        <w:rPr>
          <w:i/>
          <w:iCs/>
          <w:vertAlign w:val="subscript"/>
        </w:rPr>
        <w:t>q</w:t>
      </w:r>
      <w:proofErr w:type="spellEnd"/>
      <w:r>
        <w:rPr>
          <w:i/>
          <w:iCs/>
          <w:vertAlign w:val="subscript"/>
        </w:rPr>
        <w:t xml:space="preserve">, p </w:t>
      </w:r>
      <w:r>
        <w:t xml:space="preserve">)         </w:t>
      </w:r>
    </w:p>
    <w:p w:rsidR="00AB7E7A" w:rsidRDefault="00AB7E7A" w:rsidP="00AB7E7A">
      <w:pPr>
        <w:pStyle w:val="NoSpacing"/>
        <w:ind w:left="450"/>
      </w:pPr>
      <w:r>
        <w:t>                                                                                                                                                                                                                                                                                                                                                                                                              </w:t>
      </w:r>
    </w:p>
    <w:p w:rsidR="00AB7E7A" w:rsidRDefault="00AB7E7A" w:rsidP="00AB7E7A">
      <w:pPr>
        <w:pStyle w:val="NoSpacing"/>
        <w:ind w:left="450"/>
      </w:pPr>
      <w:r>
        <w:t xml:space="preserve">9.19.1 Default Uplift Invoices </w:t>
      </w:r>
    </w:p>
    <w:p w:rsidR="00AB7E7A" w:rsidRDefault="00AB7E7A" w:rsidP="00AB7E7A">
      <w:pPr>
        <w:pStyle w:val="NoSpacing"/>
        <w:ind w:left="450"/>
      </w:pPr>
    </w:p>
    <w:p w:rsidR="00AB7E7A" w:rsidRDefault="00AB7E7A" w:rsidP="00AB7E7A">
      <w:pPr>
        <w:pStyle w:val="NoSpacing"/>
        <w:ind w:left="450" w:firstLine="720"/>
      </w:pPr>
      <w:proofErr w:type="spellStart"/>
      <w:r>
        <w:t>URTAML</w:t>
      </w:r>
      <w:r>
        <w:rPr>
          <w:i/>
          <w:iCs/>
          <w:vertAlign w:val="subscript"/>
        </w:rPr>
        <w:t>mp</w:t>
      </w:r>
      <w:proofErr w:type="spellEnd"/>
      <w:r>
        <w:t xml:space="preserve"> = max (0</w:t>
      </w:r>
      <w:proofErr w:type="gramStart"/>
      <w:r>
        <w:t>,∑</w:t>
      </w:r>
      <w:proofErr w:type="gramEnd"/>
      <w:r>
        <w:rPr>
          <w:i/>
          <w:iCs/>
          <w:vertAlign w:val="subscript"/>
        </w:rPr>
        <w:t xml:space="preserve">p, </w:t>
      </w:r>
      <w:proofErr w:type="spellStart"/>
      <w:r>
        <w:rPr>
          <w:i/>
          <w:iCs/>
          <w:vertAlign w:val="subscript"/>
        </w:rPr>
        <w:t>i</w:t>
      </w:r>
      <w:proofErr w:type="spellEnd"/>
      <w:r>
        <w:t xml:space="preserve"> (</w:t>
      </w:r>
      <w:proofErr w:type="spellStart"/>
      <w:r>
        <w:t>RTAML</w:t>
      </w:r>
      <w:r>
        <w:rPr>
          <w:i/>
          <w:iCs/>
          <w:vertAlign w:val="subscript"/>
        </w:rPr>
        <w:t>mp</w:t>
      </w:r>
      <w:proofErr w:type="spellEnd"/>
      <w:r>
        <w:rPr>
          <w:i/>
          <w:iCs/>
          <w:vertAlign w:val="subscript"/>
        </w:rPr>
        <w:t xml:space="preserve">, p, </w:t>
      </w:r>
      <w:proofErr w:type="spellStart"/>
      <w:r>
        <w:rPr>
          <w:i/>
          <w:iCs/>
          <w:vertAlign w:val="subscript"/>
        </w:rPr>
        <w:t>i</w:t>
      </w:r>
      <w:proofErr w:type="spellEnd"/>
      <w:r>
        <w:t>))</w:t>
      </w:r>
    </w:p>
    <w:p w:rsidR="00AB7E7A" w:rsidRDefault="00AB7E7A" w:rsidP="00AB7E7A">
      <w:pPr>
        <w:pStyle w:val="NoSpacing"/>
        <w:ind w:left="450" w:firstLine="720"/>
      </w:pPr>
    </w:p>
    <w:p w:rsidR="00AB7E7A" w:rsidRDefault="00AB7E7A" w:rsidP="00AB7E7A">
      <w:pPr>
        <w:pStyle w:val="NoSpacing"/>
        <w:ind w:left="450"/>
      </w:pPr>
      <w:r>
        <w:t>11.4.5 (2</w:t>
      </w:r>
      <w:proofErr w:type="gramStart"/>
      <w:r>
        <w:t>,3</w:t>
      </w:r>
      <w:proofErr w:type="gramEnd"/>
      <w:r>
        <w:t xml:space="preserve">) Adjustment of Consumption Data for Losses </w:t>
      </w:r>
    </w:p>
    <w:p w:rsidR="00AB7E7A" w:rsidRDefault="00AB7E7A" w:rsidP="00AB7E7A">
      <w:pPr>
        <w:pStyle w:val="NoSpacing"/>
        <w:ind w:left="450"/>
      </w:pPr>
    </w:p>
    <w:p w:rsidR="00AB7E7A" w:rsidRDefault="00AB7E7A" w:rsidP="00AB7E7A">
      <w:pPr>
        <w:pStyle w:val="NoSpacing"/>
        <w:ind w:left="1890" w:hanging="720"/>
      </w:pPr>
      <w:r>
        <w:t xml:space="preserve">(2)       NDLAL </w:t>
      </w:r>
      <w:proofErr w:type="spellStart"/>
      <w:r>
        <w:rPr>
          <w:vertAlign w:val="subscript"/>
        </w:rPr>
        <w:t>i</w:t>
      </w:r>
      <w:proofErr w:type="spellEnd"/>
      <w:r>
        <w:t xml:space="preserve"> </w:t>
      </w:r>
      <w:r>
        <w:rPr>
          <w:vertAlign w:val="subscript"/>
        </w:rPr>
        <w:t xml:space="preserve">Aggregated Group    </w:t>
      </w:r>
      <w:r>
        <w:t xml:space="preserve">=          Max (0, L </w:t>
      </w:r>
      <w:proofErr w:type="spellStart"/>
      <w:r>
        <w:rPr>
          <w:vertAlign w:val="subscript"/>
        </w:rPr>
        <w:t>i</w:t>
      </w:r>
      <w:proofErr w:type="spellEnd"/>
      <w:r>
        <w:rPr>
          <w:vertAlign w:val="subscript"/>
        </w:rPr>
        <w:t xml:space="preserve"> Aggregated Group</w:t>
      </w:r>
      <w:r>
        <w:t xml:space="preserve">) * 1 / (1- DLF </w:t>
      </w:r>
      <w:proofErr w:type="spellStart"/>
      <w:r>
        <w:rPr>
          <w:vertAlign w:val="subscript"/>
        </w:rPr>
        <w:t>i</w:t>
      </w:r>
      <w:proofErr w:type="spellEnd"/>
      <w:r>
        <w:rPr>
          <w:vertAlign w:val="subscript"/>
        </w:rPr>
        <w:t xml:space="preserve"> Aggregated Group)</w:t>
      </w:r>
    </w:p>
    <w:p w:rsidR="00AB7E7A" w:rsidRDefault="00AB7E7A" w:rsidP="00AB7E7A">
      <w:pPr>
        <w:pStyle w:val="FormulaBold"/>
        <w:ind w:left="1620"/>
      </w:pPr>
      <w:r>
        <w:t xml:space="preserve">(3)        NLAL </w:t>
      </w:r>
      <w:proofErr w:type="spellStart"/>
      <w:r>
        <w:rPr>
          <w:i/>
          <w:iCs/>
          <w:vertAlign w:val="subscript"/>
        </w:rPr>
        <w:t>i</w:t>
      </w:r>
      <w:proofErr w:type="spellEnd"/>
      <w:r>
        <w:rPr>
          <w:i/>
          <w:iCs/>
        </w:rPr>
        <w:t xml:space="preserve"> </w:t>
      </w:r>
      <w:r>
        <w:rPr>
          <w:i/>
          <w:iCs/>
          <w:vertAlign w:val="subscript"/>
        </w:rPr>
        <w:t>Aggregated Group</w:t>
      </w:r>
      <w:r>
        <w:t xml:space="preserve">            =                      Max (0, NDLAL </w:t>
      </w:r>
      <w:proofErr w:type="spellStart"/>
      <w:r>
        <w:rPr>
          <w:i/>
          <w:iCs/>
          <w:vertAlign w:val="subscript"/>
        </w:rPr>
        <w:t>i</w:t>
      </w:r>
      <w:proofErr w:type="spellEnd"/>
      <w:r>
        <w:rPr>
          <w:i/>
          <w:iCs/>
        </w:rPr>
        <w:t xml:space="preserve"> </w:t>
      </w:r>
      <w:r>
        <w:rPr>
          <w:i/>
          <w:iCs/>
          <w:vertAlign w:val="subscript"/>
        </w:rPr>
        <w:t>Aggregated Group</w:t>
      </w:r>
      <w:r>
        <w:t xml:space="preserve">) * 1/ (1 - TLF </w:t>
      </w:r>
      <w:proofErr w:type="spellStart"/>
      <w:r>
        <w:rPr>
          <w:i/>
          <w:iCs/>
          <w:vertAlign w:val="subscript"/>
        </w:rPr>
        <w:t>i</w:t>
      </w:r>
      <w:proofErr w:type="spellEnd"/>
      <w:r>
        <w:t>)</w:t>
      </w:r>
    </w:p>
    <w:p w:rsidR="00AB7E7A" w:rsidRDefault="00AB7E7A" w:rsidP="00AB7E7A">
      <w:pPr>
        <w:pStyle w:val="NoSpacing"/>
        <w:ind w:left="450" w:firstLine="720"/>
      </w:pPr>
    </w:p>
    <w:p w:rsidR="00AB7E7A" w:rsidRDefault="00AB7E7A" w:rsidP="00AB7E7A">
      <w:pPr>
        <w:pStyle w:val="NoSpacing"/>
        <w:ind w:left="1620" w:hanging="1170"/>
      </w:pPr>
      <w:r>
        <w:t>11.4.6.4     Unaccounted For Energy Allocation to Load Serving Entities within Unaccounted For Energy Categories</w:t>
      </w:r>
    </w:p>
    <w:p w:rsidR="00AB7E7A" w:rsidRDefault="00AB7E7A" w:rsidP="00AB7E7A">
      <w:pPr>
        <w:pStyle w:val="FormulaBold"/>
        <w:ind w:left="1620"/>
        <w:rPr>
          <w:lang w:val="pt-BR"/>
        </w:rPr>
      </w:pPr>
      <w:r>
        <w:t xml:space="preserve">            </w:t>
      </w:r>
      <w:r>
        <w:rPr>
          <w:lang w:val="pt-BR"/>
        </w:rPr>
        <w:t xml:space="preserve">UFE </w:t>
      </w:r>
      <w:r>
        <w:rPr>
          <w:i/>
          <w:iCs/>
          <w:vertAlign w:val="subscript"/>
          <w:lang w:val="pt-BR"/>
        </w:rPr>
        <w:t>PRiz</w:t>
      </w:r>
      <w:r>
        <w:rPr>
          <w:i/>
          <w:iCs/>
          <w:lang w:val="pt-BR"/>
        </w:rPr>
        <w:t xml:space="preserve"> </w:t>
      </w:r>
      <w:r>
        <w:rPr>
          <w:i/>
          <w:iCs/>
          <w:vertAlign w:val="subscript"/>
          <w:lang w:val="pt-BR"/>
        </w:rPr>
        <w:t>LSE</w:t>
      </w:r>
      <w:r>
        <w:rPr>
          <w:lang w:val="pt-BR"/>
        </w:rPr>
        <w:t xml:space="preserve"> =          UFE </w:t>
      </w:r>
      <w:r>
        <w:rPr>
          <w:i/>
          <w:iCs/>
          <w:vertAlign w:val="subscript"/>
          <w:lang w:val="pt-BR"/>
        </w:rPr>
        <w:t>PRiz</w:t>
      </w:r>
      <w:r>
        <w:rPr>
          <w:vertAlign w:val="subscript"/>
          <w:lang w:val="pt-BR"/>
        </w:rPr>
        <w:t xml:space="preserve">                              </w:t>
      </w:r>
      <w:r>
        <w:rPr>
          <w:lang w:val="pt-BR"/>
        </w:rPr>
        <w:t xml:space="preserve">*           (Max (0, L </w:t>
      </w:r>
      <w:r>
        <w:rPr>
          <w:i/>
          <w:iCs/>
          <w:vertAlign w:val="subscript"/>
          <w:lang w:val="pt-BR"/>
        </w:rPr>
        <w:t>PRiz LSE</w:t>
      </w:r>
      <w:r>
        <w:rPr>
          <w:lang w:val="pt-BR"/>
        </w:rPr>
        <w:t xml:space="preserve">) / L </w:t>
      </w:r>
      <w:r>
        <w:rPr>
          <w:i/>
          <w:iCs/>
          <w:vertAlign w:val="subscript"/>
          <w:lang w:val="pt-BR"/>
        </w:rPr>
        <w:t>PRiz</w:t>
      </w:r>
      <w:r>
        <w:rPr>
          <w:lang w:val="pt-BR"/>
        </w:rPr>
        <w:t>)</w:t>
      </w:r>
    </w:p>
    <w:p w:rsidR="00AB7E7A" w:rsidRDefault="00AB7E7A" w:rsidP="00AB7E7A">
      <w:pPr>
        <w:pStyle w:val="FormulaBold"/>
        <w:ind w:left="1620"/>
        <w:rPr>
          <w:lang w:val="pt-BR"/>
        </w:rPr>
      </w:pPr>
      <w:r>
        <w:rPr>
          <w:lang w:val="pt-BR"/>
        </w:rPr>
        <w:t xml:space="preserve">UFE </w:t>
      </w:r>
      <w:r>
        <w:rPr>
          <w:i/>
          <w:iCs/>
          <w:vertAlign w:val="subscript"/>
          <w:lang w:val="pt-BR"/>
        </w:rPr>
        <w:t>IDRiz LSE</w:t>
      </w:r>
      <w:r>
        <w:rPr>
          <w:lang w:val="pt-BR"/>
        </w:rPr>
        <w:t xml:space="preserve"> =          UFE</w:t>
      </w:r>
      <w:r>
        <w:rPr>
          <w:vertAlign w:val="subscript"/>
          <w:lang w:val="pt-BR"/>
        </w:rPr>
        <w:t xml:space="preserve"> </w:t>
      </w:r>
      <w:r>
        <w:rPr>
          <w:i/>
          <w:iCs/>
          <w:vertAlign w:val="subscript"/>
          <w:lang w:val="pt-BR"/>
        </w:rPr>
        <w:t>IDRiz</w:t>
      </w:r>
      <w:r>
        <w:rPr>
          <w:lang w:val="pt-BR"/>
        </w:rPr>
        <w:t xml:space="preserve">          *           (Max (0, L </w:t>
      </w:r>
      <w:r>
        <w:rPr>
          <w:i/>
          <w:iCs/>
          <w:vertAlign w:val="subscript"/>
          <w:lang w:val="pt-BR"/>
        </w:rPr>
        <w:t>IDRiz LSE</w:t>
      </w:r>
      <w:r>
        <w:rPr>
          <w:lang w:val="pt-BR"/>
        </w:rPr>
        <w:t xml:space="preserve">) / L </w:t>
      </w:r>
      <w:r>
        <w:rPr>
          <w:i/>
          <w:iCs/>
          <w:vertAlign w:val="subscript"/>
          <w:lang w:val="pt-BR"/>
        </w:rPr>
        <w:t>IDRiz</w:t>
      </w:r>
      <w:r>
        <w:rPr>
          <w:lang w:val="pt-BR"/>
        </w:rPr>
        <w:t>)</w:t>
      </w:r>
    </w:p>
    <w:p w:rsidR="00AB7E7A" w:rsidRDefault="00AB7E7A" w:rsidP="00AB7E7A">
      <w:pPr>
        <w:pStyle w:val="FormulaBold"/>
        <w:ind w:left="1620"/>
        <w:rPr>
          <w:lang w:val="pt-BR"/>
        </w:rPr>
      </w:pPr>
      <w:r>
        <w:rPr>
          <w:lang w:val="pt-BR"/>
        </w:rPr>
        <w:t xml:space="preserve">UFE </w:t>
      </w:r>
      <w:r>
        <w:rPr>
          <w:i/>
          <w:iCs/>
          <w:vertAlign w:val="subscript"/>
          <w:lang w:val="pt-BR"/>
        </w:rPr>
        <w:t>TRiz LSE</w:t>
      </w:r>
      <w:r>
        <w:rPr>
          <w:lang w:val="pt-BR"/>
        </w:rPr>
        <w:t>  =          UFE</w:t>
      </w:r>
      <w:r>
        <w:rPr>
          <w:vertAlign w:val="subscript"/>
          <w:lang w:val="pt-BR"/>
        </w:rPr>
        <w:t xml:space="preserve"> </w:t>
      </w:r>
      <w:r>
        <w:rPr>
          <w:i/>
          <w:iCs/>
          <w:vertAlign w:val="subscript"/>
          <w:lang w:val="pt-BR"/>
        </w:rPr>
        <w:t>TRiz</w:t>
      </w:r>
      <w:r>
        <w:rPr>
          <w:lang w:val="pt-BR"/>
        </w:rPr>
        <w:t xml:space="preserve">                       *           (Max (0, L </w:t>
      </w:r>
      <w:r>
        <w:rPr>
          <w:i/>
          <w:iCs/>
          <w:vertAlign w:val="subscript"/>
          <w:lang w:val="pt-BR"/>
        </w:rPr>
        <w:t>TRiz LSE</w:t>
      </w:r>
      <w:r>
        <w:rPr>
          <w:lang w:val="pt-BR"/>
        </w:rPr>
        <w:t xml:space="preserve">) / L </w:t>
      </w:r>
      <w:r>
        <w:rPr>
          <w:i/>
          <w:iCs/>
          <w:vertAlign w:val="subscript"/>
          <w:lang w:val="pt-BR"/>
        </w:rPr>
        <w:t>TRiz</w:t>
      </w:r>
      <w:r>
        <w:rPr>
          <w:lang w:val="pt-BR"/>
        </w:rPr>
        <w:t>)</w:t>
      </w:r>
    </w:p>
    <w:p w:rsidR="00AB7E7A" w:rsidRDefault="00AB7E7A" w:rsidP="00AB7E7A">
      <w:pPr>
        <w:pStyle w:val="FormulaBold"/>
        <w:ind w:left="1620"/>
        <w:rPr>
          <w:lang w:val="pt-BR"/>
        </w:rPr>
      </w:pPr>
      <w:r>
        <w:rPr>
          <w:lang w:val="pt-BR"/>
        </w:rPr>
        <w:t xml:space="preserve">UFE </w:t>
      </w:r>
      <w:r>
        <w:rPr>
          <w:vertAlign w:val="subscript"/>
          <w:lang w:val="pt-BR"/>
        </w:rPr>
        <w:t>TNOIEiz LSE</w:t>
      </w:r>
      <w:r>
        <w:rPr>
          <w:lang w:val="pt-BR"/>
        </w:rPr>
        <w:t>         =          UFE</w:t>
      </w:r>
      <w:r>
        <w:rPr>
          <w:vertAlign w:val="subscript"/>
          <w:lang w:val="pt-BR"/>
        </w:rPr>
        <w:t xml:space="preserve"> TNOIEiz</w:t>
      </w:r>
      <w:r>
        <w:rPr>
          <w:lang w:val="pt-BR"/>
        </w:rPr>
        <w:t xml:space="preserve">      *           (Max (0, L </w:t>
      </w:r>
      <w:r>
        <w:rPr>
          <w:vertAlign w:val="subscript"/>
          <w:lang w:val="pt-BR"/>
        </w:rPr>
        <w:t>TNOIEiz LSE</w:t>
      </w:r>
      <w:r>
        <w:rPr>
          <w:lang w:val="pt-BR"/>
        </w:rPr>
        <w:t xml:space="preserve">) / L </w:t>
      </w:r>
      <w:r>
        <w:rPr>
          <w:vertAlign w:val="subscript"/>
          <w:lang w:val="pt-BR"/>
        </w:rPr>
        <w:t>TNOIEiz</w:t>
      </w:r>
      <w:r>
        <w:rPr>
          <w:lang w:val="pt-BR"/>
        </w:rPr>
        <w:t>)</w:t>
      </w:r>
    </w:p>
    <w:p w:rsidR="00AB7E7A" w:rsidRDefault="00AB7E7A" w:rsidP="00AB7E7A">
      <w:pPr>
        <w:pStyle w:val="NoSpacing"/>
      </w:pPr>
      <w:r>
        <w:t xml:space="preserve">   </w:t>
      </w:r>
    </w:p>
    <w:p w:rsidR="00AB7E7A" w:rsidRDefault="00AB7E7A" w:rsidP="00AB7E7A">
      <w:pPr>
        <w:pStyle w:val="NoSpacing"/>
      </w:pPr>
      <w:r>
        <w:t>                                                                                                                                                                                                                                                                                                                                                                                                                                                                                                                                                                                                    </w:t>
      </w:r>
      <w:r>
        <w:t>        </w:t>
      </w:r>
      <w:bookmarkStart w:id="0" w:name="_GoBack"/>
      <w:bookmarkEnd w:id="0"/>
      <w:r>
        <w:t>                                                                                                                                                                                                                                                            </w:t>
      </w:r>
      <w:r>
        <w:rPr>
          <w:rStyle w:val="StyleBold"/>
        </w:rPr>
        <w:t>ACTION REQUIRED:</w:t>
      </w:r>
      <w:r>
        <w:t>  Implement changes to shadow Settlement systems for NPRR746.</w:t>
      </w:r>
    </w:p>
    <w:p w:rsidR="00AB7E7A" w:rsidRDefault="00AB7E7A" w:rsidP="00AB7E7A">
      <w:pPr>
        <w:pStyle w:val="NoSpacing"/>
        <w:ind w:firstLine="720"/>
      </w:pPr>
    </w:p>
    <w:p w:rsidR="00AB7E7A" w:rsidRDefault="00AB7E7A" w:rsidP="00AB7E7A">
      <w:pPr>
        <w:shd w:val="clear" w:color="auto" w:fill="FFFFFF"/>
      </w:pPr>
      <w:r>
        <w:rPr>
          <w:rStyle w:val="StyleBold"/>
        </w:rPr>
        <w:t>CONTACT:</w:t>
      </w:r>
      <w:r>
        <w:t xml:space="preserve">  If you have any questions, please contact your ERCOT Account Manager. You may also call the general ERCOT Client Services phone number at (512) 248-3900 or contact ERCOT Client Services via email at </w:t>
      </w:r>
      <w:hyperlink r:id="rId8" w:history="1">
        <w:r>
          <w:rPr>
            <w:rStyle w:val="Hyperlink"/>
          </w:rPr>
          <w:t>ClientServices@ercot.com</w:t>
        </w:r>
      </w:hyperlink>
      <w:r>
        <w:t>.</w:t>
      </w:r>
    </w:p>
    <w:p w:rsidR="00AB7E7A" w:rsidRDefault="00AB7E7A" w:rsidP="00AB7E7A">
      <w:pPr>
        <w:rPr>
          <w:sz w:val="20"/>
          <w:szCs w:val="20"/>
        </w:rPr>
      </w:pPr>
      <w:r>
        <w:rPr>
          <w:rStyle w:val="StyleBold"/>
          <w:sz w:val="20"/>
          <w:szCs w:val="20"/>
        </w:rPr>
        <w:t xml:space="preserve">If you are receiving email from an ERCOT distribution list that you no longer wish to receive, please follow this link in order to unsubscribe from this list: </w:t>
      </w:r>
      <w:hyperlink r:id="rId9" w:history="1">
        <w:r>
          <w:rPr>
            <w:rStyle w:val="Hyperlink"/>
            <w:sz w:val="20"/>
            <w:szCs w:val="20"/>
          </w:rPr>
          <w:t>http://lists.ercot.com</w:t>
        </w:r>
      </w:hyperlink>
      <w:r>
        <w:rPr>
          <w:sz w:val="20"/>
          <w:szCs w:val="20"/>
        </w:rPr>
        <w:t>.</w:t>
      </w:r>
    </w:p>
    <w:p w:rsidR="00363069" w:rsidRDefault="00363069"/>
    <w:sectPr w:rsidR="00363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27"/>
    <w:rsid w:val="00363069"/>
    <w:rsid w:val="003B51CA"/>
    <w:rsid w:val="00AB7E7A"/>
    <w:rsid w:val="00DA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8D704-4504-4CD5-8103-D797F88AB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E7A"/>
    <w:pPr>
      <w:spacing w:after="240" w:line="240" w:lineRule="auto"/>
    </w:pPr>
    <w:rPr>
      <w:rFonts w:ascii="Arial" w:eastAsia="MS PGothic" w:hAnsi="Arial" w:cs="Arial"/>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7E7A"/>
    <w:rPr>
      <w:color w:val="0563C1"/>
      <w:u w:val="single"/>
    </w:rPr>
  </w:style>
  <w:style w:type="paragraph" w:styleId="Header">
    <w:name w:val="header"/>
    <w:basedOn w:val="Normal"/>
    <w:link w:val="HeaderChar"/>
    <w:uiPriority w:val="99"/>
    <w:semiHidden/>
    <w:unhideWhenUsed/>
    <w:rsid w:val="00AB7E7A"/>
    <w:pPr>
      <w:spacing w:after="0"/>
    </w:pPr>
    <w:rPr>
      <w:b/>
      <w:bCs/>
      <w:lang w:eastAsia="x-none"/>
    </w:rPr>
  </w:style>
  <w:style w:type="character" w:customStyle="1" w:styleId="HeaderChar">
    <w:name w:val="Header Char"/>
    <w:basedOn w:val="DefaultParagraphFont"/>
    <w:link w:val="Header"/>
    <w:uiPriority w:val="99"/>
    <w:semiHidden/>
    <w:rsid w:val="00AB7E7A"/>
    <w:rPr>
      <w:rFonts w:ascii="Arial" w:eastAsia="MS PGothic" w:hAnsi="Arial" w:cs="Arial"/>
      <w:b/>
      <w:bCs/>
      <w:sz w:val="24"/>
      <w:szCs w:val="24"/>
      <w:lang w:eastAsia="x-none"/>
    </w:rPr>
  </w:style>
  <w:style w:type="paragraph" w:styleId="NoSpacing">
    <w:name w:val="No Spacing"/>
    <w:basedOn w:val="Normal"/>
    <w:uiPriority w:val="1"/>
    <w:qFormat/>
    <w:rsid w:val="00AB7E7A"/>
    <w:pPr>
      <w:spacing w:after="0"/>
    </w:pPr>
  </w:style>
  <w:style w:type="character" w:customStyle="1" w:styleId="FormulaBoldChar">
    <w:name w:val="Formula Bold Char"/>
    <w:basedOn w:val="DefaultParagraphFont"/>
    <w:link w:val="FormulaBold"/>
    <w:locked/>
    <w:rsid w:val="00AB7E7A"/>
    <w:rPr>
      <w:rFonts w:ascii="Arial" w:hAnsi="Arial" w:cs="Arial"/>
    </w:rPr>
  </w:style>
  <w:style w:type="paragraph" w:customStyle="1" w:styleId="FormulaBold">
    <w:name w:val="Formula Bold"/>
    <w:basedOn w:val="Normal"/>
    <w:link w:val="FormulaBoldChar"/>
    <w:rsid w:val="00AB7E7A"/>
    <w:pPr>
      <w:ind w:left="1170" w:hanging="720"/>
    </w:pPr>
    <w:rPr>
      <w:rFonts w:eastAsiaTheme="minorHAnsi"/>
      <w:sz w:val="22"/>
      <w:szCs w:val="22"/>
      <w:lang w:eastAsia="en-US"/>
    </w:rPr>
  </w:style>
  <w:style w:type="paragraph" w:customStyle="1" w:styleId="TableBody">
    <w:name w:val="Table Body"/>
    <w:basedOn w:val="Normal"/>
    <w:rsid w:val="00AB7E7A"/>
    <w:pPr>
      <w:spacing w:after="60"/>
    </w:pPr>
    <w:rPr>
      <w:rFonts w:ascii="Times New Roman" w:hAnsi="Times New Roman" w:cs="Times New Roman"/>
      <w:sz w:val="20"/>
      <w:szCs w:val="20"/>
    </w:rPr>
  </w:style>
  <w:style w:type="paragraph" w:customStyle="1" w:styleId="VariableDefinition">
    <w:name w:val="Variable Definition"/>
    <w:basedOn w:val="Normal"/>
    <w:rsid w:val="00AB7E7A"/>
    <w:pPr>
      <w:ind w:left="2160" w:hanging="1440"/>
      <w:contextualSpacing/>
    </w:pPr>
    <w:rPr>
      <w:rFonts w:ascii="Times New Roman" w:hAnsi="Times New Roman" w:cs="Times New Roman"/>
    </w:rPr>
  </w:style>
  <w:style w:type="character" w:customStyle="1" w:styleId="StyleBold">
    <w:name w:val="Style Bold"/>
    <w:basedOn w:val="DefaultParagraphFont"/>
    <w:rsid w:val="00AB7E7A"/>
    <w:rPr>
      <w:rFonts w:ascii="Arial" w:hAnsi="Arial" w:cs="Aria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entServices@ercot.com" TargetMode="Externa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lists.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4693</Characters>
  <Application>Microsoft Office Word</Application>
  <DocSecurity>0</DocSecurity>
  <Lines>39</Lines>
  <Paragraphs>11</Paragraphs>
  <ScaleCrop>false</ScaleCrop>
  <Company>The Electric Reliability Council of Texas</Company>
  <LinksUpToDate>false</LinksUpToDate>
  <CharactersWithSpaces>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 Austin</dc:creator>
  <cp:keywords/>
  <dc:description/>
  <cp:lastModifiedBy>Rosel, Austin</cp:lastModifiedBy>
  <cp:revision>2</cp:revision>
  <dcterms:created xsi:type="dcterms:W3CDTF">2017-04-20T15:55:00Z</dcterms:created>
  <dcterms:modified xsi:type="dcterms:W3CDTF">2017-04-20T15:55:00Z</dcterms:modified>
</cp:coreProperties>
</file>