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41" w:rsidRDefault="002E7441" w:rsidP="002E7441">
      <w:pPr>
        <w:pStyle w:val="Heading2"/>
        <w:shd w:val="clear" w:color="auto" w:fill="FFFFFF"/>
        <w:spacing w:before="0" w:line="360" w:lineRule="atLeast"/>
        <w:rPr>
          <w:rFonts w:ascii="Arial" w:hAnsi="Arial" w:cs="Arial"/>
          <w:color w:val="5B6770"/>
        </w:rPr>
      </w:pPr>
      <w:r>
        <w:rPr>
          <w:rFonts w:ascii="Arial" w:hAnsi="Arial" w:cs="Arial"/>
          <w:color w:val="5B6770"/>
        </w:rPr>
        <w:t>CSWG Meeting</w:t>
      </w:r>
    </w:p>
    <w:tbl>
      <w:tblPr>
        <w:tblW w:w="5144" w:type="pct"/>
        <w:tblCellSpacing w:w="0" w:type="dxa"/>
        <w:tblInd w:w="-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5418"/>
      </w:tblGrid>
      <w:tr w:rsidR="002E7441" w:rsidTr="002E7441">
        <w:trPr>
          <w:gridAfter w:val="1"/>
          <w:tblCellSpacing w:w="0" w:type="dxa"/>
        </w:trPr>
        <w:tc>
          <w:tcPr>
            <w:tcW w:w="2187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E7441" w:rsidRDefault="00F96A19">
            <w:pPr>
              <w:spacing w:before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March 27</w:t>
            </w:r>
            <w:r w:rsidR="002E7441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, 2017</w:t>
            </w:r>
            <w:r w:rsidR="002E7441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br/>
            </w:r>
            <w:r w:rsidR="002E7441">
              <w:rPr>
                <w:rStyle w:val="Strong"/>
                <w:rFonts w:ascii="Arial" w:hAnsi="Arial" w:cs="Arial"/>
                <w:color w:val="000000"/>
                <w:sz w:val="21"/>
                <w:szCs w:val="21"/>
              </w:rPr>
              <w:t>01:00 PM</w:t>
            </w:r>
          </w:p>
        </w:tc>
      </w:tr>
      <w:tr w:rsidR="002E7441" w:rsidTr="002E7441">
        <w:trPr>
          <w:tblCellSpacing w:w="0" w:type="dxa"/>
        </w:trPr>
        <w:tc>
          <w:tcPr>
            <w:tcW w:w="2187" w:type="pct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E7441" w:rsidRDefault="002E7441" w:rsidP="002E7441">
            <w:pPr>
              <w:spacing w:before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ERCOT Austin</w:t>
            </w:r>
            <w:bookmarkStart w:id="0" w:name="_GoBack"/>
            <w:bookmarkEnd w:id="0"/>
          </w:p>
          <w:p w:rsidR="002E7441" w:rsidRDefault="002E7441" w:rsidP="002E7441">
            <w:pPr>
              <w:spacing w:before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WebEx Only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E7441" w:rsidRDefault="002E7441" w:rsidP="002E7441">
            <w:pPr>
              <w:spacing w:before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Teleconference: 877-668-4493</w:t>
            </w:r>
          </w:p>
          <w:p w:rsidR="002E7441" w:rsidRDefault="002E7441" w:rsidP="002E7441">
            <w:pPr>
              <w:spacing w:before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Meeting number: </w:t>
            </w:r>
            <w:r w:rsidR="00E97FDE">
              <w:rPr>
                <w:rFonts w:ascii="Arial" w:hAnsi="Arial" w:cs="Arial"/>
                <w:color w:val="000000"/>
                <w:sz w:val="21"/>
                <w:szCs w:val="21"/>
              </w:rPr>
              <w:t>624 095 762</w:t>
            </w:r>
          </w:p>
          <w:p w:rsidR="002E7441" w:rsidRDefault="002E7441" w:rsidP="002E7441">
            <w:pPr>
              <w:spacing w:before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Meeting password: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Cswg</w:t>
            </w:r>
            <w:proofErr w:type="spellEnd"/>
          </w:p>
        </w:tc>
      </w:tr>
    </w:tbl>
    <w:p w:rsidR="002E7441" w:rsidRDefault="004C06F7" w:rsidP="002E7441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black" stroked="f"/>
        </w:pict>
      </w:r>
    </w:p>
    <w:p w:rsidR="002E7441" w:rsidRDefault="002E7441" w:rsidP="002E7441">
      <w:pPr>
        <w:pStyle w:val="Heading5"/>
        <w:shd w:val="clear" w:color="auto" w:fill="FFFFFF"/>
        <w:spacing w:before="0" w:beforeAutospacing="0" w:after="0" w:afterAutospacing="0"/>
        <w:rPr>
          <w:rFonts w:ascii="Arial" w:hAnsi="Arial" w:cs="Arial"/>
          <w:color w:val="5B6770"/>
          <w:sz w:val="21"/>
          <w:szCs w:val="21"/>
        </w:rPr>
      </w:pPr>
      <w:r>
        <w:rPr>
          <w:rFonts w:ascii="Arial" w:hAnsi="Arial" w:cs="Arial"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8024"/>
        <w:gridCol w:w="2528"/>
        <w:gridCol w:w="2259"/>
      </w:tblGrid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2E7441">
            <w:pPr>
              <w:pStyle w:val="NormalWeb"/>
              <w:spacing w:before="0" w:beforeAutospacing="0" w:after="45" w:afterAutospacing="0"/>
            </w:pPr>
            <w:r w:rsidRPr="00F96A19">
              <w:t>Antitrust Admonition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E97FDE">
            <w:pPr>
              <w:pStyle w:val="NormalWeb"/>
              <w:spacing w:before="0" w:beforeAutospacing="0" w:after="45" w:afterAutospacing="0"/>
            </w:pPr>
            <w:r>
              <w:t>H. Lookadoo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1:00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2.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2E7441">
            <w:pPr>
              <w:pStyle w:val="NormalWeb"/>
              <w:spacing w:before="0" w:beforeAutospacing="0" w:after="45" w:afterAutospacing="0"/>
            </w:pPr>
            <w:r w:rsidRPr="00F96A19">
              <w:t>Agenda Review and Roll Call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E97FDE">
            <w:pPr>
              <w:pStyle w:val="NormalWeb"/>
              <w:spacing w:before="0" w:beforeAutospacing="0" w:after="45" w:afterAutospacing="0"/>
            </w:pPr>
            <w:r>
              <w:t>H. Lookadoo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1:05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3.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E97FDE">
            <w:pPr>
              <w:pStyle w:val="NormalWeb"/>
              <w:spacing w:before="0" w:beforeAutospacing="0" w:after="45" w:afterAutospacing="0"/>
            </w:pPr>
            <w:r w:rsidRPr="00F96A19">
              <w:t>DC Tie</w:t>
            </w:r>
          </w:p>
          <w:p w:rsidR="00E97FDE" w:rsidRPr="00F96A19" w:rsidRDefault="00E97FDE" w:rsidP="00E97FDE">
            <w:pPr>
              <w:pStyle w:val="NormalWeb"/>
              <w:numPr>
                <w:ilvl w:val="0"/>
                <w:numId w:val="10"/>
              </w:numPr>
              <w:spacing w:before="0" w:beforeAutospacing="0" w:after="45" w:afterAutospacing="0"/>
            </w:pPr>
            <w:r w:rsidRPr="00F96A19">
              <w:t>Have they been able to define a way to prevent the issue from Occurring again?</w:t>
            </w:r>
          </w:p>
          <w:p w:rsidR="00E97FDE" w:rsidRPr="00F96A19" w:rsidRDefault="00E97FDE" w:rsidP="00E97FDE">
            <w:pPr>
              <w:pStyle w:val="NormalWeb"/>
              <w:numPr>
                <w:ilvl w:val="0"/>
                <w:numId w:val="10"/>
              </w:numPr>
              <w:spacing w:before="0" w:beforeAutospacing="0" w:after="45" w:afterAutospacing="0"/>
            </w:pPr>
            <w:r w:rsidRPr="00F96A19">
              <w:t>Will they be pursuing a NPRR to change the way we settle the DC Tie when this occurs? (this effects not only the 4CP but contributes to UFE )</w:t>
            </w:r>
          </w:p>
          <w:p w:rsidR="00E97FDE" w:rsidRPr="00F96A19" w:rsidRDefault="00E97FDE" w:rsidP="00E97FDE">
            <w:pPr>
              <w:pStyle w:val="NormalWeb"/>
              <w:numPr>
                <w:ilvl w:val="0"/>
                <w:numId w:val="10"/>
              </w:numPr>
              <w:spacing w:before="0" w:beforeAutospacing="0" w:after="45" w:afterAutospacing="0"/>
            </w:pPr>
            <w:r w:rsidRPr="00F96A19">
              <w:t>How many other DC Ties is this a potential issue?  What are those Ties?</w:t>
            </w:r>
          </w:p>
          <w:p w:rsidR="00E97FDE" w:rsidRPr="00F96A19" w:rsidRDefault="00E97FDE" w:rsidP="00E97FDE">
            <w:pPr>
              <w:pStyle w:val="NormalWeb"/>
              <w:numPr>
                <w:ilvl w:val="0"/>
                <w:numId w:val="10"/>
              </w:numPr>
              <w:spacing w:before="0" w:beforeAutospacing="0" w:after="45" w:afterAutospacing="0"/>
            </w:pPr>
            <w:r w:rsidRPr="00F96A19">
              <w:t>Commission Ruling?</w:t>
            </w:r>
          </w:p>
          <w:p w:rsidR="00E97FDE" w:rsidRPr="00F96A19" w:rsidRDefault="00E97FDE" w:rsidP="00E97FDE">
            <w:pPr>
              <w:pStyle w:val="NormalWeb"/>
              <w:spacing w:before="0" w:beforeAutospacing="0" w:after="45" w:afterAutospacing="0"/>
              <w:ind w:left="720"/>
            </w:pP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CSWG</w:t>
            </w:r>
          </w:p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 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1:10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4.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E97FDE" w:rsidP="006D4B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eastAsia="Times New Roman" w:hAnsi="Times New Roman" w:cs="Times New Roman"/>
                <w:sz w:val="24"/>
                <w:szCs w:val="24"/>
              </w:rPr>
              <w:t>2% Rule Follow-up</w:t>
            </w:r>
          </w:p>
          <w:p w:rsidR="00E97FDE" w:rsidRPr="00F96A19" w:rsidRDefault="00E97FDE" w:rsidP="00E97FD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96A19">
              <w:rPr>
                <w:rFonts w:ascii="Times New Roman" w:hAnsi="Times New Roman"/>
                <w:sz w:val="24"/>
                <w:szCs w:val="24"/>
              </w:rPr>
              <w:t>ERCOT Analysis of Tenaska Scenario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E97FDE" w:rsidP="006D4B21">
            <w:pPr>
              <w:rPr>
                <w:sz w:val="24"/>
                <w:szCs w:val="24"/>
              </w:rPr>
            </w:pPr>
            <w:r w:rsidRPr="00E97FDE">
              <w:rPr>
                <w:rFonts w:ascii="Calibri" w:hAnsi="Calibri" w:cs="Times New Roman"/>
                <w:sz w:val="24"/>
                <w:szCs w:val="24"/>
              </w:rPr>
              <w:t>ERCOT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1:15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5.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E97FDE" w:rsidP="00E97FD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>Review NPRR 819 for language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E97FDE">
            <w:pPr>
              <w:pStyle w:val="NormalWeb"/>
              <w:spacing w:before="0" w:beforeAutospacing="0" w:after="45" w:afterAutospacing="0"/>
            </w:pPr>
            <w:r>
              <w:t>CSWG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1:25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6.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2E7441">
            <w:pPr>
              <w:pStyle w:val="NormalWeb"/>
              <w:spacing w:before="0" w:beforeAutospacing="0" w:after="45" w:afterAutospacing="0"/>
            </w:pPr>
            <w:r w:rsidRPr="00F96A19">
              <w:t>ERCOT Updates</w:t>
            </w:r>
          </w:p>
          <w:p w:rsidR="002E7441" w:rsidRPr="00F96A19" w:rsidRDefault="002E7441" w:rsidP="002E7441">
            <w:pPr>
              <w:numPr>
                <w:ilvl w:val="0"/>
                <w:numId w:val="5"/>
              </w:num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>IT Service Availability Metric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 xml:space="preserve">D. </w:t>
            </w:r>
            <w:proofErr w:type="spellStart"/>
            <w:r>
              <w:t>Pagliai</w:t>
            </w:r>
            <w:proofErr w:type="spellEnd"/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1:35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2E7441" w:rsidP="002E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 xml:space="preserve">CRR Auction Revenue Distribution (CARD) Amount Adjustments </w:t>
            </w:r>
          </w:p>
          <w:p w:rsidR="00E97FDE" w:rsidRPr="00F96A19" w:rsidRDefault="00E97FDE" w:rsidP="00E97FD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F96A19">
              <w:rPr>
                <w:rFonts w:ascii="Times New Roman" w:hAnsi="Times New Roman"/>
                <w:sz w:val="24"/>
                <w:szCs w:val="24"/>
              </w:rPr>
              <w:t>Can resettlements with Determinants in Extracts be produced outside 5 Day and 55 Day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E97FDE">
            <w:pPr>
              <w:rPr>
                <w:sz w:val="24"/>
                <w:szCs w:val="24"/>
              </w:rPr>
            </w:pPr>
            <w:r>
              <w:t>ERCOT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pStyle w:val="NormalWeb"/>
              <w:spacing w:before="0" w:beforeAutospacing="0" w:after="45" w:afterAutospacing="0"/>
            </w:pPr>
            <w:r>
              <w:t>1:40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Pr="00F96A19" w:rsidRDefault="002E7441" w:rsidP="002E7441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>Incorporate Price changes into the settlements versioning process</w:t>
            </w:r>
          </w:p>
          <w:p w:rsidR="002E7441" w:rsidRPr="00F96A19" w:rsidRDefault="002E7441" w:rsidP="002E7441">
            <w:pPr>
              <w:numPr>
                <w:ilvl w:val="0"/>
                <w:numId w:val="4"/>
              </w:num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>Prices are currently overridden</w:t>
            </w:r>
          </w:p>
          <w:p w:rsidR="002E7441" w:rsidRPr="00F96A19" w:rsidRDefault="002E7441" w:rsidP="00EE7B3D">
            <w:pPr>
              <w:numPr>
                <w:ilvl w:val="0"/>
                <w:numId w:val="4"/>
              </w:num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>Provide tracking of price changes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rPr>
                <w:sz w:val="24"/>
                <w:szCs w:val="24"/>
              </w:rPr>
            </w:pPr>
            <w:r>
              <w:t>CSWG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rPr>
                <w:sz w:val="24"/>
                <w:szCs w:val="24"/>
              </w:rPr>
            </w:pPr>
            <w:r>
              <w:t>1:45 p.m.</w:t>
            </w:r>
          </w:p>
        </w:tc>
      </w:tr>
      <w:tr w:rsidR="002E7441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EE7B3D" w:rsidRPr="00F96A19" w:rsidRDefault="00E97FDE" w:rsidP="00E97FDE">
            <w:pPr>
              <w:spacing w:after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>Nodal Settlement Handbook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E97FDE">
            <w:pPr>
              <w:rPr>
                <w:sz w:val="24"/>
                <w:szCs w:val="24"/>
              </w:rPr>
            </w:pPr>
            <w:r>
              <w:t>CSWG</w:t>
            </w:r>
          </w:p>
        </w:tc>
        <w:tc>
          <w:tcPr>
            <w:tcW w:w="2243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2E7441" w:rsidRDefault="002E7441">
            <w:pPr>
              <w:rPr>
                <w:sz w:val="24"/>
                <w:szCs w:val="24"/>
              </w:rPr>
            </w:pPr>
            <w:r>
              <w:t>2:00 p.m.</w:t>
            </w:r>
          </w:p>
        </w:tc>
      </w:tr>
      <w:tr w:rsidR="00F96A19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96A19" w:rsidRDefault="00F96A19" w:rsidP="006D4B21">
            <w:pPr>
              <w:rPr>
                <w:sz w:val="24"/>
                <w:szCs w:val="24"/>
              </w:rPr>
            </w:pPr>
            <w:r>
              <w:lastRenderedPageBreak/>
              <w:t>9.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96A19" w:rsidRPr="00F96A19" w:rsidRDefault="00F96A19" w:rsidP="00F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A19">
              <w:rPr>
                <w:rFonts w:ascii="Times New Roman" w:hAnsi="Times New Roman" w:cs="Times New Roman"/>
                <w:sz w:val="24"/>
                <w:szCs w:val="24"/>
              </w:rPr>
              <w:t>Other Business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F96A19" w:rsidRDefault="00F96A19" w:rsidP="006D4B21">
            <w:pPr>
              <w:rPr>
                <w:sz w:val="24"/>
                <w:szCs w:val="24"/>
              </w:rPr>
            </w:pPr>
            <w:r>
              <w:t>CSWG</w:t>
            </w:r>
          </w:p>
        </w:tc>
        <w:tc>
          <w:tcPr>
            <w:tcW w:w="0" w:type="auto"/>
            <w:vAlign w:val="center"/>
            <w:hideMark/>
          </w:tcPr>
          <w:p w:rsidR="00F96A19" w:rsidRDefault="00F96A19">
            <w:pPr>
              <w:rPr>
                <w:sz w:val="20"/>
                <w:szCs w:val="20"/>
              </w:rPr>
            </w:pPr>
          </w:p>
        </w:tc>
      </w:tr>
      <w:tr w:rsidR="00F96A19" w:rsidTr="00E97FDE">
        <w:trPr>
          <w:tblCellSpacing w:w="15" w:type="dxa"/>
        </w:trPr>
        <w:tc>
          <w:tcPr>
            <w:tcW w:w="27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F96A19" w:rsidRDefault="00F96A19" w:rsidP="006D4B21">
            <w:pPr>
              <w:rPr>
                <w:sz w:val="24"/>
                <w:szCs w:val="24"/>
              </w:rPr>
            </w:pPr>
            <w:r>
              <w:t> 10.</w:t>
            </w:r>
          </w:p>
        </w:tc>
        <w:tc>
          <w:tcPr>
            <w:tcW w:w="809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F96A19" w:rsidRPr="00F96A19" w:rsidRDefault="00F96A19" w:rsidP="00FB6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Adjourn</w:t>
            </w:r>
          </w:p>
        </w:tc>
        <w:tc>
          <w:tcPr>
            <w:tcW w:w="2522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F96A19" w:rsidRDefault="00F96A19" w:rsidP="006D4B21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</w:tcPr>
          <w:p w:rsidR="00F96A19" w:rsidRDefault="00F96A19">
            <w:pPr>
              <w:rPr>
                <w:sz w:val="20"/>
                <w:szCs w:val="20"/>
              </w:rPr>
            </w:pPr>
          </w:p>
        </w:tc>
      </w:tr>
    </w:tbl>
    <w:p w:rsidR="00AE1962" w:rsidRPr="002E7441" w:rsidRDefault="00AE1962" w:rsidP="002E7441"/>
    <w:sectPr w:rsidR="00AE1962" w:rsidRPr="002E7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43B"/>
    <w:multiLevelType w:val="hybridMultilevel"/>
    <w:tmpl w:val="343E8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E0673"/>
    <w:multiLevelType w:val="hybridMultilevel"/>
    <w:tmpl w:val="508E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2986"/>
    <w:multiLevelType w:val="hybridMultilevel"/>
    <w:tmpl w:val="57CC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D7FBB"/>
    <w:multiLevelType w:val="multilevel"/>
    <w:tmpl w:val="0676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D230D"/>
    <w:multiLevelType w:val="hybridMultilevel"/>
    <w:tmpl w:val="E30A8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F0C5F"/>
    <w:multiLevelType w:val="multilevel"/>
    <w:tmpl w:val="8E80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15974"/>
    <w:multiLevelType w:val="multilevel"/>
    <w:tmpl w:val="15BA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910B5"/>
    <w:multiLevelType w:val="multilevel"/>
    <w:tmpl w:val="453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F79FC"/>
    <w:multiLevelType w:val="multilevel"/>
    <w:tmpl w:val="098A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03408"/>
    <w:multiLevelType w:val="multilevel"/>
    <w:tmpl w:val="C3EE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41"/>
    <w:rsid w:val="002E7441"/>
    <w:rsid w:val="004C06F7"/>
    <w:rsid w:val="00AE1962"/>
    <w:rsid w:val="00CB2A68"/>
    <w:rsid w:val="00D341CE"/>
    <w:rsid w:val="00E97FDE"/>
    <w:rsid w:val="00EE7B3D"/>
    <w:rsid w:val="00F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2E7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E74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E7441"/>
  </w:style>
  <w:style w:type="character" w:styleId="Hyperlink">
    <w:name w:val="Hyperlink"/>
    <w:basedOn w:val="DefaultParagraphFont"/>
    <w:uiPriority w:val="99"/>
    <w:semiHidden/>
    <w:unhideWhenUsed/>
    <w:rsid w:val="002E74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7441"/>
    <w:rPr>
      <w:b/>
      <w:bCs/>
    </w:rPr>
  </w:style>
  <w:style w:type="paragraph" w:styleId="ListParagraph">
    <w:name w:val="List Paragraph"/>
    <w:basedOn w:val="Normal"/>
    <w:uiPriority w:val="34"/>
    <w:qFormat/>
    <w:rsid w:val="00E97FDE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2E74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E74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E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4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E7441"/>
  </w:style>
  <w:style w:type="character" w:styleId="Hyperlink">
    <w:name w:val="Hyperlink"/>
    <w:basedOn w:val="DefaultParagraphFont"/>
    <w:uiPriority w:val="99"/>
    <w:semiHidden/>
    <w:unhideWhenUsed/>
    <w:rsid w:val="002E74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7441"/>
    <w:rPr>
      <w:b/>
      <w:bCs/>
    </w:rPr>
  </w:style>
  <w:style w:type="paragraph" w:styleId="ListParagraph">
    <w:name w:val="List Paragraph"/>
    <w:basedOn w:val="Normal"/>
    <w:uiPriority w:val="34"/>
    <w:qFormat/>
    <w:rsid w:val="00E97FDE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Energy, Inc.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Lookadoo, Heddie</dc:creator>
  <cp:lastModifiedBy>Lookadoo, Heddie</cp:lastModifiedBy>
  <cp:revision>2</cp:revision>
  <dcterms:created xsi:type="dcterms:W3CDTF">2017-03-20T15:15:00Z</dcterms:created>
  <dcterms:modified xsi:type="dcterms:W3CDTF">2017-03-20T15:15:00Z</dcterms:modified>
</cp:coreProperties>
</file>