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182" w:rsidRPr="00473FE5" w:rsidRDefault="00A92182" w:rsidP="00A92182">
      <w:pPr>
        <w:pStyle w:val="NoSpacing"/>
        <w:jc w:val="center"/>
        <w:rPr>
          <w:color w:val="000000"/>
        </w:rPr>
      </w:pPr>
      <w:bookmarkStart w:id="0" w:name="_GoBack"/>
      <w:bookmarkEnd w:id="0"/>
      <w:r w:rsidRPr="00473FE5">
        <w:rPr>
          <w:color w:val="000000"/>
        </w:rPr>
        <w:t xml:space="preserve">ERCOT </w:t>
      </w:r>
      <w:r>
        <w:rPr>
          <w:color w:val="000000"/>
        </w:rPr>
        <w:t>DYNAMICS</w:t>
      </w:r>
      <w:r w:rsidRPr="00473FE5">
        <w:rPr>
          <w:color w:val="000000"/>
        </w:rPr>
        <w:t xml:space="preserve"> WORKING GROUP (</w:t>
      </w:r>
      <w:r>
        <w:rPr>
          <w:color w:val="000000"/>
        </w:rPr>
        <w:t>D</w:t>
      </w:r>
      <w:r w:rsidRPr="00473FE5">
        <w:rPr>
          <w:color w:val="000000"/>
        </w:rPr>
        <w:t>WG)</w:t>
      </w:r>
    </w:p>
    <w:p w:rsidR="00A92182" w:rsidRPr="00473FE5" w:rsidRDefault="00A92182" w:rsidP="00A92182">
      <w:pPr>
        <w:pStyle w:val="Heading2"/>
        <w:tabs>
          <w:tab w:val="left" w:pos="0"/>
        </w:tabs>
        <w:rPr>
          <w:color w:val="000000"/>
          <w:sz w:val="32"/>
        </w:rPr>
      </w:pPr>
      <w:r>
        <w:rPr>
          <w:color w:val="000000"/>
          <w:sz w:val="32"/>
          <w:lang w:val="en-US"/>
        </w:rPr>
        <w:t>March 2</w:t>
      </w:r>
      <w:r w:rsidRPr="00473FE5">
        <w:rPr>
          <w:color w:val="000000"/>
          <w:sz w:val="32"/>
          <w:lang w:val="en-US"/>
        </w:rPr>
        <w:t>,</w:t>
      </w:r>
      <w:r w:rsidRPr="00473FE5">
        <w:rPr>
          <w:color w:val="000000"/>
          <w:sz w:val="32"/>
        </w:rPr>
        <w:t xml:space="preserve"> 20</w:t>
      </w:r>
      <w:r w:rsidRPr="00473FE5">
        <w:rPr>
          <w:color w:val="000000"/>
          <w:sz w:val="32"/>
          <w:lang w:val="en-US"/>
        </w:rPr>
        <w:t>1</w:t>
      </w:r>
      <w:r>
        <w:rPr>
          <w:color w:val="000000"/>
          <w:sz w:val="32"/>
          <w:lang w:val="en-US"/>
        </w:rPr>
        <w:t>7</w:t>
      </w:r>
      <w:r w:rsidRPr="00473FE5">
        <w:rPr>
          <w:color w:val="000000"/>
          <w:sz w:val="32"/>
        </w:rPr>
        <w:t xml:space="preserve"> Report to ROS</w:t>
      </w:r>
    </w:p>
    <w:p w:rsidR="00A92182" w:rsidRDefault="00A92182" w:rsidP="00504BF6">
      <w:pPr>
        <w:spacing w:after="0"/>
      </w:pPr>
    </w:p>
    <w:p w:rsidR="00BD2596" w:rsidRDefault="00BD2596" w:rsidP="00504BF6">
      <w:pPr>
        <w:spacing w:after="0"/>
      </w:pPr>
    </w:p>
    <w:p w:rsidR="00A92182" w:rsidRDefault="00E87766" w:rsidP="00504BF6">
      <w:pPr>
        <w:pStyle w:val="ListParagraph"/>
        <w:numPr>
          <w:ilvl w:val="0"/>
          <w:numId w:val="2"/>
        </w:numPr>
      </w:pPr>
      <w:r>
        <w:t>DWG met on February 8-9, 2017</w:t>
      </w:r>
    </w:p>
    <w:p w:rsidR="0069201D" w:rsidRDefault="0069201D" w:rsidP="00504BF6">
      <w:pPr>
        <w:spacing w:after="0"/>
      </w:pPr>
    </w:p>
    <w:p w:rsidR="00D33004" w:rsidRDefault="00D33004" w:rsidP="00504BF6">
      <w:pPr>
        <w:pStyle w:val="ListParagraph"/>
        <w:numPr>
          <w:ilvl w:val="0"/>
          <w:numId w:val="2"/>
        </w:numPr>
      </w:pPr>
      <w:r>
        <w:t>Finalized updates to DWG Procedure manual</w:t>
      </w:r>
      <w:r w:rsidR="0069201D">
        <w:t xml:space="preserve"> (vote)</w:t>
      </w:r>
    </w:p>
    <w:p w:rsidR="00D33004" w:rsidRDefault="00D33004" w:rsidP="00504BF6">
      <w:pPr>
        <w:spacing w:after="0"/>
      </w:pPr>
    </w:p>
    <w:p w:rsidR="0066425C" w:rsidRPr="0066425C" w:rsidRDefault="0066425C" w:rsidP="00D33004">
      <w:pPr>
        <w:spacing w:after="0"/>
        <w:jc w:val="center"/>
        <w:rPr>
          <w:b/>
          <w:sz w:val="28"/>
          <w:szCs w:val="28"/>
        </w:rPr>
      </w:pPr>
      <w:r w:rsidRPr="0066425C">
        <w:rPr>
          <w:b/>
          <w:sz w:val="28"/>
          <w:szCs w:val="28"/>
        </w:rPr>
        <w:t>Key Updates</w:t>
      </w:r>
      <w:r w:rsidR="00A92182">
        <w:rPr>
          <w:b/>
          <w:sz w:val="28"/>
          <w:szCs w:val="28"/>
        </w:rPr>
        <w:t xml:space="preserve"> to DWG Procedure Manual (Revision 11)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"/>
        <w:gridCol w:w="8235"/>
      </w:tblGrid>
      <w:tr w:rsidR="00F10ADC" w:rsidTr="00470626">
        <w:tc>
          <w:tcPr>
            <w:tcW w:w="1115" w:type="dxa"/>
          </w:tcPr>
          <w:p w:rsidR="00F10ADC" w:rsidRPr="00F10ADC" w:rsidRDefault="00F10ADC">
            <w:pPr>
              <w:rPr>
                <w:b/>
              </w:rPr>
            </w:pPr>
            <w:r w:rsidRPr="00F10ADC">
              <w:rPr>
                <w:b/>
              </w:rPr>
              <w:t>Manual Section(s)</w:t>
            </w:r>
          </w:p>
        </w:tc>
        <w:tc>
          <w:tcPr>
            <w:tcW w:w="8235" w:type="dxa"/>
            <w:vAlign w:val="center"/>
          </w:tcPr>
          <w:p w:rsidR="00F10ADC" w:rsidRPr="00F10ADC" w:rsidRDefault="00F10ADC" w:rsidP="00470626">
            <w:pPr>
              <w:rPr>
                <w:b/>
              </w:rPr>
            </w:pPr>
            <w:r w:rsidRPr="00F10ADC">
              <w:rPr>
                <w:b/>
              </w:rPr>
              <w:t>Update Description</w:t>
            </w:r>
          </w:p>
        </w:tc>
      </w:tr>
      <w:tr w:rsidR="00F10ADC" w:rsidTr="001508B8">
        <w:tc>
          <w:tcPr>
            <w:tcW w:w="1115" w:type="dxa"/>
          </w:tcPr>
          <w:p w:rsidR="00F10ADC" w:rsidRDefault="00F10ADC">
            <w:r w:rsidRPr="00E87766">
              <w:rPr>
                <w:b/>
              </w:rPr>
              <w:t>3.2.1.1, 3.2.1.2</w:t>
            </w:r>
          </w:p>
        </w:tc>
        <w:tc>
          <w:tcPr>
            <w:tcW w:w="8235" w:type="dxa"/>
          </w:tcPr>
          <w:p w:rsidR="00F10ADC" w:rsidRDefault="00F1126E">
            <w:r>
              <w:t xml:space="preserve">Updates related to </w:t>
            </w:r>
            <w:r w:rsidR="00F10ADC">
              <w:t>PRC-024</w:t>
            </w:r>
            <w:r>
              <w:t xml:space="preserve">: Adds </w:t>
            </w:r>
            <w:r w:rsidR="00F10ADC">
              <w:t>RE requirement to provide voltage and frequency protection relay</w:t>
            </w:r>
            <w:r w:rsidR="00E325CF">
              <w:t xml:space="preserve"> models</w:t>
            </w:r>
            <w:r w:rsidR="00F10ADC">
              <w:t xml:space="preserve"> if they are within the “no trip zone” of PRC-024</w:t>
            </w:r>
            <w:r w:rsidR="006A34E5">
              <w:t>.</w:t>
            </w:r>
          </w:p>
          <w:p w:rsidR="00F10ADC" w:rsidRDefault="00F10ADC"/>
        </w:tc>
      </w:tr>
      <w:tr w:rsidR="00F10ADC" w:rsidTr="001508B8">
        <w:tc>
          <w:tcPr>
            <w:tcW w:w="1115" w:type="dxa"/>
          </w:tcPr>
          <w:p w:rsidR="00F10ADC" w:rsidRDefault="00F10ADC">
            <w:r w:rsidRPr="00E87766">
              <w:rPr>
                <w:b/>
              </w:rPr>
              <w:t>3.4.2</w:t>
            </w:r>
          </w:p>
        </w:tc>
        <w:tc>
          <w:tcPr>
            <w:tcW w:w="8235" w:type="dxa"/>
          </w:tcPr>
          <w:p w:rsidR="00F10ADC" w:rsidRDefault="008E1528">
            <w:r>
              <w:t xml:space="preserve">Updates </w:t>
            </w:r>
            <w:r w:rsidR="006A34E5">
              <w:t>related to</w:t>
            </w:r>
            <w:r>
              <w:t xml:space="preserve"> </w:t>
            </w:r>
            <w:r w:rsidR="00F10ADC">
              <w:t>PRC-010</w:t>
            </w:r>
            <w:r w:rsidR="006A34E5">
              <w:t xml:space="preserve">: </w:t>
            </w:r>
            <w:r w:rsidR="00F10ADC">
              <w:t>UVLS</w:t>
            </w:r>
            <w:r w:rsidR="006A34E5">
              <w:t xml:space="preserve"> relay model</w:t>
            </w:r>
            <w:r w:rsidR="00F10ADC">
              <w:t xml:space="preserve"> requirements</w:t>
            </w:r>
            <w:r w:rsidR="006A34E5">
              <w:t xml:space="preserve"> for </w:t>
            </w:r>
            <w:proofErr w:type="spellStart"/>
            <w:r w:rsidR="006A34E5">
              <w:t>TSPs.</w:t>
            </w:r>
            <w:proofErr w:type="spellEnd"/>
          </w:p>
          <w:p w:rsidR="00F10ADC" w:rsidRDefault="00F10ADC"/>
        </w:tc>
      </w:tr>
      <w:tr w:rsidR="00F10ADC" w:rsidTr="001508B8">
        <w:tc>
          <w:tcPr>
            <w:tcW w:w="1115" w:type="dxa"/>
          </w:tcPr>
          <w:p w:rsidR="00F10ADC" w:rsidRDefault="00F10ADC">
            <w:r w:rsidRPr="00E87766">
              <w:rPr>
                <w:b/>
              </w:rPr>
              <w:t>4.1.1</w:t>
            </w:r>
          </w:p>
        </w:tc>
        <w:tc>
          <w:tcPr>
            <w:tcW w:w="8235" w:type="dxa"/>
          </w:tcPr>
          <w:p w:rsidR="00F10ADC" w:rsidRDefault="00F10ADC" w:rsidP="006A34E5">
            <w:r>
              <w:t>Updates to flat start case building process and schedule</w:t>
            </w:r>
            <w:r w:rsidR="006A34E5">
              <w:t>.</w:t>
            </w:r>
            <w:r w:rsidR="00385161">
              <w:t xml:space="preserve"> Three flat start cases now built concurrently from July – January.</w:t>
            </w:r>
          </w:p>
          <w:p w:rsidR="006A34E5" w:rsidRDefault="006A34E5" w:rsidP="006A34E5"/>
        </w:tc>
      </w:tr>
      <w:tr w:rsidR="00F10ADC" w:rsidTr="001508B8">
        <w:tc>
          <w:tcPr>
            <w:tcW w:w="1115" w:type="dxa"/>
          </w:tcPr>
          <w:p w:rsidR="00F10ADC" w:rsidRDefault="00F10ADC">
            <w:r w:rsidRPr="00E87766">
              <w:rPr>
                <w:b/>
              </w:rPr>
              <w:t>4.2.3</w:t>
            </w:r>
          </w:p>
        </w:tc>
        <w:tc>
          <w:tcPr>
            <w:tcW w:w="8235" w:type="dxa"/>
          </w:tcPr>
          <w:p w:rsidR="00F10ADC" w:rsidRDefault="006A34E5">
            <w:r>
              <w:t>Updates related to c</w:t>
            </w:r>
            <w:r w:rsidR="00F10ADC">
              <w:t>oordination with</w:t>
            </w:r>
            <w:r>
              <w:t xml:space="preserve"> the</w:t>
            </w:r>
            <w:r w:rsidR="00F10ADC">
              <w:t xml:space="preserve"> SSWG</w:t>
            </w:r>
            <w:r>
              <w:t xml:space="preserve"> involving </w:t>
            </w:r>
            <w:r w:rsidR="00F10ADC">
              <w:t>corrections to MBASE an</w:t>
            </w:r>
            <w:r>
              <w:t xml:space="preserve">d </w:t>
            </w:r>
            <w:proofErr w:type="spellStart"/>
            <w:r>
              <w:t>Zsource</w:t>
            </w:r>
            <w:proofErr w:type="spellEnd"/>
            <w:r>
              <w:t xml:space="preserve"> values in SSWG cases.</w:t>
            </w:r>
          </w:p>
          <w:p w:rsidR="00F10ADC" w:rsidRDefault="00F10ADC"/>
        </w:tc>
      </w:tr>
      <w:tr w:rsidR="00F10ADC" w:rsidTr="001508B8">
        <w:tc>
          <w:tcPr>
            <w:tcW w:w="1115" w:type="dxa"/>
          </w:tcPr>
          <w:p w:rsidR="00F10ADC" w:rsidRDefault="00F10ADC">
            <w:r w:rsidRPr="00E87766">
              <w:rPr>
                <w:b/>
              </w:rPr>
              <w:t>4.3.1</w:t>
            </w:r>
          </w:p>
        </w:tc>
        <w:tc>
          <w:tcPr>
            <w:tcW w:w="8235" w:type="dxa"/>
          </w:tcPr>
          <w:p w:rsidR="00F10ADC" w:rsidRDefault="00A92182">
            <w:r>
              <w:t>New section added to address MOD-033-1: validation of dynamic models.</w:t>
            </w:r>
          </w:p>
          <w:p w:rsidR="00F10ADC" w:rsidRDefault="00F10ADC"/>
        </w:tc>
      </w:tr>
    </w:tbl>
    <w:p w:rsidR="00D33004" w:rsidRDefault="00D33004" w:rsidP="00504BF6">
      <w:pPr>
        <w:spacing w:after="0"/>
      </w:pPr>
    </w:p>
    <w:p w:rsidR="00D8670D" w:rsidRDefault="00D8670D" w:rsidP="00504BF6">
      <w:pPr>
        <w:spacing w:after="0"/>
      </w:pPr>
    </w:p>
    <w:p w:rsidR="00504BF6" w:rsidRDefault="0069201D" w:rsidP="00504BF6">
      <w:pPr>
        <w:pStyle w:val="ListParagraph"/>
        <w:numPr>
          <w:ilvl w:val="0"/>
          <w:numId w:val="2"/>
        </w:numPr>
      </w:pPr>
      <w:r>
        <w:t>Drafted proposal for new Dynamic Model Task Force (vote)</w:t>
      </w:r>
    </w:p>
    <w:p w:rsidR="00504BF6" w:rsidRDefault="00504BF6" w:rsidP="00504BF6">
      <w:pPr>
        <w:spacing w:after="0"/>
      </w:pPr>
    </w:p>
    <w:p w:rsidR="0069201D" w:rsidRPr="0069201D" w:rsidRDefault="0069201D" w:rsidP="00504BF6">
      <w:pPr>
        <w:pStyle w:val="ListParagraph"/>
        <w:numPr>
          <w:ilvl w:val="1"/>
          <w:numId w:val="4"/>
        </w:numPr>
      </w:pPr>
      <w:r w:rsidRPr="0069201D">
        <w:t xml:space="preserve">The task force will address issues related to dynamic model adequacy, development of data sets, and guidelines for updating and maintaining dynamic models across ERCOT.  </w:t>
      </w:r>
      <w:r w:rsidR="00504BF6">
        <w:t>Will help satisfy</w:t>
      </w:r>
      <w:r w:rsidRPr="0069201D">
        <w:t xml:space="preserve"> NERC standards related to modeling (MOD-026, MOD-027, MOD-032, MOD-033, etc.)</w:t>
      </w:r>
      <w:r w:rsidRPr="0069201D">
        <w:t>.</w:t>
      </w:r>
      <w:r w:rsidRPr="0069201D">
        <w:t xml:space="preserve">  </w:t>
      </w:r>
    </w:p>
    <w:p w:rsidR="0069201D" w:rsidRDefault="0069201D" w:rsidP="00504BF6">
      <w:pPr>
        <w:spacing w:after="0"/>
      </w:pPr>
    </w:p>
    <w:p w:rsidR="0069201D" w:rsidRDefault="0069201D" w:rsidP="00504BF6">
      <w:pPr>
        <w:pStyle w:val="ListParagraph"/>
        <w:numPr>
          <w:ilvl w:val="0"/>
          <w:numId w:val="2"/>
        </w:numPr>
      </w:pPr>
      <w:r>
        <w:t>Next DWG Meeting: May 10-11, 2017</w:t>
      </w:r>
    </w:p>
    <w:p w:rsidR="00E325CF" w:rsidRDefault="00E325CF" w:rsidP="00504BF6">
      <w:pPr>
        <w:spacing w:after="0"/>
      </w:pPr>
    </w:p>
    <w:p w:rsidR="00D468EE" w:rsidRDefault="00D468EE" w:rsidP="00504BF6">
      <w:pPr>
        <w:spacing w:after="0"/>
      </w:pPr>
    </w:p>
    <w:sectPr w:rsidR="00D46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31548B"/>
    <w:multiLevelType w:val="hybridMultilevel"/>
    <w:tmpl w:val="412CB5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A05AF5"/>
    <w:multiLevelType w:val="hybridMultilevel"/>
    <w:tmpl w:val="4596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240D5"/>
    <w:multiLevelType w:val="hybridMultilevel"/>
    <w:tmpl w:val="C1EAC4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6F"/>
    <w:rsid w:val="00107033"/>
    <w:rsid w:val="001508B8"/>
    <w:rsid w:val="003712BA"/>
    <w:rsid w:val="00385161"/>
    <w:rsid w:val="00470626"/>
    <w:rsid w:val="00504BF6"/>
    <w:rsid w:val="0066425C"/>
    <w:rsid w:val="0069201D"/>
    <w:rsid w:val="006A34E5"/>
    <w:rsid w:val="00722E7D"/>
    <w:rsid w:val="007F5BE7"/>
    <w:rsid w:val="00822B0F"/>
    <w:rsid w:val="008D6B37"/>
    <w:rsid w:val="008E1528"/>
    <w:rsid w:val="008F3CD4"/>
    <w:rsid w:val="00A775FC"/>
    <w:rsid w:val="00A92182"/>
    <w:rsid w:val="00B36FB3"/>
    <w:rsid w:val="00B64979"/>
    <w:rsid w:val="00B75849"/>
    <w:rsid w:val="00BD2596"/>
    <w:rsid w:val="00BF2E2A"/>
    <w:rsid w:val="00D002D8"/>
    <w:rsid w:val="00D33004"/>
    <w:rsid w:val="00D468EE"/>
    <w:rsid w:val="00D8670D"/>
    <w:rsid w:val="00DC5A6F"/>
    <w:rsid w:val="00E26B64"/>
    <w:rsid w:val="00E325CF"/>
    <w:rsid w:val="00E87766"/>
    <w:rsid w:val="00F10ADC"/>
    <w:rsid w:val="00F1126E"/>
    <w:rsid w:val="00F4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FD03F-F2EA-445F-BBF8-A71309DB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92182"/>
    <w:pPr>
      <w:numPr>
        <w:numId w:val="1"/>
      </w:numPr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44"/>
      <w:szCs w:val="44"/>
      <w:lang w:val="x-none" w:eastAsia="ar-SA"/>
    </w:rPr>
  </w:style>
  <w:style w:type="paragraph" w:styleId="Heading2">
    <w:name w:val="heading 2"/>
    <w:basedOn w:val="Normal"/>
    <w:next w:val="Normal"/>
    <w:link w:val="Heading2Char"/>
    <w:qFormat/>
    <w:rsid w:val="00A92182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5C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rsid w:val="00A92182"/>
    <w:rPr>
      <w:rFonts w:ascii="Times New Roman" w:eastAsia="Times New Roman" w:hAnsi="Times New Roman" w:cs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basedOn w:val="DefaultParagraphFont"/>
    <w:link w:val="Heading2"/>
    <w:rsid w:val="00A92182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ar-SA"/>
    </w:rPr>
  </w:style>
  <w:style w:type="paragraph" w:styleId="NoSpacing">
    <w:name w:val="No Spacing"/>
    <w:uiPriority w:val="1"/>
    <w:qFormat/>
    <w:rsid w:val="00A92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Colorado River Authority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cdietert</dc:creator>
  <cp:keywords/>
  <dc:description/>
  <cp:lastModifiedBy>cdietert</cp:lastModifiedBy>
  <cp:revision>26</cp:revision>
  <dcterms:created xsi:type="dcterms:W3CDTF">2017-02-28T14:51:00Z</dcterms:created>
  <dcterms:modified xsi:type="dcterms:W3CDTF">2017-03-01T17:07:00Z</dcterms:modified>
</cp:coreProperties>
</file>