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E9" w:rsidRPr="001D6606" w:rsidRDefault="00A409E9" w:rsidP="005B7CDA">
      <w:pPr>
        <w:jc w:val="center"/>
        <w:rPr>
          <w:rFonts w:cs="Arial"/>
          <w:b/>
          <w:sz w:val="24"/>
          <w:szCs w:val="24"/>
        </w:rPr>
      </w:pPr>
      <w:bookmarkStart w:id="0" w:name="_GoBack"/>
      <w:bookmarkEnd w:id="0"/>
      <w:r w:rsidRPr="001D6606">
        <w:rPr>
          <w:rFonts w:cs="Arial"/>
          <w:b/>
          <w:sz w:val="24"/>
          <w:szCs w:val="24"/>
        </w:rPr>
        <w:t>R</w:t>
      </w:r>
      <w:r w:rsidR="00F30915">
        <w:rPr>
          <w:rFonts w:cs="Arial"/>
          <w:b/>
          <w:sz w:val="24"/>
          <w:szCs w:val="24"/>
        </w:rPr>
        <w:t>1</w:t>
      </w:r>
      <w:r w:rsidRPr="001D6606">
        <w:rPr>
          <w:rFonts w:cs="Arial"/>
          <w:b/>
          <w:sz w:val="24"/>
          <w:szCs w:val="24"/>
        </w:rPr>
        <w:t xml:space="preserve"> </w:t>
      </w:r>
      <w:r w:rsidR="003A1CEB">
        <w:rPr>
          <w:rFonts w:cs="Arial"/>
          <w:b/>
          <w:sz w:val="24"/>
          <w:szCs w:val="24"/>
        </w:rPr>
        <w:t>201</w:t>
      </w:r>
      <w:r w:rsidR="00F30915">
        <w:rPr>
          <w:rFonts w:cs="Arial"/>
          <w:b/>
          <w:sz w:val="24"/>
          <w:szCs w:val="24"/>
        </w:rPr>
        <w:t>7</w:t>
      </w:r>
      <w:r w:rsidR="003A1CEB">
        <w:rPr>
          <w:rFonts w:cs="Arial"/>
          <w:b/>
          <w:sz w:val="24"/>
          <w:szCs w:val="24"/>
        </w:rPr>
        <w:t xml:space="preserve"> </w:t>
      </w:r>
      <w:r w:rsidRPr="001D6606">
        <w:rPr>
          <w:rFonts w:cs="Arial"/>
          <w:b/>
          <w:sz w:val="24"/>
          <w:szCs w:val="24"/>
        </w:rPr>
        <w:t>Market Facing Changes</w:t>
      </w:r>
      <w:r w:rsidR="00D36670">
        <w:rPr>
          <w:rFonts w:cs="Arial"/>
          <w:b/>
          <w:sz w:val="24"/>
          <w:szCs w:val="24"/>
        </w:rPr>
        <w:t xml:space="preserve"> (PROD Release </w:t>
      </w:r>
      <w:r w:rsidR="00F30915">
        <w:rPr>
          <w:rFonts w:cs="Arial"/>
          <w:b/>
          <w:sz w:val="24"/>
          <w:szCs w:val="24"/>
        </w:rPr>
        <w:t>3/07/17 – 3/09/17</w:t>
      </w:r>
      <w:r w:rsidR="00D36670">
        <w:rPr>
          <w:rFonts w:cs="Arial"/>
          <w:b/>
          <w:sz w:val="24"/>
          <w:szCs w:val="24"/>
        </w:rPr>
        <w:t>)</w:t>
      </w:r>
    </w:p>
    <w:p w:rsidR="00AB2998" w:rsidRDefault="00AB2998" w:rsidP="00AB2998">
      <w:r w:rsidRPr="001D6606">
        <w:rPr>
          <w:rFonts w:cs="Arial"/>
          <w:sz w:val="20"/>
          <w:szCs w:val="20"/>
        </w:rPr>
        <w:t xml:space="preserve">From Market Notice </w:t>
      </w:r>
      <w:r>
        <w:t>M-A020317-01 Implementation of market-facing changes for March 2017 </w:t>
      </w:r>
    </w:p>
    <w:tbl>
      <w:tblPr>
        <w:tblW w:w="10615" w:type="dxa"/>
        <w:tblLook w:val="04A0" w:firstRow="1" w:lastRow="0" w:firstColumn="1" w:lastColumn="0" w:noHBand="0" w:noVBand="1"/>
      </w:tblPr>
      <w:tblGrid>
        <w:gridCol w:w="1540"/>
        <w:gridCol w:w="9075"/>
      </w:tblGrid>
      <w:tr w:rsidR="00AB2998" w:rsidRPr="00AB2998" w:rsidTr="00C45E0F">
        <w:trPr>
          <w:trHeight w:val="323"/>
        </w:trPr>
        <w:tc>
          <w:tcPr>
            <w:tcW w:w="15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B2998" w:rsidRPr="00AB2998" w:rsidRDefault="00AB2998" w:rsidP="00AB2998">
            <w:pPr>
              <w:spacing w:after="0" w:line="240" w:lineRule="auto"/>
              <w:jc w:val="center"/>
              <w:rPr>
                <w:rFonts w:ascii="Calibri" w:eastAsia="Times New Roman" w:hAnsi="Calibri" w:cs="Times New Roman"/>
                <w:b/>
                <w:bCs/>
                <w:color w:val="000000"/>
              </w:rPr>
            </w:pPr>
            <w:r w:rsidRPr="00AB2998">
              <w:rPr>
                <w:rFonts w:ascii="Calibri" w:eastAsia="Times New Roman" w:hAnsi="Calibri" w:cs="Times New Roman"/>
                <w:b/>
                <w:bCs/>
                <w:color w:val="000000"/>
              </w:rPr>
              <w:t>Change ID</w:t>
            </w:r>
          </w:p>
        </w:tc>
        <w:tc>
          <w:tcPr>
            <w:tcW w:w="9075" w:type="dxa"/>
            <w:tcBorders>
              <w:top w:val="single" w:sz="4" w:space="0" w:color="auto"/>
              <w:left w:val="nil"/>
              <w:bottom w:val="single" w:sz="4" w:space="0" w:color="auto"/>
              <w:right w:val="single" w:sz="4" w:space="0" w:color="auto"/>
            </w:tcBorders>
            <w:shd w:val="clear" w:color="000000" w:fill="D9D9D9"/>
            <w:vAlign w:val="bottom"/>
            <w:hideMark/>
          </w:tcPr>
          <w:p w:rsidR="00AB2998" w:rsidRPr="00AB2998" w:rsidRDefault="00AB2998" w:rsidP="00AB2998">
            <w:pPr>
              <w:spacing w:after="0" w:line="240" w:lineRule="auto"/>
              <w:jc w:val="center"/>
              <w:rPr>
                <w:rFonts w:ascii="Calibri" w:eastAsia="Times New Roman" w:hAnsi="Calibri" w:cs="Times New Roman"/>
                <w:b/>
                <w:bCs/>
                <w:color w:val="000000"/>
              </w:rPr>
            </w:pPr>
            <w:r w:rsidRPr="00AB2998">
              <w:rPr>
                <w:rFonts w:ascii="Calibri" w:eastAsia="Times New Roman" w:hAnsi="Calibri" w:cs="Times New Roman"/>
                <w:b/>
                <w:bCs/>
                <w:color w:val="000000"/>
              </w:rPr>
              <w:t>Market Notice Description</w:t>
            </w:r>
          </w:p>
        </w:tc>
      </w:tr>
      <w:tr w:rsidR="00AB2998" w:rsidRPr="00AB2998" w:rsidTr="00C45E0F">
        <w:trPr>
          <w:trHeight w:val="1151"/>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color w:val="000000"/>
              </w:rPr>
            </w:pPr>
            <w:r w:rsidRPr="00AB2998">
              <w:rPr>
                <w:rFonts w:ascii="Calibri" w:eastAsia="Times New Roman" w:hAnsi="Calibri" w:cs="Times New Roman"/>
                <w:color w:val="000000"/>
              </w:rPr>
              <w:t>ITCM-51969</w:t>
            </w:r>
            <w:r w:rsidRPr="00AB2998">
              <w:rPr>
                <w:rFonts w:ascii="Calibri" w:eastAsia="Times New Roman" w:hAnsi="Calibri" w:cs="Times New Roman"/>
                <w:color w:val="000000"/>
              </w:rPr>
              <w:br/>
              <w:t>RRGRR003</w:t>
            </w:r>
            <w:r w:rsidRPr="00AB2998">
              <w:rPr>
                <w:rFonts w:ascii="Calibri" w:eastAsia="Times New Roman" w:hAnsi="Calibri" w:cs="Times New Roman"/>
                <w:color w:val="000000"/>
              </w:rPr>
              <w:br/>
              <w:t>RRGRR006</w:t>
            </w:r>
            <w:r w:rsidRPr="00AB2998">
              <w:rPr>
                <w:rFonts w:ascii="Calibri" w:eastAsia="Times New Roman" w:hAnsi="Calibri" w:cs="Times New Roman"/>
                <w:color w:val="000000"/>
              </w:rPr>
              <w:br/>
              <w:t>RRGRR007</w:t>
            </w:r>
            <w:r w:rsidRPr="00AB2998">
              <w:rPr>
                <w:rFonts w:ascii="Calibri" w:eastAsia="Times New Roman" w:hAnsi="Calibri" w:cs="Times New Roman"/>
                <w:color w:val="000000"/>
              </w:rPr>
              <w:br/>
              <w:t>RRGRR009</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C45E0F">
            <w:pPr>
              <w:spacing w:after="0" w:line="240" w:lineRule="auto"/>
              <w:rPr>
                <w:rFonts w:ascii="Calibri" w:eastAsia="Times New Roman" w:hAnsi="Calibri" w:cs="Times New Roman"/>
                <w:color w:val="000000"/>
              </w:rPr>
            </w:pPr>
            <w:r w:rsidRPr="00AB2998">
              <w:rPr>
                <w:rFonts w:ascii="Calibri" w:eastAsia="Times New Roman" w:hAnsi="Calibri" w:cs="Times New Roman"/>
                <w:color w:val="000000"/>
              </w:rPr>
              <w:t xml:space="preserve">New Certified TO link on the MIS Groups and Rules &gt; Transmission Service Provider Information in the Dynamic Data portlet: DWG Meeting Minutes and Presentations (PG7-160-M, 14766). </w:t>
            </w:r>
          </w:p>
        </w:tc>
      </w:tr>
      <w:tr w:rsidR="00AB2998" w:rsidRPr="00AB2998" w:rsidTr="00C45E0F">
        <w:trPr>
          <w:trHeight w:val="1061"/>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color w:val="000000"/>
              </w:rPr>
            </w:pPr>
            <w:r w:rsidRPr="00AB2998">
              <w:rPr>
                <w:rFonts w:ascii="Calibri" w:eastAsia="Times New Roman" w:hAnsi="Calibri" w:cs="Times New Roman"/>
                <w:color w:val="000000"/>
              </w:rPr>
              <w:t>ITCM-52746</w:t>
            </w:r>
            <w:r w:rsidRPr="00AB2998">
              <w:rPr>
                <w:rFonts w:ascii="Calibri" w:eastAsia="Times New Roman" w:hAnsi="Calibri" w:cs="Times New Roman"/>
                <w:color w:val="000000"/>
              </w:rPr>
              <w:br/>
              <w:t>ITCM-51687</w:t>
            </w:r>
            <w:r w:rsidRPr="00AB2998">
              <w:rPr>
                <w:rFonts w:ascii="Calibri" w:eastAsia="Times New Roman" w:hAnsi="Calibri" w:cs="Times New Roman"/>
                <w:color w:val="000000"/>
              </w:rPr>
              <w:br/>
              <w:t>ITCM-51532</w:t>
            </w:r>
            <w:r w:rsidRPr="00AB2998">
              <w:rPr>
                <w:rFonts w:ascii="Calibri" w:eastAsia="Times New Roman" w:hAnsi="Calibri" w:cs="Times New Roman"/>
                <w:color w:val="000000"/>
              </w:rPr>
              <w:br/>
              <w:t>ITCM-45501</w:t>
            </w:r>
            <w:r w:rsidRPr="00AB2998">
              <w:rPr>
                <w:rFonts w:ascii="Calibri" w:eastAsia="Times New Roman" w:hAnsi="Calibri" w:cs="Times New Roman"/>
                <w:color w:val="000000"/>
              </w:rPr>
              <w:br/>
              <w:t>NPRR785</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color w:val="000000"/>
              </w:rPr>
            </w:pPr>
            <w:r w:rsidRPr="00AB2998">
              <w:rPr>
                <w:rFonts w:ascii="Calibri" w:eastAsia="Times New Roman" w:hAnsi="Calibri" w:cs="Times New Roman"/>
                <w:color w:val="000000"/>
              </w:rPr>
              <w:t xml:space="preserve">Software changes will be implemented that automatically trigger updates to Current Operating Plans (COPs) for Wind Generation Resources (WGRs) &amp; Photo Voltaic Generation Resources (PVGRs) with the most recent Forecast for the corresponding hours. Qualified Scheduling Entities (QSEs) for WGRs and PVGRs will continue to have the ability to submit COPs using a lower value than the most recent Forecast, if needed.  </w:t>
            </w:r>
          </w:p>
        </w:tc>
      </w:tr>
      <w:tr w:rsidR="00AB2998" w:rsidRPr="00AB2998" w:rsidTr="00C45E0F">
        <w:trPr>
          <w:trHeight w:val="1781"/>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color w:val="000000"/>
              </w:rPr>
            </w:pPr>
            <w:r w:rsidRPr="00AB2998">
              <w:rPr>
                <w:rFonts w:ascii="Calibri" w:eastAsia="Times New Roman" w:hAnsi="Calibri" w:cs="Times New Roman"/>
                <w:color w:val="000000"/>
              </w:rPr>
              <w:t>ITCM-51384</w:t>
            </w:r>
            <w:r w:rsidRPr="00AB2998">
              <w:rPr>
                <w:rFonts w:ascii="Calibri" w:eastAsia="Times New Roman" w:hAnsi="Calibri" w:cs="Times New Roman"/>
                <w:color w:val="000000"/>
              </w:rPr>
              <w:br/>
              <w:t>ITCM-51388</w:t>
            </w:r>
            <w:r w:rsidRPr="00AB2998">
              <w:rPr>
                <w:rFonts w:ascii="Calibri" w:eastAsia="Times New Roman" w:hAnsi="Calibri" w:cs="Times New Roman"/>
                <w:color w:val="000000"/>
              </w:rPr>
              <w:br/>
              <w:t>ITCM-50906</w:t>
            </w:r>
            <w:r w:rsidRPr="00AB2998">
              <w:rPr>
                <w:rFonts w:ascii="Calibri" w:eastAsia="Times New Roman" w:hAnsi="Calibri" w:cs="Times New Roman"/>
                <w:color w:val="000000"/>
              </w:rPr>
              <w:br/>
              <w:t>ITCM-42104</w:t>
            </w:r>
            <w:r w:rsidRPr="00AB2998">
              <w:rPr>
                <w:rFonts w:ascii="Calibri" w:eastAsia="Times New Roman" w:hAnsi="Calibri" w:cs="Times New Roman"/>
                <w:color w:val="000000"/>
              </w:rPr>
              <w:br/>
              <w:t>ITCM-38733</w:t>
            </w:r>
            <w:r w:rsidRPr="00AB2998">
              <w:rPr>
                <w:rFonts w:ascii="Calibri" w:eastAsia="Times New Roman" w:hAnsi="Calibri" w:cs="Times New Roman"/>
                <w:color w:val="000000"/>
              </w:rPr>
              <w:br/>
              <w:t>PR194-01</w:t>
            </w:r>
            <w:r w:rsidRPr="00AB2998">
              <w:rPr>
                <w:rFonts w:ascii="Calibri" w:eastAsia="Times New Roman" w:hAnsi="Calibri" w:cs="Times New Roman"/>
                <w:color w:val="000000"/>
              </w:rPr>
              <w:br/>
              <w:t>NPRR272</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color w:val="000000"/>
              </w:rPr>
            </w:pPr>
            <w:r w:rsidRPr="00AB2998">
              <w:rPr>
                <w:rFonts w:ascii="Calibri" w:eastAsia="Times New Roman" w:hAnsi="Calibri" w:cs="Times New Roman"/>
                <w:color w:val="000000"/>
              </w:rPr>
              <w:t>This remaining piece of NPRR272 puts into effect a separate Resource Status for Generation Resources which are off-line but being made available for deployment by SCED.  This status is "OFFQS" and may only be used for Resources that are qualified as Quick Start Generation Resources (QSGRs).  Resources that are off-line but being made available for SCED deployment should no longer have a status of "ON."  The implementation of this status provides transparency to ERCOT and Market Participants regarding the operating mode of Resources in the ERCOT system.</w:t>
            </w:r>
          </w:p>
        </w:tc>
      </w:tr>
      <w:tr w:rsidR="00AB2998" w:rsidRPr="00AB2998" w:rsidTr="00C45E0F">
        <w:trPr>
          <w:trHeight w:val="1241"/>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ITCM-46409</w:t>
            </w:r>
            <w:r w:rsidRPr="00AB2998">
              <w:rPr>
                <w:rFonts w:ascii="Calibri" w:eastAsia="Times New Roman" w:hAnsi="Calibri" w:cs="Times New Roman"/>
              </w:rPr>
              <w:br/>
              <w:t>ITCM-45535</w:t>
            </w:r>
            <w:r w:rsidRPr="00AB2998">
              <w:rPr>
                <w:rFonts w:ascii="Calibri" w:eastAsia="Times New Roman" w:hAnsi="Calibri" w:cs="Times New Roman"/>
              </w:rPr>
              <w:br/>
              <w:t>PR232-01</w:t>
            </w:r>
            <w:r w:rsidRPr="00AB2998">
              <w:rPr>
                <w:rFonts w:ascii="Calibri" w:eastAsia="Times New Roman" w:hAnsi="Calibri" w:cs="Times New Roman"/>
              </w:rPr>
              <w:br/>
              <w:t>NPRR753</w:t>
            </w:r>
            <w:r w:rsidRPr="00AB2998">
              <w:rPr>
                <w:rFonts w:ascii="Calibri" w:eastAsia="Times New Roman" w:hAnsi="Calibri" w:cs="Times New Roman"/>
              </w:rPr>
              <w:br/>
              <w:t>RMGRR134</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Allows for the submission of non-modeled Resource ID meter data via LSE file format.  Updates to PRDE extract to add ResourceID table as well as updates to documentation for LSE error codes, LSE activity report, 867_03 error codes and TDSP Read Generation Form.</w:t>
            </w:r>
          </w:p>
        </w:tc>
      </w:tr>
      <w:tr w:rsidR="00AB2998" w:rsidRPr="00AB2998" w:rsidTr="00AB2998">
        <w:trPr>
          <w:trHeight w:val="80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ITCM-46015</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MIS link name change from Planned Service Four Coincident Peak Calculations Report (NP9-83-M, Report ID 13037 to ERCOT Four Coincident Peak Calculations.  Link located at Markets &gt; Data Aggregation &gt; Data Aggregation Reports and Extracts (Public)</w:t>
            </w:r>
          </w:p>
        </w:tc>
      </w:tr>
      <w:tr w:rsidR="00AB2998" w:rsidRPr="00AB2998" w:rsidTr="00AB2998">
        <w:trPr>
          <w:trHeight w:val="512"/>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ITCM-44432</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The notifications tab time range defaults incorrectly to two days during the hour before the start of the short DST day. This change fixes the time range to default to one day at all times.</w:t>
            </w:r>
          </w:p>
        </w:tc>
      </w:tr>
      <w:tr w:rsidR="00AB2998" w:rsidRPr="00AB2998" w:rsidTr="00AB2998">
        <w:trPr>
          <w:trHeight w:val="1322"/>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ITCM-36823</w:t>
            </w:r>
            <w:r w:rsidRPr="00AB2998">
              <w:rPr>
                <w:rFonts w:ascii="Calibri" w:eastAsia="Times New Roman" w:hAnsi="Calibri" w:cs="Times New Roman"/>
              </w:rPr>
              <w:br/>
              <w:t>ITCM-46480</w:t>
            </w:r>
            <w:r w:rsidRPr="00AB2998">
              <w:rPr>
                <w:rFonts w:ascii="Calibri" w:eastAsia="Times New Roman" w:hAnsi="Calibri" w:cs="Times New Roman"/>
              </w:rPr>
              <w:br/>
              <w:t>PR213-01</w:t>
            </w:r>
            <w:r w:rsidRPr="00AB2998">
              <w:rPr>
                <w:rFonts w:ascii="Calibri" w:eastAsia="Times New Roman" w:hAnsi="Calibri" w:cs="Times New Roman"/>
              </w:rPr>
              <w:br/>
              <w:t>NPRR649</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Provides a compensation mechanism for Generation Resources that are issued a High Dispatch Limit (HDL) manual override that results in a real power reduction (subject to certain criteria). The proposed mechanism compensates the Qualified Scheduling Entity (QSE) for financial loss associated with variable cost components of Day-Ahead Market (DAM) obligations or energy purchase or sale provisions of bilateral contracts arising from the HDL manual override.</w:t>
            </w:r>
          </w:p>
        </w:tc>
      </w:tr>
      <w:tr w:rsidR="00AB2998" w:rsidRPr="00AB2998" w:rsidTr="00AB2998">
        <w:trPr>
          <w:trHeight w:val="953"/>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ITCM-34515</w:t>
            </w:r>
            <w:r w:rsidRPr="00AB2998">
              <w:rPr>
                <w:rFonts w:ascii="Calibri" w:eastAsia="Times New Roman" w:hAnsi="Calibri" w:cs="Times New Roman"/>
              </w:rPr>
              <w:br/>
              <w:t>PR201-01</w:t>
            </w:r>
            <w:r w:rsidRPr="00AB2998">
              <w:rPr>
                <w:rFonts w:ascii="Calibri" w:eastAsia="Times New Roman" w:hAnsi="Calibri" w:cs="Times New Roman"/>
              </w:rPr>
              <w:br/>
              <w:t>NPRR764</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This change bases Reliability Unit Commitment (RUC) capacity short calculations on the Wind-powered Generation Resource Production Potential (WGRPP) for a Wind-powered Generation Resource (WGR) and the PhotoVoltaic Generation Resource Production Potential (PVGRPP) for a PhotoVoltaic Generation Resource (PVGR)–i.e., an 80% probability of exceedance (P80).</w:t>
            </w:r>
          </w:p>
        </w:tc>
      </w:tr>
      <w:tr w:rsidR="00AB2998" w:rsidRPr="00AB2998" w:rsidTr="00AB2998">
        <w:trPr>
          <w:trHeight w:val="1043"/>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ITCM-30828</w:t>
            </w:r>
            <w:r w:rsidRPr="00AB2998">
              <w:rPr>
                <w:rFonts w:ascii="Calibri" w:eastAsia="Times New Roman" w:hAnsi="Calibri" w:cs="Times New Roman"/>
              </w:rPr>
              <w:br/>
              <w:t>PGRR046</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New MIS portlet and link on the Groups and Rules &gt; Transmission Service Provider Information page:</w:t>
            </w:r>
            <w:r w:rsidRPr="00AB2998">
              <w:rPr>
                <w:rFonts w:ascii="Calibri" w:eastAsia="Times New Roman" w:hAnsi="Calibri" w:cs="Times New Roman"/>
              </w:rPr>
              <w:br/>
              <w:t>New Portlet:   Models</w:t>
            </w:r>
            <w:r w:rsidRPr="00AB2998">
              <w:rPr>
                <w:rFonts w:ascii="Calibri" w:eastAsia="Times New Roman" w:hAnsi="Calibri" w:cs="Times New Roman"/>
              </w:rPr>
              <w:br/>
              <w:t>Link:  GIC System Models (PG6-105-M, 14546)</w:t>
            </w:r>
          </w:p>
        </w:tc>
      </w:tr>
      <w:tr w:rsidR="00AB2998" w:rsidRPr="00AB2998" w:rsidTr="00C45E0F">
        <w:trPr>
          <w:trHeight w:val="39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ITCM-44368</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The ERCOT logo on the Wind Integration Report (NP4-735-ER, 13105) will be updated to match the current ERCOT branding.</w:t>
            </w:r>
          </w:p>
        </w:tc>
      </w:tr>
      <w:tr w:rsidR="00AB2998" w:rsidRPr="00AB2998" w:rsidTr="00AB2998">
        <w:trPr>
          <w:trHeight w:val="53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ITCM-51577</w:t>
            </w:r>
          </w:p>
        </w:tc>
        <w:tc>
          <w:tcPr>
            <w:tcW w:w="9075" w:type="dxa"/>
            <w:tcBorders>
              <w:top w:val="single" w:sz="4" w:space="0" w:color="auto"/>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The link to Reliability Must Run Cost Data Deviation Requests/Responses (NP3-558-M, 11468) on the MIS Grid &gt; Generation moved to a Public portlet.</w:t>
            </w:r>
          </w:p>
        </w:tc>
      </w:tr>
      <w:tr w:rsidR="00AB2998" w:rsidRPr="00AB2998" w:rsidTr="00AB2998">
        <w:trPr>
          <w:trHeight w:val="134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lastRenderedPageBreak/>
              <w:t>ITCM-52557</w:t>
            </w:r>
          </w:p>
        </w:tc>
        <w:tc>
          <w:tcPr>
            <w:tcW w:w="9075" w:type="dxa"/>
            <w:tcBorders>
              <w:top w:val="single" w:sz="4" w:space="0" w:color="auto"/>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New MIS link on the Grid - Regional Planning page, in the Current Regional Planning Group Projects portlet</w:t>
            </w:r>
            <w:r w:rsidRPr="00AB2998">
              <w:rPr>
                <w:rFonts w:ascii="Calibri" w:eastAsia="Times New Roman" w:hAnsi="Calibri" w:cs="Times New Roman"/>
              </w:rPr>
              <w:br/>
              <w:t xml:space="preserve">Link Name:         AEPSC Uvalde-Campwood Transmission Project </w:t>
            </w:r>
            <w:r w:rsidRPr="00AB2998">
              <w:rPr>
                <w:rFonts w:ascii="Calibri" w:eastAsia="Times New Roman" w:hAnsi="Calibri" w:cs="Times New Roman"/>
              </w:rPr>
              <w:br/>
              <w:t>EMIL ID:              PG3-322-M</w:t>
            </w:r>
            <w:r w:rsidRPr="00AB2998">
              <w:rPr>
                <w:rFonts w:ascii="Calibri" w:eastAsia="Times New Roman" w:hAnsi="Calibri" w:cs="Times New Roman"/>
              </w:rPr>
              <w:br/>
              <w:t xml:space="preserve">Report Type ID:  14776 </w:t>
            </w:r>
          </w:p>
        </w:tc>
      </w:tr>
      <w:tr w:rsidR="00AB2998" w:rsidRPr="00AB2998" w:rsidTr="00AB2998">
        <w:trPr>
          <w:trHeight w:val="1601"/>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rPr>
            </w:pPr>
            <w:r w:rsidRPr="00AB2998">
              <w:rPr>
                <w:rFonts w:ascii="Calibri" w:eastAsia="Times New Roman" w:hAnsi="Calibri" w:cs="Times New Roman"/>
              </w:rPr>
              <w:t>ITCM-43438</w:t>
            </w:r>
          </w:p>
        </w:tc>
        <w:tc>
          <w:tcPr>
            <w:tcW w:w="9075" w:type="dxa"/>
            <w:tcBorders>
              <w:top w:val="nil"/>
              <w:left w:val="nil"/>
              <w:bottom w:val="single" w:sz="4" w:space="0" w:color="auto"/>
              <w:right w:val="single" w:sz="4" w:space="0" w:color="auto"/>
            </w:tcBorders>
            <w:shd w:val="clear" w:color="auto" w:fill="auto"/>
            <w:vAlign w:val="bottom"/>
            <w:hideMark/>
          </w:tcPr>
          <w:p w:rsidR="00AB2998" w:rsidRPr="00AB2998" w:rsidRDefault="00AB2998" w:rsidP="00AB2998">
            <w:pPr>
              <w:spacing w:after="0" w:line="240" w:lineRule="auto"/>
              <w:rPr>
                <w:rFonts w:ascii="Calibri" w:eastAsia="Times New Roman" w:hAnsi="Calibri" w:cs="Times New Roman"/>
                <w:color w:val="000000"/>
              </w:rPr>
            </w:pPr>
            <w:r w:rsidRPr="00AB2998">
              <w:rPr>
                <w:rFonts w:ascii="Calibri" w:eastAsia="Times New Roman" w:hAnsi="Calibri" w:cs="Times New Roman"/>
                <w:color w:val="000000"/>
              </w:rPr>
              <w:t>This change provides the ability to post operational information on MIS notice builder for the below emergency scenarios:</w:t>
            </w:r>
            <w:r w:rsidRPr="00AB2998">
              <w:rPr>
                <w:rFonts w:ascii="Calibri" w:eastAsia="Times New Roman" w:hAnsi="Calibri" w:cs="Times New Roman"/>
                <w:color w:val="000000"/>
              </w:rPr>
              <w:br/>
              <w:t>a. Emergency base points are enabled</w:t>
            </w:r>
            <w:r w:rsidRPr="00AB2998">
              <w:rPr>
                <w:rFonts w:ascii="Calibri" w:eastAsia="Times New Roman" w:hAnsi="Calibri" w:cs="Times New Roman"/>
                <w:color w:val="000000"/>
              </w:rPr>
              <w:br/>
              <w:t>b. Emergency Base Points are disabled</w:t>
            </w:r>
            <w:r w:rsidRPr="00AB2998">
              <w:rPr>
                <w:rFonts w:ascii="Calibri" w:eastAsia="Times New Roman" w:hAnsi="Calibri" w:cs="Times New Roman"/>
                <w:color w:val="000000"/>
              </w:rPr>
              <w:br/>
              <w:t>c. Responsive Reserve Service deployed</w:t>
            </w:r>
            <w:r w:rsidRPr="00AB2998">
              <w:rPr>
                <w:rFonts w:ascii="Calibri" w:eastAsia="Times New Roman" w:hAnsi="Calibri" w:cs="Times New Roman"/>
                <w:color w:val="000000"/>
              </w:rPr>
              <w:br/>
              <w:t>d. Responsive Reserve Service recalled</w:t>
            </w:r>
          </w:p>
        </w:tc>
      </w:tr>
    </w:tbl>
    <w:p w:rsidR="00AB2998" w:rsidRDefault="00AB2998" w:rsidP="00586CAB">
      <w:pPr>
        <w:rPr>
          <w:rFonts w:cs="Arial"/>
          <w:sz w:val="20"/>
          <w:szCs w:val="20"/>
        </w:rPr>
      </w:pPr>
    </w:p>
    <w:p w:rsidR="00C45E0F" w:rsidRDefault="00C45E0F" w:rsidP="00586CAB">
      <w:pPr>
        <w:rPr>
          <w:rFonts w:cs="Arial"/>
          <w:sz w:val="20"/>
          <w:szCs w:val="20"/>
        </w:rPr>
      </w:pPr>
    </w:p>
    <w:p w:rsidR="00C45E0F" w:rsidRPr="001D6606" w:rsidRDefault="00C45E0F" w:rsidP="00C45E0F">
      <w:pPr>
        <w:jc w:val="center"/>
        <w:rPr>
          <w:rFonts w:cs="Arial"/>
          <w:b/>
          <w:sz w:val="24"/>
          <w:szCs w:val="24"/>
        </w:rPr>
      </w:pPr>
      <w:r w:rsidRPr="001D6606">
        <w:rPr>
          <w:rFonts w:cs="Arial"/>
          <w:b/>
          <w:sz w:val="24"/>
          <w:szCs w:val="24"/>
        </w:rPr>
        <w:t>R</w:t>
      </w:r>
      <w:r>
        <w:rPr>
          <w:rFonts w:cs="Arial"/>
          <w:b/>
          <w:sz w:val="24"/>
          <w:szCs w:val="24"/>
        </w:rPr>
        <w:t>2</w:t>
      </w:r>
      <w:r>
        <w:rPr>
          <w:rFonts w:cs="Arial"/>
          <w:b/>
          <w:sz w:val="24"/>
          <w:szCs w:val="24"/>
        </w:rPr>
        <w:t xml:space="preserve"> 2017 </w:t>
      </w:r>
      <w:r w:rsidRPr="001D6606">
        <w:rPr>
          <w:rFonts w:cs="Arial"/>
          <w:b/>
          <w:sz w:val="24"/>
          <w:szCs w:val="24"/>
        </w:rPr>
        <w:t>Market Facing Changes</w:t>
      </w:r>
      <w:r>
        <w:rPr>
          <w:rFonts w:cs="Arial"/>
          <w:b/>
          <w:sz w:val="24"/>
          <w:szCs w:val="24"/>
        </w:rPr>
        <w:t xml:space="preserve"> (PROD Release </w:t>
      </w:r>
      <w:r>
        <w:rPr>
          <w:rFonts w:cs="Arial"/>
          <w:b/>
          <w:sz w:val="24"/>
          <w:szCs w:val="24"/>
        </w:rPr>
        <w:t>5/01/17</w:t>
      </w:r>
      <w:r>
        <w:rPr>
          <w:rFonts w:cs="Arial"/>
          <w:b/>
          <w:sz w:val="24"/>
          <w:szCs w:val="24"/>
        </w:rPr>
        <w:t xml:space="preserve"> – </w:t>
      </w:r>
      <w:r>
        <w:rPr>
          <w:rFonts w:cs="Arial"/>
          <w:b/>
          <w:sz w:val="24"/>
          <w:szCs w:val="24"/>
        </w:rPr>
        <w:t>5/11/17</w:t>
      </w:r>
      <w:r>
        <w:rPr>
          <w:rFonts w:cs="Arial"/>
          <w:b/>
          <w:sz w:val="24"/>
          <w:szCs w:val="24"/>
        </w:rPr>
        <w:t>)</w:t>
      </w:r>
    </w:p>
    <w:p w:rsidR="00C45E0F" w:rsidRDefault="00AB2998" w:rsidP="00A415CB">
      <w:pPr>
        <w:rPr>
          <w:rFonts w:cs="Arial"/>
          <w:sz w:val="20"/>
          <w:szCs w:val="20"/>
        </w:rPr>
      </w:pPr>
      <w:r w:rsidRPr="001D6606">
        <w:rPr>
          <w:rFonts w:cs="Arial"/>
          <w:sz w:val="20"/>
          <w:szCs w:val="20"/>
        </w:rPr>
        <w:t>NOTE:  This list may not be all inclusive of changes going into the release and could change prior to the release.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9075"/>
      </w:tblGrid>
      <w:tr w:rsidR="00C45E0F" w:rsidRPr="00AB2998" w:rsidTr="00C45E0F">
        <w:trPr>
          <w:trHeight w:val="323"/>
        </w:trPr>
        <w:tc>
          <w:tcPr>
            <w:tcW w:w="1540" w:type="dxa"/>
            <w:shd w:val="clear" w:color="000000" w:fill="D9D9D9"/>
            <w:vAlign w:val="bottom"/>
            <w:hideMark/>
          </w:tcPr>
          <w:p w:rsidR="00C45E0F" w:rsidRPr="00AB2998" w:rsidRDefault="00C45E0F" w:rsidP="0036447C">
            <w:pPr>
              <w:spacing w:after="0" w:line="240" w:lineRule="auto"/>
              <w:jc w:val="center"/>
              <w:rPr>
                <w:rFonts w:ascii="Calibri" w:eastAsia="Times New Roman" w:hAnsi="Calibri" w:cs="Times New Roman"/>
                <w:b/>
                <w:bCs/>
                <w:color w:val="000000"/>
              </w:rPr>
            </w:pPr>
            <w:r w:rsidRPr="00AB2998">
              <w:rPr>
                <w:rFonts w:ascii="Calibri" w:eastAsia="Times New Roman" w:hAnsi="Calibri" w:cs="Times New Roman"/>
                <w:b/>
                <w:bCs/>
                <w:color w:val="000000"/>
              </w:rPr>
              <w:t>Change ID</w:t>
            </w:r>
          </w:p>
        </w:tc>
        <w:tc>
          <w:tcPr>
            <w:tcW w:w="9075" w:type="dxa"/>
            <w:shd w:val="clear" w:color="000000" w:fill="D9D9D9"/>
            <w:vAlign w:val="bottom"/>
            <w:hideMark/>
          </w:tcPr>
          <w:p w:rsidR="00C45E0F" w:rsidRPr="00AB2998" w:rsidRDefault="00C45E0F" w:rsidP="0036447C">
            <w:pPr>
              <w:spacing w:after="0" w:line="240" w:lineRule="auto"/>
              <w:jc w:val="center"/>
              <w:rPr>
                <w:rFonts w:ascii="Calibri" w:eastAsia="Times New Roman" w:hAnsi="Calibri" w:cs="Times New Roman"/>
                <w:b/>
                <w:bCs/>
                <w:color w:val="000000"/>
              </w:rPr>
            </w:pPr>
            <w:r w:rsidRPr="00AB2998">
              <w:rPr>
                <w:rFonts w:ascii="Calibri" w:eastAsia="Times New Roman" w:hAnsi="Calibri" w:cs="Times New Roman"/>
                <w:b/>
                <w:bCs/>
                <w:color w:val="000000"/>
              </w:rPr>
              <w:t>Market Notice Description</w:t>
            </w:r>
          </w:p>
        </w:tc>
      </w:tr>
      <w:tr w:rsidR="00C45E0F" w:rsidRPr="00AB2998" w:rsidTr="00C45E0F">
        <w:trPr>
          <w:trHeight w:val="260"/>
        </w:trPr>
        <w:tc>
          <w:tcPr>
            <w:tcW w:w="1540" w:type="dxa"/>
            <w:shd w:val="clear" w:color="auto" w:fill="auto"/>
            <w:vAlign w:val="bottom"/>
          </w:tcPr>
          <w:p w:rsidR="00C45E0F" w:rsidRPr="00AB2998" w:rsidRDefault="00C45E0F" w:rsidP="0036447C">
            <w:pPr>
              <w:spacing w:after="0" w:line="240" w:lineRule="auto"/>
              <w:rPr>
                <w:rFonts w:ascii="Calibri" w:eastAsia="Times New Roman" w:hAnsi="Calibri" w:cs="Times New Roman"/>
              </w:rPr>
            </w:pPr>
            <w:r w:rsidRPr="00C45E0F">
              <w:rPr>
                <w:rFonts w:ascii="Calibri" w:eastAsia="Times New Roman" w:hAnsi="Calibri" w:cs="Times New Roman"/>
              </w:rPr>
              <w:t>ITCM-52592</w:t>
            </w:r>
          </w:p>
        </w:tc>
        <w:tc>
          <w:tcPr>
            <w:tcW w:w="9075" w:type="dxa"/>
            <w:shd w:val="clear" w:color="auto" w:fill="auto"/>
            <w:vAlign w:val="bottom"/>
          </w:tcPr>
          <w:p w:rsidR="00C45E0F" w:rsidRPr="00AB2998" w:rsidRDefault="00C45E0F" w:rsidP="00C45E0F">
            <w:pPr>
              <w:spacing w:after="0" w:line="240" w:lineRule="auto"/>
              <w:rPr>
                <w:rFonts w:ascii="Calibri" w:eastAsia="Times New Roman" w:hAnsi="Calibri" w:cs="Times New Roman"/>
              </w:rPr>
            </w:pPr>
            <w:r w:rsidRPr="00C45E0F">
              <w:rPr>
                <w:rFonts w:ascii="Calibri" w:eastAsia="Times New Roman" w:hAnsi="Calibri" w:cs="Times New Roman"/>
              </w:rPr>
              <w:t>Wind Integration Report - Update graph colors to match the current ERCOT branding</w:t>
            </w:r>
            <w:r w:rsidRPr="00C45E0F">
              <w:rPr>
                <w:rFonts w:ascii="Calibri" w:eastAsia="Times New Roman" w:hAnsi="Calibri" w:cs="Times New Roman"/>
              </w:rPr>
              <w:t>.</w:t>
            </w:r>
          </w:p>
        </w:tc>
      </w:tr>
      <w:tr w:rsidR="00C45E0F" w:rsidRPr="00AB2998" w:rsidTr="00C45E0F">
        <w:trPr>
          <w:trHeight w:val="260"/>
        </w:trPr>
        <w:tc>
          <w:tcPr>
            <w:tcW w:w="1540" w:type="dxa"/>
            <w:shd w:val="clear" w:color="auto" w:fill="auto"/>
            <w:vAlign w:val="bottom"/>
          </w:tcPr>
          <w:p w:rsidR="00C45E0F" w:rsidRDefault="00C45E0F" w:rsidP="0036447C">
            <w:pPr>
              <w:spacing w:after="0" w:line="240" w:lineRule="auto"/>
              <w:rPr>
                <w:rFonts w:ascii="Calibri" w:eastAsia="Times New Roman" w:hAnsi="Calibri" w:cs="Times New Roman"/>
              </w:rPr>
            </w:pPr>
            <w:r w:rsidRPr="00C45E0F">
              <w:rPr>
                <w:rFonts w:ascii="Calibri" w:eastAsia="Times New Roman" w:hAnsi="Calibri" w:cs="Times New Roman"/>
              </w:rPr>
              <w:t>ITCM-52877</w:t>
            </w:r>
          </w:p>
          <w:p w:rsidR="00C45E0F" w:rsidRPr="00C45E0F" w:rsidRDefault="00C45E0F" w:rsidP="0036447C">
            <w:pPr>
              <w:spacing w:after="0" w:line="240" w:lineRule="auto"/>
              <w:rPr>
                <w:rFonts w:ascii="Calibri" w:eastAsia="Times New Roman" w:hAnsi="Calibri" w:cs="Times New Roman"/>
              </w:rPr>
            </w:pPr>
            <w:r w:rsidRPr="00C45E0F">
              <w:rPr>
                <w:rFonts w:ascii="Calibri" w:eastAsia="Times New Roman" w:hAnsi="Calibri" w:cs="Times New Roman"/>
              </w:rPr>
              <w:t>NPRR792</w:t>
            </w:r>
          </w:p>
        </w:tc>
        <w:tc>
          <w:tcPr>
            <w:tcW w:w="9075" w:type="dxa"/>
            <w:shd w:val="clear" w:color="auto" w:fill="auto"/>
            <w:vAlign w:val="bottom"/>
          </w:tcPr>
          <w:p w:rsidR="00C45E0F" w:rsidRPr="00C45E0F" w:rsidRDefault="00C45E0F" w:rsidP="00D72544">
            <w:pPr>
              <w:spacing w:after="0" w:line="240" w:lineRule="auto"/>
              <w:rPr>
                <w:rFonts w:ascii="Calibri" w:eastAsia="Times New Roman" w:hAnsi="Calibri" w:cs="Times New Roman"/>
              </w:rPr>
            </w:pPr>
            <w:r w:rsidRPr="00C45E0F">
              <w:rPr>
                <w:rFonts w:ascii="Calibri" w:eastAsia="Times New Roman" w:hAnsi="Calibri" w:cs="Times New Roman"/>
              </w:rPr>
              <w:t>Changing Special Protection System (SPS) to Remedial Action Scheme (RAS)</w:t>
            </w:r>
          </w:p>
        </w:tc>
      </w:tr>
    </w:tbl>
    <w:p w:rsidR="00C45E0F" w:rsidRPr="001D6606" w:rsidRDefault="00C45E0F" w:rsidP="00A415CB">
      <w:pPr>
        <w:rPr>
          <w:rFonts w:cs="Arial"/>
          <w:sz w:val="20"/>
          <w:szCs w:val="20"/>
        </w:rPr>
      </w:pPr>
    </w:p>
    <w:sectPr w:rsidR="00C45E0F" w:rsidRPr="001D6606" w:rsidSect="005B7C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215CD"/>
    <w:multiLevelType w:val="multilevel"/>
    <w:tmpl w:val="298E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F3AD6"/>
    <w:multiLevelType w:val="multilevel"/>
    <w:tmpl w:val="B3D6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28"/>
    <w:rsid w:val="00093C2B"/>
    <w:rsid w:val="0010544F"/>
    <w:rsid w:val="0012330B"/>
    <w:rsid w:val="001D6606"/>
    <w:rsid w:val="001F3E7B"/>
    <w:rsid w:val="002F2159"/>
    <w:rsid w:val="00323DAA"/>
    <w:rsid w:val="003A1CEB"/>
    <w:rsid w:val="003B6B2E"/>
    <w:rsid w:val="004F2CBB"/>
    <w:rsid w:val="005624D3"/>
    <w:rsid w:val="00586CAB"/>
    <w:rsid w:val="005B7CDA"/>
    <w:rsid w:val="00604131"/>
    <w:rsid w:val="006B656B"/>
    <w:rsid w:val="006E333B"/>
    <w:rsid w:val="007852C9"/>
    <w:rsid w:val="00825ABE"/>
    <w:rsid w:val="008A6E37"/>
    <w:rsid w:val="009336A6"/>
    <w:rsid w:val="0094230C"/>
    <w:rsid w:val="009D171A"/>
    <w:rsid w:val="009E2F9B"/>
    <w:rsid w:val="00A409E9"/>
    <w:rsid w:val="00A415CB"/>
    <w:rsid w:val="00A8136E"/>
    <w:rsid w:val="00AB2998"/>
    <w:rsid w:val="00AD453C"/>
    <w:rsid w:val="00B605AF"/>
    <w:rsid w:val="00B66134"/>
    <w:rsid w:val="00B80128"/>
    <w:rsid w:val="00BB1C02"/>
    <w:rsid w:val="00C45E0F"/>
    <w:rsid w:val="00D36670"/>
    <w:rsid w:val="00D6441B"/>
    <w:rsid w:val="00D72544"/>
    <w:rsid w:val="00F06C72"/>
    <w:rsid w:val="00F30915"/>
    <w:rsid w:val="00FD295F"/>
    <w:rsid w:val="00FE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69577-3910-4B54-8B91-6AB923E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6670"/>
    <w:rPr>
      <w:b/>
      <w:bCs/>
    </w:rPr>
  </w:style>
  <w:style w:type="character" w:styleId="Hyperlink">
    <w:name w:val="Hyperlink"/>
    <w:basedOn w:val="DefaultParagraphFont"/>
    <w:uiPriority w:val="99"/>
    <w:unhideWhenUsed/>
    <w:rsid w:val="007852C9"/>
    <w:rPr>
      <w:color w:val="0000FF"/>
      <w:u w:val="single"/>
    </w:rPr>
  </w:style>
  <w:style w:type="character" w:customStyle="1" w:styleId="StyleBold">
    <w:name w:val="Style Bold"/>
    <w:basedOn w:val="DefaultParagraphFont"/>
    <w:rsid w:val="00093C2B"/>
    <w:rPr>
      <w:rFonts w:ascii="Arial" w:hAnsi="Arial" w:cs="Arial" w:hint="default"/>
      <w:b/>
      <w:bCs/>
    </w:rPr>
  </w:style>
  <w:style w:type="character" w:customStyle="1" w:styleId="apple-converted-space">
    <w:name w:val="apple-converted-space"/>
    <w:basedOn w:val="DefaultParagraphFont"/>
    <w:rsid w:val="0094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5458">
      <w:bodyDiv w:val="1"/>
      <w:marLeft w:val="0"/>
      <w:marRight w:val="0"/>
      <w:marTop w:val="0"/>
      <w:marBottom w:val="0"/>
      <w:divBdr>
        <w:top w:val="none" w:sz="0" w:space="0" w:color="auto"/>
        <w:left w:val="none" w:sz="0" w:space="0" w:color="auto"/>
        <w:bottom w:val="none" w:sz="0" w:space="0" w:color="auto"/>
        <w:right w:val="none" w:sz="0" w:space="0" w:color="auto"/>
      </w:divBdr>
    </w:div>
    <w:div w:id="52047262">
      <w:bodyDiv w:val="1"/>
      <w:marLeft w:val="0"/>
      <w:marRight w:val="0"/>
      <w:marTop w:val="0"/>
      <w:marBottom w:val="0"/>
      <w:divBdr>
        <w:top w:val="none" w:sz="0" w:space="0" w:color="auto"/>
        <w:left w:val="none" w:sz="0" w:space="0" w:color="auto"/>
        <w:bottom w:val="none" w:sz="0" w:space="0" w:color="auto"/>
        <w:right w:val="none" w:sz="0" w:space="0" w:color="auto"/>
      </w:divBdr>
    </w:div>
    <w:div w:id="137117254">
      <w:bodyDiv w:val="1"/>
      <w:marLeft w:val="0"/>
      <w:marRight w:val="0"/>
      <w:marTop w:val="0"/>
      <w:marBottom w:val="0"/>
      <w:divBdr>
        <w:top w:val="none" w:sz="0" w:space="0" w:color="auto"/>
        <w:left w:val="none" w:sz="0" w:space="0" w:color="auto"/>
        <w:bottom w:val="none" w:sz="0" w:space="0" w:color="auto"/>
        <w:right w:val="none" w:sz="0" w:space="0" w:color="auto"/>
      </w:divBdr>
    </w:div>
    <w:div w:id="151681464">
      <w:bodyDiv w:val="1"/>
      <w:marLeft w:val="0"/>
      <w:marRight w:val="0"/>
      <w:marTop w:val="0"/>
      <w:marBottom w:val="0"/>
      <w:divBdr>
        <w:top w:val="none" w:sz="0" w:space="0" w:color="auto"/>
        <w:left w:val="none" w:sz="0" w:space="0" w:color="auto"/>
        <w:bottom w:val="none" w:sz="0" w:space="0" w:color="auto"/>
        <w:right w:val="none" w:sz="0" w:space="0" w:color="auto"/>
      </w:divBdr>
    </w:div>
    <w:div w:id="345596709">
      <w:bodyDiv w:val="1"/>
      <w:marLeft w:val="0"/>
      <w:marRight w:val="0"/>
      <w:marTop w:val="0"/>
      <w:marBottom w:val="0"/>
      <w:divBdr>
        <w:top w:val="none" w:sz="0" w:space="0" w:color="auto"/>
        <w:left w:val="none" w:sz="0" w:space="0" w:color="auto"/>
        <w:bottom w:val="none" w:sz="0" w:space="0" w:color="auto"/>
        <w:right w:val="none" w:sz="0" w:space="0" w:color="auto"/>
      </w:divBdr>
    </w:div>
    <w:div w:id="391465304">
      <w:bodyDiv w:val="1"/>
      <w:marLeft w:val="0"/>
      <w:marRight w:val="0"/>
      <w:marTop w:val="0"/>
      <w:marBottom w:val="0"/>
      <w:divBdr>
        <w:top w:val="none" w:sz="0" w:space="0" w:color="auto"/>
        <w:left w:val="none" w:sz="0" w:space="0" w:color="auto"/>
        <w:bottom w:val="none" w:sz="0" w:space="0" w:color="auto"/>
        <w:right w:val="none" w:sz="0" w:space="0" w:color="auto"/>
      </w:divBdr>
    </w:div>
    <w:div w:id="429735638">
      <w:bodyDiv w:val="1"/>
      <w:marLeft w:val="0"/>
      <w:marRight w:val="0"/>
      <w:marTop w:val="0"/>
      <w:marBottom w:val="0"/>
      <w:divBdr>
        <w:top w:val="none" w:sz="0" w:space="0" w:color="auto"/>
        <w:left w:val="none" w:sz="0" w:space="0" w:color="auto"/>
        <w:bottom w:val="none" w:sz="0" w:space="0" w:color="auto"/>
        <w:right w:val="none" w:sz="0" w:space="0" w:color="auto"/>
      </w:divBdr>
    </w:div>
    <w:div w:id="443421912">
      <w:bodyDiv w:val="1"/>
      <w:marLeft w:val="0"/>
      <w:marRight w:val="0"/>
      <w:marTop w:val="0"/>
      <w:marBottom w:val="0"/>
      <w:divBdr>
        <w:top w:val="none" w:sz="0" w:space="0" w:color="auto"/>
        <w:left w:val="none" w:sz="0" w:space="0" w:color="auto"/>
        <w:bottom w:val="none" w:sz="0" w:space="0" w:color="auto"/>
        <w:right w:val="none" w:sz="0" w:space="0" w:color="auto"/>
      </w:divBdr>
    </w:div>
    <w:div w:id="568151749">
      <w:bodyDiv w:val="1"/>
      <w:marLeft w:val="0"/>
      <w:marRight w:val="0"/>
      <w:marTop w:val="0"/>
      <w:marBottom w:val="0"/>
      <w:divBdr>
        <w:top w:val="none" w:sz="0" w:space="0" w:color="auto"/>
        <w:left w:val="none" w:sz="0" w:space="0" w:color="auto"/>
        <w:bottom w:val="none" w:sz="0" w:space="0" w:color="auto"/>
        <w:right w:val="none" w:sz="0" w:space="0" w:color="auto"/>
      </w:divBdr>
    </w:div>
    <w:div w:id="697195219">
      <w:bodyDiv w:val="1"/>
      <w:marLeft w:val="0"/>
      <w:marRight w:val="0"/>
      <w:marTop w:val="0"/>
      <w:marBottom w:val="0"/>
      <w:divBdr>
        <w:top w:val="none" w:sz="0" w:space="0" w:color="auto"/>
        <w:left w:val="none" w:sz="0" w:space="0" w:color="auto"/>
        <w:bottom w:val="none" w:sz="0" w:space="0" w:color="auto"/>
        <w:right w:val="none" w:sz="0" w:space="0" w:color="auto"/>
      </w:divBdr>
    </w:div>
    <w:div w:id="939752824">
      <w:bodyDiv w:val="1"/>
      <w:marLeft w:val="0"/>
      <w:marRight w:val="0"/>
      <w:marTop w:val="0"/>
      <w:marBottom w:val="0"/>
      <w:divBdr>
        <w:top w:val="none" w:sz="0" w:space="0" w:color="auto"/>
        <w:left w:val="none" w:sz="0" w:space="0" w:color="auto"/>
        <w:bottom w:val="none" w:sz="0" w:space="0" w:color="auto"/>
        <w:right w:val="none" w:sz="0" w:space="0" w:color="auto"/>
      </w:divBdr>
    </w:div>
    <w:div w:id="965820004">
      <w:bodyDiv w:val="1"/>
      <w:marLeft w:val="0"/>
      <w:marRight w:val="0"/>
      <w:marTop w:val="0"/>
      <w:marBottom w:val="0"/>
      <w:divBdr>
        <w:top w:val="none" w:sz="0" w:space="0" w:color="auto"/>
        <w:left w:val="none" w:sz="0" w:space="0" w:color="auto"/>
        <w:bottom w:val="none" w:sz="0" w:space="0" w:color="auto"/>
        <w:right w:val="none" w:sz="0" w:space="0" w:color="auto"/>
      </w:divBdr>
    </w:div>
    <w:div w:id="1153721664">
      <w:bodyDiv w:val="1"/>
      <w:marLeft w:val="0"/>
      <w:marRight w:val="0"/>
      <w:marTop w:val="0"/>
      <w:marBottom w:val="0"/>
      <w:divBdr>
        <w:top w:val="none" w:sz="0" w:space="0" w:color="auto"/>
        <w:left w:val="none" w:sz="0" w:space="0" w:color="auto"/>
        <w:bottom w:val="none" w:sz="0" w:space="0" w:color="auto"/>
        <w:right w:val="none" w:sz="0" w:space="0" w:color="auto"/>
      </w:divBdr>
    </w:div>
    <w:div w:id="1164785329">
      <w:bodyDiv w:val="1"/>
      <w:marLeft w:val="0"/>
      <w:marRight w:val="0"/>
      <w:marTop w:val="0"/>
      <w:marBottom w:val="0"/>
      <w:divBdr>
        <w:top w:val="none" w:sz="0" w:space="0" w:color="auto"/>
        <w:left w:val="none" w:sz="0" w:space="0" w:color="auto"/>
        <w:bottom w:val="none" w:sz="0" w:space="0" w:color="auto"/>
        <w:right w:val="none" w:sz="0" w:space="0" w:color="auto"/>
      </w:divBdr>
    </w:div>
    <w:div w:id="1276596936">
      <w:bodyDiv w:val="1"/>
      <w:marLeft w:val="0"/>
      <w:marRight w:val="0"/>
      <w:marTop w:val="0"/>
      <w:marBottom w:val="0"/>
      <w:divBdr>
        <w:top w:val="none" w:sz="0" w:space="0" w:color="auto"/>
        <w:left w:val="none" w:sz="0" w:space="0" w:color="auto"/>
        <w:bottom w:val="none" w:sz="0" w:space="0" w:color="auto"/>
        <w:right w:val="none" w:sz="0" w:space="0" w:color="auto"/>
      </w:divBdr>
    </w:div>
    <w:div w:id="1285504384">
      <w:bodyDiv w:val="1"/>
      <w:marLeft w:val="0"/>
      <w:marRight w:val="0"/>
      <w:marTop w:val="0"/>
      <w:marBottom w:val="0"/>
      <w:divBdr>
        <w:top w:val="none" w:sz="0" w:space="0" w:color="auto"/>
        <w:left w:val="none" w:sz="0" w:space="0" w:color="auto"/>
        <w:bottom w:val="none" w:sz="0" w:space="0" w:color="auto"/>
        <w:right w:val="none" w:sz="0" w:space="0" w:color="auto"/>
      </w:divBdr>
    </w:div>
    <w:div w:id="1458597615">
      <w:bodyDiv w:val="1"/>
      <w:marLeft w:val="0"/>
      <w:marRight w:val="0"/>
      <w:marTop w:val="0"/>
      <w:marBottom w:val="0"/>
      <w:divBdr>
        <w:top w:val="none" w:sz="0" w:space="0" w:color="auto"/>
        <w:left w:val="none" w:sz="0" w:space="0" w:color="auto"/>
        <w:bottom w:val="none" w:sz="0" w:space="0" w:color="auto"/>
        <w:right w:val="none" w:sz="0" w:space="0" w:color="auto"/>
      </w:divBdr>
    </w:div>
    <w:div w:id="1776174286">
      <w:bodyDiv w:val="1"/>
      <w:marLeft w:val="0"/>
      <w:marRight w:val="0"/>
      <w:marTop w:val="0"/>
      <w:marBottom w:val="0"/>
      <w:divBdr>
        <w:top w:val="none" w:sz="0" w:space="0" w:color="auto"/>
        <w:left w:val="none" w:sz="0" w:space="0" w:color="auto"/>
        <w:bottom w:val="none" w:sz="0" w:space="0" w:color="auto"/>
        <w:right w:val="none" w:sz="0" w:space="0" w:color="auto"/>
      </w:divBdr>
    </w:div>
    <w:div w:id="1785466155">
      <w:bodyDiv w:val="1"/>
      <w:marLeft w:val="0"/>
      <w:marRight w:val="0"/>
      <w:marTop w:val="0"/>
      <w:marBottom w:val="0"/>
      <w:divBdr>
        <w:top w:val="none" w:sz="0" w:space="0" w:color="auto"/>
        <w:left w:val="none" w:sz="0" w:space="0" w:color="auto"/>
        <w:bottom w:val="none" w:sz="0" w:space="0" w:color="auto"/>
        <w:right w:val="none" w:sz="0" w:space="0" w:color="auto"/>
      </w:divBdr>
    </w:div>
    <w:div w:id="20180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Tracy</dc:creator>
  <cp:keywords/>
  <dc:description/>
  <cp:lastModifiedBy>Richter, Tracy</cp:lastModifiedBy>
  <cp:revision>4</cp:revision>
  <dcterms:created xsi:type="dcterms:W3CDTF">2017-02-16T15:59:00Z</dcterms:created>
  <dcterms:modified xsi:type="dcterms:W3CDTF">2017-02-16T16:08:00Z</dcterms:modified>
</cp:coreProperties>
</file>