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61439" w:rsidRDefault="00261439"/>
    <w:p w:rsidR="00975D55" w:rsidRDefault="00975D55"/>
    <w:p w:rsidR="00636CD0" w:rsidRDefault="008B717C" w:rsidP="00636CD0">
      <w:r>
        <w:t>ERCOT Op</w:t>
      </w:r>
      <w:r w:rsidR="008665BC">
        <w:t xml:space="preserve">inions </w:t>
      </w:r>
      <w:r>
        <w:t xml:space="preserve">for </w:t>
      </w:r>
      <w:r w:rsidR="00122FE5">
        <w:t>January 26, 2017</w:t>
      </w:r>
      <w:r w:rsidR="00927F68">
        <w:t xml:space="preserve"> </w:t>
      </w:r>
      <w:r>
        <w:t xml:space="preserve">TAC </w:t>
      </w:r>
    </w:p>
    <w:p w:rsidR="005C5781" w:rsidRPr="00F90EF9" w:rsidRDefault="005C5781" w:rsidP="00636CD0">
      <w:pPr>
        <w:rPr>
          <w:sz w:val="16"/>
          <w:szCs w:val="16"/>
        </w:rPr>
      </w:pPr>
    </w:p>
    <w:tbl>
      <w:tblPr>
        <w:tblW w:w="9259" w:type="dxa"/>
        <w:tblInd w:w="-460" w:type="dxa"/>
        <w:tblCellMar>
          <w:left w:w="0" w:type="dxa"/>
          <w:right w:w="0" w:type="dxa"/>
        </w:tblCellMar>
        <w:tblLook w:val="04A0" w:firstRow="1" w:lastRow="0" w:firstColumn="1" w:lastColumn="0" w:noHBand="0" w:noVBand="1"/>
      </w:tblPr>
      <w:tblGrid>
        <w:gridCol w:w="985"/>
        <w:gridCol w:w="4756"/>
        <w:gridCol w:w="6"/>
        <w:gridCol w:w="957"/>
        <w:gridCol w:w="2555"/>
      </w:tblGrid>
      <w:tr w:rsidR="002148D1" w:rsidTr="002148D1">
        <w:trPr>
          <w:trHeight w:val="500"/>
        </w:trPr>
        <w:tc>
          <w:tcPr>
            <w:tcW w:w="985" w:type="dxa"/>
            <w:tcBorders>
              <w:top w:val="single" w:sz="8" w:space="0" w:color="auto"/>
              <w:left w:val="single" w:sz="8" w:space="0" w:color="auto"/>
              <w:bottom w:val="single" w:sz="8" w:space="0" w:color="auto"/>
              <w:right w:val="single" w:sz="8" w:space="0" w:color="auto"/>
            </w:tcBorders>
            <w:shd w:val="clear" w:color="auto" w:fill="366092"/>
            <w:tcMar>
              <w:top w:w="0" w:type="dxa"/>
              <w:left w:w="108" w:type="dxa"/>
              <w:bottom w:w="0" w:type="dxa"/>
              <w:right w:w="108" w:type="dxa"/>
            </w:tcMar>
            <w:hideMark/>
          </w:tcPr>
          <w:p w:rsidR="002148D1" w:rsidRDefault="002148D1" w:rsidP="004447FC">
            <w:pPr>
              <w:rPr>
                <w:b/>
                <w:bCs/>
                <w:color w:val="FFFFFF"/>
                <w:sz w:val="20"/>
                <w:szCs w:val="20"/>
              </w:rPr>
            </w:pPr>
            <w:r>
              <w:rPr>
                <w:b/>
                <w:bCs/>
                <w:color w:val="FFFFFF"/>
                <w:sz w:val="20"/>
                <w:szCs w:val="20"/>
              </w:rPr>
              <w:t>REV REQ NO.</w:t>
            </w:r>
          </w:p>
          <w:p w:rsidR="002148D1" w:rsidRDefault="002148D1" w:rsidP="004447FC">
            <w:pPr>
              <w:rPr>
                <w:b/>
                <w:bCs/>
                <w:color w:val="FFFFFF"/>
                <w:sz w:val="20"/>
                <w:szCs w:val="20"/>
              </w:rPr>
            </w:pPr>
          </w:p>
        </w:tc>
        <w:tc>
          <w:tcPr>
            <w:tcW w:w="4759"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148D1" w:rsidRDefault="002148D1" w:rsidP="004447FC">
            <w:pPr>
              <w:rPr>
                <w:b/>
                <w:bCs/>
                <w:color w:val="FFFFFF"/>
                <w:sz w:val="20"/>
                <w:szCs w:val="20"/>
              </w:rPr>
            </w:pPr>
            <w:r>
              <w:rPr>
                <w:b/>
                <w:bCs/>
                <w:color w:val="FFFFFF"/>
                <w:sz w:val="20"/>
                <w:szCs w:val="20"/>
              </w:rPr>
              <w:t>DESCRIPTION</w:t>
            </w:r>
          </w:p>
        </w:tc>
        <w:tc>
          <w:tcPr>
            <w:tcW w:w="958" w:type="dxa"/>
            <w:gridSpan w:val="2"/>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148D1" w:rsidRDefault="002148D1" w:rsidP="004447FC">
            <w:pPr>
              <w:jc w:val="center"/>
              <w:rPr>
                <w:b/>
                <w:bCs/>
                <w:color w:val="FFFFFF"/>
                <w:sz w:val="20"/>
                <w:szCs w:val="20"/>
              </w:rPr>
            </w:pPr>
            <w:r>
              <w:rPr>
                <w:b/>
                <w:bCs/>
                <w:color w:val="FFFFFF"/>
                <w:sz w:val="20"/>
                <w:szCs w:val="20"/>
              </w:rPr>
              <w:t>URGENT</w:t>
            </w:r>
          </w:p>
        </w:tc>
        <w:tc>
          <w:tcPr>
            <w:tcW w:w="2557" w:type="dxa"/>
            <w:tcBorders>
              <w:top w:val="single" w:sz="8" w:space="0" w:color="auto"/>
              <w:left w:val="nil"/>
              <w:bottom w:val="single" w:sz="8" w:space="0" w:color="auto"/>
              <w:right w:val="single" w:sz="8" w:space="0" w:color="auto"/>
            </w:tcBorders>
            <w:shd w:val="clear" w:color="auto" w:fill="366092"/>
            <w:tcMar>
              <w:top w:w="0" w:type="dxa"/>
              <w:left w:w="108" w:type="dxa"/>
              <w:bottom w:w="0" w:type="dxa"/>
              <w:right w:w="108" w:type="dxa"/>
            </w:tcMar>
            <w:hideMark/>
          </w:tcPr>
          <w:p w:rsidR="002148D1" w:rsidRDefault="002148D1" w:rsidP="004447FC">
            <w:pPr>
              <w:rPr>
                <w:b/>
                <w:bCs/>
                <w:color w:val="FFFFFF"/>
                <w:sz w:val="20"/>
                <w:szCs w:val="20"/>
              </w:rPr>
            </w:pPr>
            <w:r>
              <w:rPr>
                <w:b/>
                <w:bCs/>
                <w:color w:val="FFFFFF"/>
                <w:sz w:val="20"/>
                <w:szCs w:val="20"/>
              </w:rPr>
              <w:t>ERCOT Opinion</w:t>
            </w:r>
          </w:p>
        </w:tc>
      </w:tr>
      <w:tr w:rsidR="002148D1" w:rsidTr="002148D1">
        <w:trPr>
          <w:trHeight w:val="1591"/>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8D1" w:rsidRDefault="002148D1" w:rsidP="004447FC">
            <w:pPr>
              <w:rPr>
                <w:b/>
                <w:bCs/>
                <w:sz w:val="20"/>
                <w:szCs w:val="20"/>
              </w:rPr>
            </w:pPr>
            <w:r>
              <w:rPr>
                <w:b/>
                <w:bCs/>
                <w:sz w:val="20"/>
                <w:szCs w:val="20"/>
              </w:rPr>
              <w:t>052PGRR</w:t>
            </w:r>
          </w:p>
        </w:tc>
        <w:tc>
          <w:tcPr>
            <w:tcW w:w="4759" w:type="dxa"/>
            <w:tcBorders>
              <w:top w:val="nil"/>
              <w:left w:val="nil"/>
              <w:bottom w:val="single" w:sz="8" w:space="0" w:color="auto"/>
              <w:right w:val="single" w:sz="8" w:space="0" w:color="auto"/>
            </w:tcBorders>
            <w:tcMar>
              <w:top w:w="0" w:type="dxa"/>
              <w:left w:w="108" w:type="dxa"/>
              <w:bottom w:w="0" w:type="dxa"/>
              <w:right w:w="108" w:type="dxa"/>
            </w:tcMar>
            <w:hideMark/>
          </w:tcPr>
          <w:p w:rsidR="002148D1" w:rsidRDefault="002148D1" w:rsidP="0026577A">
            <w:pPr>
              <w:rPr>
                <w:b/>
                <w:bCs/>
                <w:sz w:val="20"/>
                <w:szCs w:val="20"/>
              </w:rPr>
            </w:pPr>
            <w:r>
              <w:rPr>
                <w:b/>
                <w:bCs/>
                <w:sz w:val="20"/>
                <w:szCs w:val="20"/>
              </w:rPr>
              <w:t xml:space="preserve">Stability Assessment for Interconnecting Generation.  </w:t>
            </w:r>
            <w:r>
              <w:rPr>
                <w:sz w:val="20"/>
                <w:szCs w:val="20"/>
              </w:rPr>
              <w:t>This Planning Guide Revision Request (PGRR) establishes a timeline for performing stability studies after the Full Interconnection Study (FIS) has been completed and model data or transmission system changes, not known during the FIS, become available prior to a new unit being brought on-line, in order to ensure that appropriate operating limits are established. [PLWG]</w:t>
            </w:r>
          </w:p>
        </w:tc>
        <w:tc>
          <w:tcPr>
            <w:tcW w:w="958"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48D1" w:rsidRDefault="002148D1" w:rsidP="004447FC">
            <w:pPr>
              <w:jc w:val="center"/>
              <w:rPr>
                <w:sz w:val="20"/>
                <w:szCs w:val="20"/>
              </w:rPr>
            </w:pPr>
            <w:r>
              <w:rPr>
                <w:sz w:val="20"/>
                <w:szCs w:val="20"/>
              </w:rPr>
              <w:t>N</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4447FC">
            <w:pPr>
              <w:rPr>
                <w:sz w:val="20"/>
                <w:szCs w:val="20"/>
              </w:rPr>
            </w:pPr>
            <w:r>
              <w:rPr>
                <w:color w:val="000000"/>
                <w:sz w:val="20"/>
                <w:szCs w:val="20"/>
              </w:rPr>
              <w:t>ERCOT supports approval of PGRR052 as it improves the process for establishing appropriate operating limits.</w:t>
            </w:r>
          </w:p>
        </w:tc>
      </w:tr>
      <w:tr w:rsidR="002148D1" w:rsidTr="002148D1">
        <w:trPr>
          <w:trHeight w:val="2239"/>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8D1" w:rsidRDefault="002148D1" w:rsidP="004447FC">
            <w:pPr>
              <w:rPr>
                <w:b/>
                <w:bCs/>
                <w:sz w:val="20"/>
                <w:szCs w:val="20"/>
              </w:rPr>
            </w:pPr>
            <w:r>
              <w:rPr>
                <w:b/>
                <w:bCs/>
                <w:sz w:val="20"/>
                <w:szCs w:val="20"/>
              </w:rPr>
              <w:t>053PGRR</w:t>
            </w:r>
          </w:p>
        </w:tc>
        <w:tc>
          <w:tcPr>
            <w:tcW w:w="4759"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26577A">
            <w:pPr>
              <w:rPr>
                <w:b/>
                <w:bCs/>
                <w:sz w:val="20"/>
                <w:szCs w:val="20"/>
              </w:rPr>
            </w:pPr>
            <w:r>
              <w:rPr>
                <w:b/>
                <w:bCs/>
                <w:sz w:val="20"/>
                <w:szCs w:val="20"/>
              </w:rPr>
              <w:t xml:space="preserve">Addition of Proposed All-Inclusive Generation Resources to the Planning Models.  </w:t>
            </w:r>
            <w:r>
              <w:rPr>
                <w:sz w:val="20"/>
                <w:szCs w:val="20"/>
              </w:rPr>
              <w:t>This Planning Guide Revision Request (PGRR) modifies the conditions that need to be met prior to including proposed All-Inclusive Generation Resources in the planning models.  This proposal includes limiting the initial data required for inclusion in the Steady State Working Group (SSWG) base cases to the data provided for the Full Interconnection Studies (FISs).  [PLWG]</w:t>
            </w:r>
          </w:p>
        </w:tc>
        <w:tc>
          <w:tcPr>
            <w:tcW w:w="958" w:type="dxa"/>
            <w:gridSpan w:val="2"/>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4447FC">
            <w:pPr>
              <w:jc w:val="center"/>
              <w:rPr>
                <w:sz w:val="20"/>
                <w:szCs w:val="20"/>
              </w:rPr>
            </w:pPr>
            <w:r>
              <w:rPr>
                <w:sz w:val="20"/>
                <w:szCs w:val="20"/>
              </w:rPr>
              <w:t>N</w:t>
            </w:r>
          </w:p>
        </w:tc>
        <w:tc>
          <w:tcPr>
            <w:tcW w:w="2557"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5E2D72">
            <w:pPr>
              <w:rPr>
                <w:sz w:val="20"/>
                <w:szCs w:val="20"/>
              </w:rPr>
            </w:pPr>
            <w:r>
              <w:rPr>
                <w:color w:val="000000"/>
                <w:sz w:val="20"/>
                <w:szCs w:val="20"/>
              </w:rPr>
              <w:t>ERCOT supports approval of PGRR053 as it provides increased data transparency and facilitates timely generation modeling.</w:t>
            </w:r>
          </w:p>
        </w:tc>
      </w:tr>
      <w:tr w:rsidR="002148D1" w:rsidTr="002148D1">
        <w:trPr>
          <w:trHeight w:val="1591"/>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2148D1" w:rsidRDefault="002148D1" w:rsidP="00ED5B92">
            <w:pPr>
              <w:rPr>
                <w:b/>
                <w:bCs/>
                <w:sz w:val="20"/>
                <w:szCs w:val="20"/>
              </w:rPr>
            </w:pPr>
            <w:bookmarkStart w:id="0" w:name="_GoBack"/>
            <w:bookmarkEnd w:id="0"/>
            <w:r>
              <w:rPr>
                <w:b/>
                <w:bCs/>
                <w:sz w:val="20"/>
                <w:szCs w:val="20"/>
              </w:rPr>
              <w:t>794NPRR</w:t>
            </w:r>
          </w:p>
        </w:tc>
        <w:tc>
          <w:tcPr>
            <w:tcW w:w="4765" w:type="dxa"/>
            <w:gridSpan w:val="2"/>
            <w:tcBorders>
              <w:top w:val="nil"/>
              <w:left w:val="nil"/>
              <w:bottom w:val="single" w:sz="8" w:space="0" w:color="auto"/>
              <w:right w:val="single" w:sz="8" w:space="0" w:color="auto"/>
            </w:tcBorders>
            <w:tcMar>
              <w:top w:w="0" w:type="dxa"/>
              <w:left w:w="108" w:type="dxa"/>
              <w:bottom w:w="0" w:type="dxa"/>
              <w:right w:w="108" w:type="dxa"/>
            </w:tcMar>
            <w:hideMark/>
          </w:tcPr>
          <w:p w:rsidR="002148D1" w:rsidRDefault="002148D1" w:rsidP="00ED5B92">
            <w:pPr>
              <w:rPr>
                <w:b/>
                <w:bCs/>
                <w:sz w:val="20"/>
                <w:szCs w:val="20"/>
              </w:rPr>
            </w:pPr>
            <w:r>
              <w:rPr>
                <w:b/>
                <w:bCs/>
                <w:sz w:val="20"/>
                <w:szCs w:val="20"/>
              </w:rPr>
              <w:t xml:space="preserve">Relocation of Unregistered DG Reporting Requirements. </w:t>
            </w:r>
            <w:r>
              <w:rPr>
                <w:sz w:val="20"/>
                <w:szCs w:val="20"/>
              </w:rPr>
              <w:t> This Nodal Protocol Revision Request (NPRR), in conjunction with COPMGRR044, relocates unregistered Distributed Generation (DG) reporting requirements from the Commercial Operations Market Guide to the Protocols. [ERCOT]</w:t>
            </w:r>
          </w:p>
        </w:tc>
        <w:tc>
          <w:tcPr>
            <w:tcW w:w="957" w:type="dxa"/>
            <w:tcBorders>
              <w:top w:val="nil"/>
              <w:left w:val="nil"/>
              <w:bottom w:val="single" w:sz="8" w:space="0" w:color="auto"/>
              <w:right w:val="single" w:sz="8" w:space="0" w:color="auto"/>
            </w:tcBorders>
            <w:tcMar>
              <w:top w:w="0" w:type="dxa"/>
              <w:left w:w="108" w:type="dxa"/>
              <w:bottom w:w="0" w:type="dxa"/>
              <w:right w:w="108" w:type="dxa"/>
            </w:tcMar>
            <w:hideMark/>
          </w:tcPr>
          <w:p w:rsidR="002148D1" w:rsidRDefault="002148D1" w:rsidP="00ED5B92">
            <w:pPr>
              <w:jc w:val="center"/>
              <w:rPr>
                <w:sz w:val="20"/>
                <w:szCs w:val="20"/>
              </w:rPr>
            </w:pPr>
            <w:r>
              <w:rPr>
                <w:sz w:val="20"/>
                <w:szCs w:val="20"/>
              </w:rPr>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rPr>
                <w:sz w:val="20"/>
                <w:szCs w:val="20"/>
              </w:rPr>
            </w:pPr>
            <w:r>
              <w:rPr>
                <w:sz w:val="20"/>
                <w:szCs w:val="20"/>
              </w:rPr>
              <w:t>ERCOT supports approval of NPRR794</w:t>
            </w:r>
          </w:p>
        </w:tc>
      </w:tr>
      <w:tr w:rsidR="002148D1" w:rsidTr="002148D1">
        <w:trPr>
          <w:trHeight w:val="2860"/>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8D1" w:rsidRDefault="002148D1" w:rsidP="00ED5B92">
            <w:pPr>
              <w:rPr>
                <w:b/>
                <w:bCs/>
                <w:sz w:val="20"/>
                <w:szCs w:val="20"/>
              </w:rPr>
            </w:pPr>
            <w:r>
              <w:rPr>
                <w:b/>
                <w:bCs/>
                <w:sz w:val="20"/>
                <w:szCs w:val="20"/>
              </w:rPr>
              <w:t>805NPRR</w:t>
            </w:r>
          </w:p>
        </w:tc>
        <w:tc>
          <w:tcPr>
            <w:tcW w:w="4765" w:type="dxa"/>
            <w:gridSpan w:val="2"/>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rPr>
                <w:b/>
                <w:bCs/>
                <w:sz w:val="20"/>
                <w:szCs w:val="20"/>
              </w:rPr>
            </w:pPr>
            <w:r>
              <w:rPr>
                <w:b/>
                <w:bCs/>
                <w:sz w:val="20"/>
                <w:szCs w:val="20"/>
              </w:rPr>
              <w:t xml:space="preserve">Clarification for Multi-Month CRR Auction Offers.  </w:t>
            </w:r>
            <w:r>
              <w:rPr>
                <w:sz w:val="20"/>
                <w:szCs w:val="20"/>
              </w:rPr>
              <w:t>This Nodal Protocol Revision Request (NPRR) clarifies the criteria for Congestion Revenue Right (CRR) offers that are submitted by CRR Account Holders for CRR Auctions that are part of a CRR Long-Term Auction Sequence.  Specifically, it makes clear that CRR Account Holders are able to submit multi-month CRR offers for those auctions as long as the months are all consecutive, are within the period covered by the auction, and are months in which the CRR Account Holder has ownership of the CRR.  [ERCOT]</w:t>
            </w:r>
          </w:p>
        </w:tc>
        <w:tc>
          <w:tcPr>
            <w:tcW w:w="957"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jc w:val="center"/>
              <w:rPr>
                <w:sz w:val="20"/>
                <w:szCs w:val="20"/>
              </w:rPr>
            </w:pPr>
            <w:r>
              <w:rPr>
                <w:sz w:val="20"/>
                <w:szCs w:val="20"/>
              </w:rPr>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rPr>
                <w:sz w:val="20"/>
                <w:szCs w:val="20"/>
              </w:rPr>
            </w:pPr>
            <w:r>
              <w:rPr>
                <w:sz w:val="20"/>
                <w:szCs w:val="20"/>
              </w:rPr>
              <w:t>ERCOT supports approval of NPRR805</w:t>
            </w:r>
          </w:p>
        </w:tc>
      </w:tr>
      <w:tr w:rsidR="002148D1" w:rsidTr="002148D1">
        <w:trPr>
          <w:trHeight w:val="2032"/>
        </w:trPr>
        <w:tc>
          <w:tcPr>
            <w:tcW w:w="985" w:type="dxa"/>
            <w:tcBorders>
              <w:top w:val="nil"/>
              <w:left w:val="single" w:sz="8" w:space="0" w:color="auto"/>
              <w:bottom w:val="single" w:sz="8" w:space="0" w:color="auto"/>
              <w:right w:val="single" w:sz="8" w:space="0" w:color="auto"/>
            </w:tcBorders>
            <w:tcMar>
              <w:top w:w="0" w:type="dxa"/>
              <w:left w:w="108" w:type="dxa"/>
              <w:bottom w:w="0" w:type="dxa"/>
              <w:right w:w="108" w:type="dxa"/>
            </w:tcMar>
          </w:tcPr>
          <w:p w:rsidR="002148D1" w:rsidRDefault="002148D1" w:rsidP="00ED5B92">
            <w:pPr>
              <w:rPr>
                <w:b/>
                <w:bCs/>
                <w:sz w:val="20"/>
                <w:szCs w:val="20"/>
              </w:rPr>
            </w:pPr>
            <w:r>
              <w:rPr>
                <w:b/>
                <w:bCs/>
                <w:sz w:val="20"/>
                <w:szCs w:val="20"/>
              </w:rPr>
              <w:t>806NPRR</w:t>
            </w:r>
          </w:p>
        </w:tc>
        <w:tc>
          <w:tcPr>
            <w:tcW w:w="4765" w:type="dxa"/>
            <w:gridSpan w:val="2"/>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rPr>
                <w:b/>
                <w:bCs/>
                <w:sz w:val="20"/>
                <w:szCs w:val="20"/>
              </w:rPr>
            </w:pPr>
            <w:r>
              <w:rPr>
                <w:b/>
                <w:bCs/>
                <w:sz w:val="20"/>
                <w:szCs w:val="20"/>
              </w:rPr>
              <w:t xml:space="preserve">Clarification for Designation of Capacity or Refund PCRRs. </w:t>
            </w:r>
            <w:r>
              <w:rPr>
                <w:sz w:val="20"/>
                <w:szCs w:val="20"/>
              </w:rPr>
              <w:t xml:space="preserve"> This Nodal Protocol Revision Request (NPRR) clarifies how Non-Opt-In Entities (NOIEs) are to designate whether they want to accept the refund option or the capacity option for their Pre-Assigned Congestion Revenue Right (PCRR)-eligible Resources. Specifically, it makes clear that the choice of refund or capacity is for the entire PCRR allocation year for each eligible Resource. NOIEs cannot select one option </w:t>
            </w:r>
            <w:r>
              <w:rPr>
                <w:sz w:val="20"/>
                <w:szCs w:val="20"/>
              </w:rPr>
              <w:lastRenderedPageBreak/>
              <w:t>(refund or capacity) for some months of the year and the other option for the remaining months.  [ERCOT]</w:t>
            </w:r>
            <w:r>
              <w:rPr>
                <w:b/>
                <w:bCs/>
                <w:sz w:val="20"/>
                <w:szCs w:val="20"/>
              </w:rPr>
              <w:t xml:space="preserve"> </w:t>
            </w:r>
          </w:p>
        </w:tc>
        <w:tc>
          <w:tcPr>
            <w:tcW w:w="957"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jc w:val="center"/>
              <w:rPr>
                <w:sz w:val="20"/>
                <w:szCs w:val="20"/>
              </w:rPr>
            </w:pPr>
            <w:r>
              <w:rPr>
                <w:sz w:val="20"/>
                <w:szCs w:val="20"/>
              </w:rPr>
              <w:lastRenderedPageBreak/>
              <w:t>N</w:t>
            </w:r>
          </w:p>
        </w:tc>
        <w:tc>
          <w:tcPr>
            <w:tcW w:w="2552" w:type="dxa"/>
            <w:tcBorders>
              <w:top w:val="nil"/>
              <w:left w:val="nil"/>
              <w:bottom w:val="single" w:sz="8" w:space="0" w:color="auto"/>
              <w:right w:val="single" w:sz="8" w:space="0" w:color="auto"/>
            </w:tcBorders>
            <w:tcMar>
              <w:top w:w="0" w:type="dxa"/>
              <w:left w:w="108" w:type="dxa"/>
              <w:bottom w:w="0" w:type="dxa"/>
              <w:right w:w="108" w:type="dxa"/>
            </w:tcMar>
          </w:tcPr>
          <w:p w:rsidR="002148D1" w:rsidRDefault="002148D1" w:rsidP="00ED5B92">
            <w:pPr>
              <w:rPr>
                <w:color w:val="000000"/>
                <w:sz w:val="20"/>
                <w:szCs w:val="20"/>
              </w:rPr>
            </w:pPr>
            <w:r>
              <w:rPr>
                <w:sz w:val="20"/>
                <w:szCs w:val="20"/>
              </w:rPr>
              <w:t>ERCOT supports approval of NPRR806</w:t>
            </w:r>
          </w:p>
        </w:tc>
      </w:tr>
    </w:tbl>
    <w:p w:rsidR="005C5781" w:rsidRDefault="005C5781" w:rsidP="00636CD0"/>
    <w:sectPr w:rsidR="005C5781" w:rsidSect="001869C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07ED"/>
    <w:rsid w:val="00122FE5"/>
    <w:rsid w:val="001869C5"/>
    <w:rsid w:val="00212337"/>
    <w:rsid w:val="002148D1"/>
    <w:rsid w:val="00261439"/>
    <w:rsid w:val="0026577A"/>
    <w:rsid w:val="00330EE9"/>
    <w:rsid w:val="003A5C8F"/>
    <w:rsid w:val="004F7AC5"/>
    <w:rsid w:val="00595DDA"/>
    <w:rsid w:val="0059657A"/>
    <w:rsid w:val="005C5781"/>
    <w:rsid w:val="005E2D72"/>
    <w:rsid w:val="00600D15"/>
    <w:rsid w:val="00636CD0"/>
    <w:rsid w:val="006F07ED"/>
    <w:rsid w:val="00701C9F"/>
    <w:rsid w:val="007166FD"/>
    <w:rsid w:val="007B577D"/>
    <w:rsid w:val="007D0FE5"/>
    <w:rsid w:val="008665BC"/>
    <w:rsid w:val="008B717C"/>
    <w:rsid w:val="00927F68"/>
    <w:rsid w:val="00975D55"/>
    <w:rsid w:val="00A05917"/>
    <w:rsid w:val="00B56045"/>
    <w:rsid w:val="00B900D9"/>
    <w:rsid w:val="00C96FA7"/>
    <w:rsid w:val="00CF5A32"/>
    <w:rsid w:val="00F90E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75545AD-8A0A-464E-BED2-39AC7DB5D0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07ED"/>
    <w:pPr>
      <w:spacing w:after="0" w:line="240" w:lineRule="auto"/>
    </w:pPr>
    <w:rPr>
      <w:rFonts w:ascii="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539133">
      <w:bodyDiv w:val="1"/>
      <w:marLeft w:val="0"/>
      <w:marRight w:val="0"/>
      <w:marTop w:val="0"/>
      <w:marBottom w:val="0"/>
      <w:divBdr>
        <w:top w:val="none" w:sz="0" w:space="0" w:color="auto"/>
        <w:left w:val="none" w:sz="0" w:space="0" w:color="auto"/>
        <w:bottom w:val="none" w:sz="0" w:space="0" w:color="auto"/>
        <w:right w:val="none" w:sz="0" w:space="0" w:color="auto"/>
      </w:divBdr>
    </w:div>
    <w:div w:id="659235382">
      <w:bodyDiv w:val="1"/>
      <w:marLeft w:val="0"/>
      <w:marRight w:val="0"/>
      <w:marTop w:val="0"/>
      <w:marBottom w:val="0"/>
      <w:divBdr>
        <w:top w:val="none" w:sz="0" w:space="0" w:color="auto"/>
        <w:left w:val="none" w:sz="0" w:space="0" w:color="auto"/>
        <w:bottom w:val="none" w:sz="0" w:space="0" w:color="auto"/>
        <w:right w:val="none" w:sz="0" w:space="0" w:color="auto"/>
      </w:divBdr>
    </w:div>
    <w:div w:id="689794419">
      <w:bodyDiv w:val="1"/>
      <w:marLeft w:val="0"/>
      <w:marRight w:val="0"/>
      <w:marTop w:val="0"/>
      <w:marBottom w:val="0"/>
      <w:divBdr>
        <w:top w:val="none" w:sz="0" w:space="0" w:color="auto"/>
        <w:left w:val="none" w:sz="0" w:space="0" w:color="auto"/>
        <w:bottom w:val="none" w:sz="0" w:space="0" w:color="auto"/>
        <w:right w:val="none" w:sz="0" w:space="0" w:color="auto"/>
      </w:divBdr>
    </w:div>
    <w:div w:id="1122963641">
      <w:bodyDiv w:val="1"/>
      <w:marLeft w:val="0"/>
      <w:marRight w:val="0"/>
      <w:marTop w:val="0"/>
      <w:marBottom w:val="0"/>
      <w:divBdr>
        <w:top w:val="none" w:sz="0" w:space="0" w:color="auto"/>
        <w:left w:val="none" w:sz="0" w:space="0" w:color="auto"/>
        <w:bottom w:val="none" w:sz="0" w:space="0" w:color="auto"/>
        <w:right w:val="none" w:sz="0" w:space="0" w:color="auto"/>
      </w:divBdr>
    </w:div>
    <w:div w:id="1192500527">
      <w:bodyDiv w:val="1"/>
      <w:marLeft w:val="0"/>
      <w:marRight w:val="0"/>
      <w:marTop w:val="0"/>
      <w:marBottom w:val="0"/>
      <w:divBdr>
        <w:top w:val="none" w:sz="0" w:space="0" w:color="auto"/>
        <w:left w:val="none" w:sz="0" w:space="0" w:color="auto"/>
        <w:bottom w:val="none" w:sz="0" w:space="0" w:color="auto"/>
        <w:right w:val="none" w:sz="0" w:space="0" w:color="auto"/>
      </w:divBdr>
    </w:div>
    <w:div w:id="1216813204">
      <w:bodyDiv w:val="1"/>
      <w:marLeft w:val="0"/>
      <w:marRight w:val="0"/>
      <w:marTop w:val="0"/>
      <w:marBottom w:val="0"/>
      <w:divBdr>
        <w:top w:val="none" w:sz="0" w:space="0" w:color="auto"/>
        <w:left w:val="none" w:sz="0" w:space="0" w:color="auto"/>
        <w:bottom w:val="none" w:sz="0" w:space="0" w:color="auto"/>
        <w:right w:val="none" w:sz="0" w:space="0" w:color="auto"/>
      </w:divBdr>
    </w:div>
    <w:div w:id="1364211242">
      <w:bodyDiv w:val="1"/>
      <w:marLeft w:val="0"/>
      <w:marRight w:val="0"/>
      <w:marTop w:val="0"/>
      <w:marBottom w:val="0"/>
      <w:divBdr>
        <w:top w:val="none" w:sz="0" w:space="0" w:color="auto"/>
        <w:left w:val="none" w:sz="0" w:space="0" w:color="auto"/>
        <w:bottom w:val="none" w:sz="0" w:space="0" w:color="auto"/>
        <w:right w:val="none" w:sz="0" w:space="0" w:color="auto"/>
      </w:divBdr>
    </w:div>
    <w:div w:id="1432553065">
      <w:bodyDiv w:val="1"/>
      <w:marLeft w:val="0"/>
      <w:marRight w:val="0"/>
      <w:marTop w:val="0"/>
      <w:marBottom w:val="0"/>
      <w:divBdr>
        <w:top w:val="none" w:sz="0" w:space="0" w:color="auto"/>
        <w:left w:val="none" w:sz="0" w:space="0" w:color="auto"/>
        <w:bottom w:val="none" w:sz="0" w:space="0" w:color="auto"/>
        <w:right w:val="none" w:sz="0" w:space="0" w:color="auto"/>
      </w:divBdr>
    </w:div>
    <w:div w:id="1889222018">
      <w:bodyDiv w:val="1"/>
      <w:marLeft w:val="0"/>
      <w:marRight w:val="0"/>
      <w:marTop w:val="0"/>
      <w:marBottom w:val="0"/>
      <w:divBdr>
        <w:top w:val="none" w:sz="0" w:space="0" w:color="auto"/>
        <w:left w:val="none" w:sz="0" w:space="0" w:color="auto"/>
        <w:bottom w:val="none" w:sz="0" w:space="0" w:color="auto"/>
        <w:right w:val="none" w:sz="0" w:space="0" w:color="auto"/>
      </w:divBdr>
    </w:div>
    <w:div w:id="1922254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414</Words>
  <Characters>2361</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2770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Bracy, Phillip</dc:creator>
  <cp:keywords/>
  <dc:description/>
  <cp:lastModifiedBy>A. Boren</cp:lastModifiedBy>
  <cp:revision>2</cp:revision>
  <dcterms:created xsi:type="dcterms:W3CDTF">2017-01-19T21:25:00Z</dcterms:created>
  <dcterms:modified xsi:type="dcterms:W3CDTF">2017-01-19T21:25:00Z</dcterms:modified>
</cp:coreProperties>
</file>