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9E" w:rsidRPr="00925210" w:rsidRDefault="00D10E9E" w:rsidP="00DD3F4B">
      <w:pPr>
        <w:jc w:val="center"/>
        <w:rPr>
          <w:rFonts w:ascii="Times New Roman" w:hAnsi="Times New Roman" w:cs="Times New Roman"/>
          <w:i/>
          <w:sz w:val="4"/>
          <w:szCs w:val="4"/>
        </w:rPr>
      </w:pPr>
    </w:p>
    <w:p w:rsidR="00344813" w:rsidRPr="00DD3F4B" w:rsidRDefault="00D10E9E" w:rsidP="00DD3F4B">
      <w:pPr>
        <w:pStyle w:val="ListParagraph"/>
        <w:numPr>
          <w:ilvl w:val="0"/>
          <w:numId w:val="6"/>
        </w:numPr>
        <w:tabs>
          <w:tab w:val="num" w:pos="720"/>
        </w:tabs>
        <w:rPr>
          <w:rFonts w:ascii="Times New Roman" w:hAnsi="Times New Roman" w:cs="Times New Roman"/>
          <w:b/>
          <w:sz w:val="24"/>
          <w:szCs w:val="24"/>
        </w:rPr>
      </w:pPr>
      <w:r w:rsidRPr="00DD3F4B">
        <w:rPr>
          <w:rFonts w:ascii="Times New Roman" w:hAnsi="Times New Roman" w:cs="Times New Roman"/>
          <w:b/>
          <w:sz w:val="24"/>
          <w:szCs w:val="24"/>
        </w:rPr>
        <w:t>Maintain settlements stability in alignment with Protocol Section 8.2, ERCOT Performance Monitoring, Paragraphs (2) (c), Settlement Stability, and (2) (g), Load Uplift Amounts</w:t>
      </w:r>
    </w:p>
    <w:p w:rsidR="00F93D82" w:rsidRDefault="004E1AF7" w:rsidP="00DD3F4B">
      <w:pPr>
        <w:pStyle w:val="ListParagraph"/>
        <w:numPr>
          <w:ilvl w:val="0"/>
          <w:numId w:val="9"/>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R</w:t>
      </w:r>
      <w:r w:rsidR="00FD5C86">
        <w:rPr>
          <w:rFonts w:ascii="Times New Roman" w:hAnsi="Times New Roman" w:cs="Times New Roman"/>
          <w:color w:val="1F497D" w:themeColor="text2"/>
          <w:sz w:val="24"/>
          <w:szCs w:val="24"/>
        </w:rPr>
        <w:t>eviewed</w:t>
      </w:r>
      <w:r>
        <w:rPr>
          <w:rFonts w:ascii="Times New Roman" w:hAnsi="Times New Roman" w:cs="Times New Roman"/>
          <w:color w:val="1F497D" w:themeColor="text2"/>
          <w:sz w:val="24"/>
          <w:szCs w:val="24"/>
        </w:rPr>
        <w:t xml:space="preserve"> Non-Registered Distributed Generation Installed Capacity and Current DG Registration Threshold</w:t>
      </w:r>
      <w:r w:rsidR="00FD5C86">
        <w:rPr>
          <w:rFonts w:ascii="Times New Roman" w:hAnsi="Times New Roman" w:cs="Times New Roman"/>
          <w:color w:val="1F497D" w:themeColor="text2"/>
          <w:sz w:val="24"/>
          <w:szCs w:val="24"/>
        </w:rPr>
        <w:t xml:space="preserve"> Quarterly</w:t>
      </w:r>
    </w:p>
    <w:p w:rsidR="00F93D82" w:rsidRDefault="00F93D82" w:rsidP="00F93D82">
      <w:pPr>
        <w:pStyle w:val="ListParagraph"/>
        <w:numPr>
          <w:ilvl w:val="1"/>
          <w:numId w:val="9"/>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Update</w:t>
      </w:r>
      <w:r w:rsidR="00FD5C86">
        <w:rPr>
          <w:rFonts w:ascii="Times New Roman" w:hAnsi="Times New Roman" w:cs="Times New Roman"/>
          <w:color w:val="1F497D" w:themeColor="text2"/>
          <w:sz w:val="24"/>
          <w:szCs w:val="24"/>
        </w:rPr>
        <w:t>d</w:t>
      </w:r>
      <w:r w:rsidR="004E1AF7">
        <w:rPr>
          <w:rFonts w:ascii="Times New Roman" w:hAnsi="Times New Roman" w:cs="Times New Roman"/>
          <w:color w:val="1F497D" w:themeColor="text2"/>
          <w:sz w:val="24"/>
          <w:szCs w:val="24"/>
        </w:rPr>
        <w:t xml:space="preserve"> TAC quarterly</w:t>
      </w:r>
    </w:p>
    <w:p w:rsidR="004E1AF7" w:rsidRDefault="004E1AF7" w:rsidP="00F93D82">
      <w:pPr>
        <w:pStyle w:val="ListParagraph"/>
        <w:numPr>
          <w:ilvl w:val="1"/>
          <w:numId w:val="9"/>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NPRR719 and COPMGRR040</w:t>
      </w:r>
      <w:r w:rsidR="00A90F0E">
        <w:rPr>
          <w:rFonts w:ascii="Times New Roman" w:hAnsi="Times New Roman" w:cs="Times New Roman"/>
          <w:color w:val="1F497D" w:themeColor="text2"/>
          <w:sz w:val="24"/>
          <w:szCs w:val="24"/>
        </w:rPr>
        <w:t xml:space="preserve"> moved reporting requirements </w:t>
      </w:r>
      <w:r w:rsidR="00FD5C86">
        <w:rPr>
          <w:rFonts w:ascii="Times New Roman" w:hAnsi="Times New Roman" w:cs="Times New Roman"/>
          <w:color w:val="1F497D" w:themeColor="text2"/>
          <w:sz w:val="24"/>
          <w:szCs w:val="24"/>
        </w:rPr>
        <w:t>in</w:t>
      </w:r>
      <w:r w:rsidR="00A90F0E">
        <w:rPr>
          <w:rFonts w:ascii="Times New Roman" w:hAnsi="Times New Roman" w:cs="Times New Roman"/>
          <w:color w:val="1F497D" w:themeColor="text2"/>
          <w:sz w:val="24"/>
          <w:szCs w:val="24"/>
        </w:rPr>
        <w:t xml:space="preserve">to </w:t>
      </w:r>
      <w:r w:rsidR="00FD5C86">
        <w:rPr>
          <w:rFonts w:ascii="Times New Roman" w:hAnsi="Times New Roman" w:cs="Times New Roman"/>
          <w:color w:val="1F497D" w:themeColor="text2"/>
          <w:sz w:val="24"/>
          <w:szCs w:val="24"/>
        </w:rPr>
        <w:t xml:space="preserve">the </w:t>
      </w:r>
      <w:r w:rsidR="00A90F0E">
        <w:rPr>
          <w:rFonts w:ascii="Times New Roman" w:hAnsi="Times New Roman" w:cs="Times New Roman"/>
          <w:color w:val="1F497D" w:themeColor="text2"/>
          <w:sz w:val="24"/>
          <w:szCs w:val="24"/>
        </w:rPr>
        <w:t>Protocols</w:t>
      </w:r>
    </w:p>
    <w:p w:rsidR="00F93D82" w:rsidRDefault="00F93D82" w:rsidP="00F93D82">
      <w:pPr>
        <w:pStyle w:val="ListParagraph"/>
        <w:numPr>
          <w:ilvl w:val="1"/>
          <w:numId w:val="9"/>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ERCOT moved responsibility from Data Loading and Aggregation Dept. to System Planning Dept.</w:t>
      </w:r>
    </w:p>
    <w:p w:rsidR="00DE76BB" w:rsidRDefault="00DE76BB" w:rsidP="00DD3F4B">
      <w:pPr>
        <w:pStyle w:val="ListParagraph"/>
        <w:numPr>
          <w:ilvl w:val="0"/>
          <w:numId w:val="9"/>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COPS Leadership </w:t>
      </w:r>
      <w:r w:rsidR="00FD5C86">
        <w:rPr>
          <w:rFonts w:ascii="Times New Roman" w:hAnsi="Times New Roman" w:cs="Times New Roman"/>
          <w:color w:val="1F497D" w:themeColor="text2"/>
          <w:sz w:val="24"/>
          <w:szCs w:val="24"/>
        </w:rPr>
        <w:t>reviewed</w:t>
      </w:r>
      <w:r>
        <w:rPr>
          <w:rFonts w:ascii="Times New Roman" w:hAnsi="Times New Roman" w:cs="Times New Roman"/>
          <w:color w:val="1F497D" w:themeColor="text2"/>
          <w:sz w:val="24"/>
          <w:szCs w:val="24"/>
        </w:rPr>
        <w:t xml:space="preserve"> the Settlement Stability Report to TAC each quarter</w:t>
      </w:r>
    </w:p>
    <w:p w:rsidR="00FD5C86" w:rsidRDefault="00FD5C86" w:rsidP="00451FEE">
      <w:pPr>
        <w:pStyle w:val="ListParagraph"/>
        <w:numPr>
          <w:ilvl w:val="1"/>
          <w:numId w:val="9"/>
        </w:numPr>
        <w:spacing w:before="200"/>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Updated TAC quarterly</w:t>
      </w:r>
    </w:p>
    <w:p w:rsidR="00263B6B" w:rsidRPr="00DD3F4B" w:rsidRDefault="00D10E9E" w:rsidP="00451FEE">
      <w:pPr>
        <w:pStyle w:val="ListParagraph"/>
        <w:numPr>
          <w:ilvl w:val="0"/>
          <w:numId w:val="6"/>
        </w:numPr>
        <w:spacing w:before="200"/>
        <w:rPr>
          <w:rFonts w:ascii="Times New Roman" w:hAnsi="Times New Roman" w:cs="Times New Roman"/>
          <w:b/>
          <w:color w:val="1F497D" w:themeColor="text2"/>
          <w:sz w:val="24"/>
          <w:szCs w:val="24"/>
        </w:rPr>
      </w:pPr>
      <w:r w:rsidRPr="00DD3F4B">
        <w:rPr>
          <w:rFonts w:ascii="Times New Roman" w:hAnsi="Times New Roman" w:cs="Times New Roman"/>
          <w:b/>
          <w:sz w:val="24"/>
          <w:szCs w:val="24"/>
        </w:rPr>
        <w:t>Improve Commercial Operations processes to accommodate changes in the ERCOT Market design</w:t>
      </w:r>
    </w:p>
    <w:p w:rsidR="00A74E0C" w:rsidRDefault="00A74E0C" w:rsidP="003E0635">
      <w:pPr>
        <w:pStyle w:val="ListParagraph"/>
        <w:numPr>
          <w:ilvl w:val="0"/>
          <w:numId w:val="8"/>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Held first WebEx only COPS meeting in October 2016</w:t>
      </w:r>
    </w:p>
    <w:p w:rsidR="00D0249E" w:rsidRDefault="00D0249E" w:rsidP="003E0635">
      <w:pPr>
        <w:pStyle w:val="ListParagraph"/>
        <w:numPr>
          <w:ilvl w:val="0"/>
          <w:numId w:val="8"/>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Updated the COPS Procedures document, removing the MISUG and adding the MDWG</w:t>
      </w:r>
    </w:p>
    <w:p w:rsidR="003E0635" w:rsidRDefault="003E0635" w:rsidP="003E0635">
      <w:pPr>
        <w:pStyle w:val="ListParagraph"/>
        <w:numPr>
          <w:ilvl w:val="0"/>
          <w:numId w:val="8"/>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Submitted NPRR742, Prior Month Data Cut for Balancing Account</w:t>
      </w:r>
      <w:r>
        <w:rPr>
          <w:rFonts w:ascii="Times New Roman" w:hAnsi="Times New Roman" w:cs="Times New Roman"/>
          <w:color w:val="1F497D" w:themeColor="text2"/>
          <w:sz w:val="24"/>
          <w:szCs w:val="24"/>
        </w:rPr>
        <w:t xml:space="preserve">, to include </w:t>
      </w:r>
      <w:r w:rsidR="00FD5C86">
        <w:rPr>
          <w:rFonts w:ascii="Times New Roman" w:hAnsi="Times New Roman" w:cs="Times New Roman"/>
          <w:color w:val="1F497D" w:themeColor="text2"/>
          <w:sz w:val="24"/>
          <w:szCs w:val="24"/>
        </w:rPr>
        <w:t>a</w:t>
      </w:r>
      <w:r>
        <w:rPr>
          <w:rFonts w:ascii="Times New Roman" w:hAnsi="Times New Roman" w:cs="Times New Roman"/>
          <w:color w:val="1F497D" w:themeColor="text2"/>
          <w:sz w:val="24"/>
          <w:szCs w:val="24"/>
        </w:rPr>
        <w:t xml:space="preserve"> missing piece of information in the ERCOT extracts</w:t>
      </w: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Work with ERCOT staff to develop Market improvements and Protocols that support increased Commercial Operations data transparency and data availability</w:t>
      </w:r>
    </w:p>
    <w:p w:rsidR="00DA2866" w:rsidRDefault="00DA2866" w:rsidP="00552C84">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Facilitated a Settlements Seminar for stakeholders on February 16, 2016; Topics included ERCOT Settlement Processes, CRR Balancing Account and Settlement Impacts for 2016 NPRRs and ERCOT Credit</w:t>
      </w:r>
    </w:p>
    <w:p w:rsidR="007A63B3" w:rsidRDefault="007A63B3" w:rsidP="00552C84">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Facilitated a follow-up presentation on ERCOT Credit Reports</w:t>
      </w:r>
    </w:p>
    <w:p w:rsidR="00D0249E" w:rsidRDefault="00D0249E" w:rsidP="00552C84">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Approved the 2016 Market Data Transparency Service Level Agreement</w:t>
      </w:r>
    </w:p>
    <w:p w:rsidR="00552C84" w:rsidRDefault="00DA2866" w:rsidP="00552C84">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Reviewed </w:t>
      </w:r>
      <w:r w:rsidR="00552C84">
        <w:rPr>
          <w:rFonts w:ascii="Times New Roman" w:hAnsi="Times New Roman" w:cs="Times New Roman"/>
          <w:color w:val="1F497D" w:themeColor="text2"/>
          <w:sz w:val="24"/>
          <w:szCs w:val="24"/>
        </w:rPr>
        <w:t>NPRR419, Revis</w:t>
      </w:r>
      <w:r>
        <w:rPr>
          <w:rFonts w:ascii="Times New Roman" w:hAnsi="Times New Roman" w:cs="Times New Roman"/>
          <w:color w:val="1F497D" w:themeColor="text2"/>
          <w:sz w:val="24"/>
          <w:szCs w:val="24"/>
        </w:rPr>
        <w:t xml:space="preserve">ions to </w:t>
      </w:r>
      <w:r w:rsidR="00552C84">
        <w:rPr>
          <w:rFonts w:ascii="Times New Roman" w:hAnsi="Times New Roman" w:cs="Times New Roman"/>
          <w:color w:val="1F497D" w:themeColor="text2"/>
          <w:sz w:val="24"/>
          <w:szCs w:val="24"/>
        </w:rPr>
        <w:t xml:space="preserve">Real-Time Energy Imbalance </w:t>
      </w:r>
      <w:r>
        <w:rPr>
          <w:rFonts w:ascii="Times New Roman" w:hAnsi="Times New Roman" w:cs="Times New Roman"/>
          <w:color w:val="1F497D" w:themeColor="text2"/>
          <w:sz w:val="24"/>
          <w:szCs w:val="24"/>
        </w:rPr>
        <w:t xml:space="preserve">Amount </w:t>
      </w:r>
      <w:r w:rsidR="00552C84">
        <w:rPr>
          <w:rFonts w:ascii="Times New Roman" w:hAnsi="Times New Roman" w:cs="Times New Roman"/>
          <w:color w:val="1F497D" w:themeColor="text2"/>
          <w:sz w:val="24"/>
          <w:szCs w:val="24"/>
        </w:rPr>
        <w:t xml:space="preserve">and RMR Adjustment </w:t>
      </w:r>
      <w:r>
        <w:rPr>
          <w:rFonts w:ascii="Times New Roman" w:hAnsi="Times New Roman" w:cs="Times New Roman"/>
          <w:color w:val="1F497D" w:themeColor="text2"/>
          <w:sz w:val="24"/>
          <w:szCs w:val="24"/>
        </w:rPr>
        <w:t>Amount and identified rounding issues</w:t>
      </w:r>
    </w:p>
    <w:p w:rsidR="001B5187" w:rsidRDefault="001B5187" w:rsidP="00DD3F4B">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Reviewed and approve</w:t>
      </w:r>
      <w:r w:rsidR="00287E43">
        <w:rPr>
          <w:rFonts w:ascii="Times New Roman" w:hAnsi="Times New Roman" w:cs="Times New Roman"/>
          <w:color w:val="1F497D" w:themeColor="text2"/>
          <w:sz w:val="24"/>
          <w:szCs w:val="24"/>
        </w:rPr>
        <w:t>d</w:t>
      </w:r>
      <w:r>
        <w:rPr>
          <w:rFonts w:ascii="Times New Roman" w:hAnsi="Times New Roman" w:cs="Times New Roman"/>
          <w:color w:val="1F497D" w:themeColor="text2"/>
          <w:sz w:val="24"/>
          <w:szCs w:val="24"/>
        </w:rPr>
        <w:t xml:space="preserve"> NPRR617</w:t>
      </w:r>
      <w:r w:rsidR="00287E43">
        <w:rPr>
          <w:rFonts w:ascii="Times New Roman" w:hAnsi="Times New Roman" w:cs="Times New Roman"/>
          <w:color w:val="1F497D" w:themeColor="text2"/>
          <w:sz w:val="24"/>
          <w:szCs w:val="24"/>
        </w:rPr>
        <w:t>, Energy Offer Flexibility</w:t>
      </w:r>
      <w:r>
        <w:rPr>
          <w:rFonts w:ascii="Times New Roman" w:hAnsi="Times New Roman" w:cs="Times New Roman"/>
          <w:color w:val="1F497D" w:themeColor="text2"/>
          <w:sz w:val="24"/>
          <w:szCs w:val="24"/>
        </w:rPr>
        <w:t>/</w:t>
      </w:r>
      <w:r w:rsidR="00287E43">
        <w:rPr>
          <w:rFonts w:ascii="Times New Roman" w:hAnsi="Times New Roman" w:cs="Times New Roman"/>
          <w:color w:val="1F497D" w:themeColor="text2"/>
          <w:sz w:val="24"/>
          <w:szCs w:val="24"/>
        </w:rPr>
        <w:t>NPRR</w:t>
      </w:r>
      <w:r>
        <w:rPr>
          <w:rFonts w:ascii="Times New Roman" w:hAnsi="Times New Roman" w:cs="Times New Roman"/>
          <w:color w:val="1F497D" w:themeColor="text2"/>
          <w:sz w:val="24"/>
          <w:szCs w:val="24"/>
        </w:rPr>
        <w:t xml:space="preserve">700, </w:t>
      </w:r>
      <w:r w:rsidR="00287E43">
        <w:rPr>
          <w:rFonts w:ascii="Times New Roman" w:hAnsi="Times New Roman" w:cs="Times New Roman"/>
          <w:color w:val="1F497D" w:themeColor="text2"/>
          <w:sz w:val="24"/>
          <w:szCs w:val="24"/>
        </w:rPr>
        <w:t>Utilizing Actual Fuel Costs in Startup Offer Caps</w:t>
      </w:r>
    </w:p>
    <w:p w:rsidR="001B5187" w:rsidRDefault="001B5187" w:rsidP="00DD3F4B">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Reviewed and approved NPRR662, Proxy </w:t>
      </w:r>
      <w:r w:rsidR="00287E43">
        <w:rPr>
          <w:rFonts w:ascii="Times New Roman" w:hAnsi="Times New Roman" w:cs="Times New Roman"/>
          <w:color w:val="1F497D" w:themeColor="text2"/>
          <w:sz w:val="24"/>
          <w:szCs w:val="24"/>
        </w:rPr>
        <w:t>Energy Offer Curves</w:t>
      </w:r>
    </w:p>
    <w:p w:rsidR="001B5187" w:rsidRDefault="001B5187" w:rsidP="00DD3F4B">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Reviewed and approved NPRR696, </w:t>
      </w:r>
      <w:r w:rsidR="00287E43">
        <w:rPr>
          <w:rFonts w:ascii="Times New Roman" w:hAnsi="Times New Roman" w:cs="Times New Roman"/>
          <w:color w:val="1F497D" w:themeColor="text2"/>
          <w:sz w:val="24"/>
          <w:szCs w:val="24"/>
        </w:rPr>
        <w:t>Price Correction Process Following a SCED Failure</w:t>
      </w:r>
    </w:p>
    <w:p w:rsidR="00FD5C86" w:rsidRDefault="00FD5C86" w:rsidP="00FD5C86">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Reviewed and approved NPRR744, RUC Trigger for Reliability Deployment Price Adder</w:t>
      </w:r>
    </w:p>
    <w:p w:rsidR="001B5187" w:rsidRDefault="001B5187" w:rsidP="00DD3F4B">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Reviewed </w:t>
      </w:r>
      <w:r w:rsidR="00287E43">
        <w:rPr>
          <w:rFonts w:ascii="Times New Roman" w:hAnsi="Times New Roman" w:cs="Times New Roman"/>
          <w:color w:val="1F497D" w:themeColor="text2"/>
          <w:sz w:val="24"/>
          <w:szCs w:val="24"/>
        </w:rPr>
        <w:t xml:space="preserve">and approved </w:t>
      </w:r>
      <w:r>
        <w:rPr>
          <w:rFonts w:ascii="Times New Roman" w:hAnsi="Times New Roman" w:cs="Times New Roman"/>
          <w:color w:val="1F497D" w:themeColor="text2"/>
          <w:sz w:val="24"/>
          <w:szCs w:val="24"/>
        </w:rPr>
        <w:t xml:space="preserve">NPRR746, </w:t>
      </w:r>
      <w:r w:rsidR="00287E43">
        <w:rPr>
          <w:rFonts w:ascii="Times New Roman" w:hAnsi="Times New Roman" w:cs="Times New Roman"/>
          <w:color w:val="1F497D" w:themeColor="text2"/>
          <w:sz w:val="24"/>
          <w:szCs w:val="24"/>
        </w:rPr>
        <w:t>Adjustments Due to Negative Load</w:t>
      </w:r>
    </w:p>
    <w:p w:rsidR="007A63B3" w:rsidRDefault="007A63B3" w:rsidP="00DD3F4B">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Reviewed and approved NPRR794, Relocation of Unregistered DG Reporting Requirements</w:t>
      </w:r>
    </w:p>
    <w:p w:rsidR="001B5187" w:rsidRDefault="00922807" w:rsidP="00DD3F4B">
      <w:pPr>
        <w:pStyle w:val="ListParagraph"/>
        <w:numPr>
          <w:ilvl w:val="0"/>
          <w:numId w:val="13"/>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Reviewed and approved </w:t>
      </w:r>
      <w:r w:rsidR="001B5187">
        <w:rPr>
          <w:rFonts w:ascii="Times New Roman" w:hAnsi="Times New Roman" w:cs="Times New Roman"/>
          <w:color w:val="1F497D" w:themeColor="text2"/>
          <w:sz w:val="24"/>
          <w:szCs w:val="24"/>
        </w:rPr>
        <w:t>NPRR802, Settlements Clean</w:t>
      </w:r>
      <w:r>
        <w:rPr>
          <w:rFonts w:ascii="Times New Roman" w:hAnsi="Times New Roman" w:cs="Times New Roman"/>
          <w:color w:val="1F497D" w:themeColor="text2"/>
          <w:sz w:val="24"/>
          <w:szCs w:val="24"/>
        </w:rPr>
        <w:t>-</w:t>
      </w:r>
      <w:r w:rsidR="001B5187">
        <w:rPr>
          <w:rFonts w:ascii="Times New Roman" w:hAnsi="Times New Roman" w:cs="Times New Roman"/>
          <w:color w:val="1F497D" w:themeColor="text2"/>
          <w:sz w:val="24"/>
          <w:szCs w:val="24"/>
        </w:rPr>
        <w:t>up</w:t>
      </w:r>
    </w:p>
    <w:p w:rsidR="00DD3F4B" w:rsidRPr="008D2B9A" w:rsidRDefault="00DD3F4B" w:rsidP="00DD3F4B">
      <w:pPr>
        <w:rPr>
          <w:rFonts w:ascii="Times New Roman" w:hAnsi="Times New Roman" w:cs="Times New Roman"/>
          <w:sz w:val="16"/>
          <w:szCs w:val="16"/>
        </w:rPr>
      </w:pP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Maintain and update the Commercial Operations Market Guide and the Nodal Settlements Operating Guide</w:t>
      </w:r>
    </w:p>
    <w:p w:rsidR="00C16CBC" w:rsidRDefault="00C16CBC" w:rsidP="00DD3F4B">
      <w:pPr>
        <w:pStyle w:val="ListParagraph"/>
        <w:numPr>
          <w:ilvl w:val="0"/>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2016 COPMGRRs</w:t>
      </w:r>
    </w:p>
    <w:p w:rsidR="00A74E0C" w:rsidRDefault="00A74E0C" w:rsidP="00C16CBC">
      <w:pPr>
        <w:pStyle w:val="ListParagraph"/>
        <w:numPr>
          <w:ilvl w:val="1"/>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COPMGRR041</w:t>
      </w:r>
      <w:r w:rsidR="006D3512">
        <w:rPr>
          <w:rFonts w:ascii="Times New Roman" w:hAnsi="Times New Roman" w:cs="Times New Roman"/>
          <w:color w:val="1F497D" w:themeColor="text2"/>
          <w:sz w:val="24"/>
          <w:szCs w:val="24"/>
        </w:rPr>
        <w:t>, Updates to Market Notice Communication Process</w:t>
      </w:r>
    </w:p>
    <w:p w:rsidR="00A74E0C" w:rsidRDefault="00A74E0C" w:rsidP="00C16CBC">
      <w:pPr>
        <w:pStyle w:val="ListParagraph"/>
        <w:numPr>
          <w:ilvl w:val="1"/>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COPMGRR042</w:t>
      </w:r>
      <w:r w:rsidR="006D3512">
        <w:rPr>
          <w:rFonts w:ascii="Times New Roman" w:hAnsi="Times New Roman" w:cs="Times New Roman"/>
          <w:color w:val="1F497D" w:themeColor="text2"/>
          <w:sz w:val="24"/>
          <w:szCs w:val="24"/>
        </w:rPr>
        <w:t>, Update to COPS Organizational Structure, Creation of MDWG and Updates to PWG Responsibilities</w:t>
      </w:r>
    </w:p>
    <w:p w:rsidR="00A74E0C" w:rsidRDefault="00A74E0C" w:rsidP="00C16CBC">
      <w:pPr>
        <w:pStyle w:val="ListParagraph"/>
        <w:numPr>
          <w:ilvl w:val="1"/>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COPMGRR043</w:t>
      </w:r>
      <w:r w:rsidR="006D3512">
        <w:rPr>
          <w:rFonts w:ascii="Times New Roman" w:hAnsi="Times New Roman" w:cs="Times New Roman"/>
          <w:color w:val="1F497D" w:themeColor="text2"/>
          <w:sz w:val="24"/>
          <w:szCs w:val="24"/>
        </w:rPr>
        <w:t>, Administrative Changes for July 1, 2016 Commercial Operations Market Guide – Section 21 Alignment</w:t>
      </w:r>
    </w:p>
    <w:p w:rsidR="00DE76BB" w:rsidRDefault="00DE76BB" w:rsidP="00C16CBC">
      <w:pPr>
        <w:pStyle w:val="ListParagraph"/>
        <w:numPr>
          <w:ilvl w:val="1"/>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COPMGRR044 (NPRR794), </w:t>
      </w:r>
      <w:r w:rsidR="00785A15">
        <w:rPr>
          <w:rFonts w:ascii="Times New Roman" w:hAnsi="Times New Roman" w:cs="Times New Roman"/>
          <w:color w:val="1F497D" w:themeColor="text2"/>
          <w:sz w:val="24"/>
          <w:szCs w:val="24"/>
        </w:rPr>
        <w:t>Relocation of Unregistered Distributed Generation (DG) Reporting Requirements</w:t>
      </w:r>
      <w:r w:rsidR="00C16CBC">
        <w:rPr>
          <w:rFonts w:ascii="Times New Roman" w:hAnsi="Times New Roman" w:cs="Times New Roman"/>
          <w:color w:val="1F497D" w:themeColor="text2"/>
          <w:sz w:val="24"/>
          <w:szCs w:val="24"/>
        </w:rPr>
        <w:t xml:space="preserve"> (To be considered by TAC in early 2017)</w:t>
      </w:r>
    </w:p>
    <w:p w:rsidR="00C16CBC" w:rsidRDefault="00C16CBC" w:rsidP="00C16CBC">
      <w:pPr>
        <w:pStyle w:val="ListParagraph"/>
        <w:numPr>
          <w:ilvl w:val="1"/>
          <w:numId w:val="7"/>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COPMGRR045, Administrative Changes for January 1, 2017 Commercial Operations Market Guide – Alignment with Section 21</w:t>
      </w: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Work with ERCOT staff and Transmission and Distribution Service Providers to address issues and facilitate improvements to market rules pertaining to load profiling as reflected in the ERCOT Protocols and the Load Profiling Guide</w:t>
      </w:r>
      <w:r w:rsidR="008E45BD" w:rsidRPr="00DD3F4B">
        <w:rPr>
          <w:rFonts w:ascii="Times New Roman" w:hAnsi="Times New Roman" w:cs="Times New Roman"/>
          <w:b/>
          <w:sz w:val="24"/>
          <w:szCs w:val="24"/>
        </w:rPr>
        <w:t xml:space="preserve"> (LPG)</w:t>
      </w:r>
    </w:p>
    <w:p w:rsidR="008E45BD" w:rsidRDefault="00562C88"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LPGRR057/NPRR781, Alignment with NPRR781, Updates to Nodal Protocols Section 18, Load Profiling, to Align with Current Market Processes</w:t>
      </w:r>
    </w:p>
    <w:p w:rsidR="00562C88" w:rsidRDefault="00562C88" w:rsidP="00562C88">
      <w:pPr>
        <w:pStyle w:val="ListParagraph"/>
        <w:numPr>
          <w:ilvl w:val="1"/>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Modified Distributed Generation standard report template in Appendix D, Profile Decision Tree</w:t>
      </w:r>
    </w:p>
    <w:p w:rsidR="00BE6A61" w:rsidRDefault="00BE6A61"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Proposed and implemented Annual Validation Changes</w:t>
      </w:r>
    </w:p>
    <w:p w:rsidR="00BE6A61" w:rsidRDefault="00BE6A61" w:rsidP="00BE6A61">
      <w:pPr>
        <w:pStyle w:val="ListParagraph"/>
        <w:numPr>
          <w:ilvl w:val="1"/>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Start Annual validation process for RES and BUS in March 30</w:t>
      </w:r>
      <w:r w:rsidRPr="00BE6A61">
        <w:rPr>
          <w:rFonts w:ascii="Times New Roman" w:hAnsi="Times New Roman" w:cs="Times New Roman"/>
          <w:color w:val="1F497D" w:themeColor="text2"/>
          <w:sz w:val="24"/>
          <w:szCs w:val="24"/>
          <w:vertAlign w:val="superscript"/>
        </w:rPr>
        <w:t>th</w:t>
      </w:r>
      <w:r>
        <w:rPr>
          <w:rFonts w:ascii="Times New Roman" w:hAnsi="Times New Roman" w:cs="Times New Roman"/>
          <w:color w:val="1F497D" w:themeColor="text2"/>
          <w:sz w:val="24"/>
          <w:szCs w:val="24"/>
        </w:rPr>
        <w:t>, as opposed to June 30</w:t>
      </w:r>
      <w:r>
        <w:rPr>
          <w:rFonts w:ascii="Times New Roman" w:hAnsi="Times New Roman" w:cs="Times New Roman"/>
          <w:color w:val="1F497D" w:themeColor="text2"/>
          <w:sz w:val="24"/>
          <w:szCs w:val="24"/>
          <w:vertAlign w:val="superscript"/>
        </w:rPr>
        <w:t xml:space="preserve">th </w:t>
      </w:r>
      <w:r>
        <w:rPr>
          <w:rFonts w:ascii="Times New Roman" w:hAnsi="Times New Roman" w:cs="Times New Roman"/>
          <w:color w:val="1F497D" w:themeColor="text2"/>
          <w:sz w:val="24"/>
          <w:szCs w:val="24"/>
        </w:rPr>
        <w:t>and still conclude in the Fall</w:t>
      </w:r>
    </w:p>
    <w:p w:rsidR="00562C88" w:rsidRDefault="00562C88"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Completed annual review and analysis of UFE for 2015</w:t>
      </w:r>
    </w:p>
    <w:p w:rsidR="00B653AB" w:rsidRDefault="00B653AB" w:rsidP="00DD3F4B">
      <w:pPr>
        <w:pStyle w:val="ListParagraph"/>
        <w:numPr>
          <w:ilvl w:val="0"/>
          <w:numId w:val="10"/>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Reviewed ERCOT’s Zip Code Analysis to determine any impacts on Settlement, Operations, Load Profiling Guide and the Annual Validation Process</w:t>
      </w: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Perform Retail Load Profiling Annual Validation</w:t>
      </w:r>
    </w:p>
    <w:p w:rsidR="00562C88" w:rsidRPr="00DD344F" w:rsidRDefault="00562C88" w:rsidP="00DD3F4B">
      <w:pPr>
        <w:pStyle w:val="ListParagraph"/>
        <w:numPr>
          <w:ilvl w:val="0"/>
          <w:numId w:val="14"/>
        </w:numPr>
        <w:rPr>
          <w:rFonts w:ascii="Times New Roman" w:hAnsi="Times New Roman" w:cs="Times New Roman"/>
          <w:color w:val="1F497D" w:themeColor="text2"/>
          <w:sz w:val="24"/>
          <w:szCs w:val="24"/>
        </w:rPr>
      </w:pPr>
      <w:r w:rsidRPr="00DD344F">
        <w:rPr>
          <w:rFonts w:ascii="Times New Roman" w:hAnsi="Times New Roman" w:cs="Times New Roman"/>
          <w:color w:val="1F497D" w:themeColor="text2"/>
          <w:sz w:val="24"/>
          <w:szCs w:val="24"/>
        </w:rPr>
        <w:t>Completed review of 2016 Profile ID Annual Validation for Residential and Business</w:t>
      </w:r>
    </w:p>
    <w:p w:rsidR="00562C88" w:rsidRPr="00DD344F" w:rsidRDefault="00562C88" w:rsidP="00562C88">
      <w:pPr>
        <w:pStyle w:val="ListParagraph"/>
        <w:numPr>
          <w:ilvl w:val="1"/>
          <w:numId w:val="14"/>
        </w:numPr>
        <w:rPr>
          <w:rFonts w:ascii="Times New Roman" w:hAnsi="Times New Roman" w:cs="Times New Roman"/>
          <w:color w:val="1F497D" w:themeColor="text2"/>
          <w:sz w:val="24"/>
          <w:szCs w:val="24"/>
        </w:rPr>
      </w:pPr>
      <w:r w:rsidRPr="00DD344F">
        <w:rPr>
          <w:rFonts w:ascii="Times New Roman" w:hAnsi="Times New Roman" w:cs="Times New Roman"/>
          <w:color w:val="1F497D" w:themeColor="text2"/>
          <w:sz w:val="24"/>
          <w:szCs w:val="24"/>
        </w:rPr>
        <w:t>Submitted draft LPGRR, Modifications to Annual Validation Timelines</w:t>
      </w:r>
    </w:p>
    <w:p w:rsidR="00DD3F4B" w:rsidRPr="00DD3EF0" w:rsidRDefault="00B06C71" w:rsidP="00DD3F4B">
      <w:pPr>
        <w:pStyle w:val="ListParagraph"/>
        <w:numPr>
          <w:ilvl w:val="0"/>
          <w:numId w:val="14"/>
        </w:numPr>
        <w:rPr>
          <w:rFonts w:ascii="Times New Roman" w:hAnsi="Times New Roman" w:cs="Times New Roman"/>
          <w:sz w:val="24"/>
          <w:szCs w:val="24"/>
        </w:rPr>
      </w:pPr>
      <w:r>
        <w:rPr>
          <w:rFonts w:ascii="Times New Roman" w:hAnsi="Times New Roman" w:cs="Times New Roman"/>
          <w:color w:val="1F497D" w:themeColor="text2"/>
          <w:sz w:val="24"/>
          <w:szCs w:val="24"/>
        </w:rPr>
        <w:t>Completed all 2016 Annual Validation activit</w:t>
      </w:r>
      <w:r w:rsidR="00562C88">
        <w:rPr>
          <w:rFonts w:ascii="Times New Roman" w:hAnsi="Times New Roman" w:cs="Times New Roman"/>
          <w:color w:val="1F497D" w:themeColor="text2"/>
          <w:sz w:val="24"/>
          <w:szCs w:val="24"/>
        </w:rPr>
        <w:t>i</w:t>
      </w:r>
      <w:r>
        <w:rPr>
          <w:rFonts w:ascii="Times New Roman" w:hAnsi="Times New Roman" w:cs="Times New Roman"/>
          <w:color w:val="1F497D" w:themeColor="text2"/>
          <w:sz w:val="24"/>
          <w:szCs w:val="24"/>
        </w:rPr>
        <w:t>es</w:t>
      </w:r>
    </w:p>
    <w:p w:rsidR="00DD3EF0" w:rsidRPr="000B21B4" w:rsidRDefault="00DD3EF0" w:rsidP="00DD3F4B">
      <w:pPr>
        <w:pStyle w:val="ListParagraph"/>
        <w:numPr>
          <w:ilvl w:val="0"/>
          <w:numId w:val="14"/>
        </w:numPr>
        <w:rPr>
          <w:rFonts w:ascii="Times New Roman" w:hAnsi="Times New Roman" w:cs="Times New Roman"/>
          <w:sz w:val="24"/>
          <w:szCs w:val="24"/>
        </w:rPr>
      </w:pPr>
      <w:r>
        <w:rPr>
          <w:rFonts w:ascii="Times New Roman" w:hAnsi="Times New Roman" w:cs="Times New Roman"/>
          <w:color w:val="1F497D" w:themeColor="text2"/>
          <w:sz w:val="24"/>
          <w:szCs w:val="24"/>
        </w:rPr>
        <w:t>Completed review of Reporting Compliance and Non-Compliance</w:t>
      </w:r>
    </w:p>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Work with ERCOT staff to review Market Communications/Notifications and identify process improvements</w:t>
      </w:r>
    </w:p>
    <w:p w:rsidR="00D0249E" w:rsidRDefault="00D0249E" w:rsidP="00D0249E">
      <w:pPr>
        <w:pStyle w:val="ListParagraph"/>
        <w:numPr>
          <w:ilvl w:val="0"/>
          <w:numId w:val="11"/>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COPMGRR041, Updates to Market Notice Communication Process; ERCOT staff</w:t>
      </w:r>
      <w:r>
        <w:rPr>
          <w:rFonts w:ascii="Times New Roman" w:hAnsi="Times New Roman" w:cs="Times New Roman"/>
          <w:color w:val="1F497D" w:themeColor="text2"/>
          <w:sz w:val="24"/>
          <w:szCs w:val="24"/>
        </w:rPr>
        <w:t xml:space="preserve"> initiated changes to </w:t>
      </w:r>
      <w:r>
        <w:rPr>
          <w:rFonts w:ascii="Times New Roman" w:hAnsi="Times New Roman" w:cs="Times New Roman"/>
          <w:color w:val="1F497D" w:themeColor="text2"/>
          <w:sz w:val="24"/>
          <w:szCs w:val="24"/>
        </w:rPr>
        <w:t>Appendix A, Market Communications Cleanup Effort</w:t>
      </w:r>
    </w:p>
    <w:p w:rsidR="00451FEE" w:rsidRPr="00451FEE" w:rsidRDefault="00451FEE" w:rsidP="00451FEE">
      <w:pPr>
        <w:rPr>
          <w:rFonts w:ascii="Times New Roman" w:hAnsi="Times New Roman" w:cs="Times New Roman"/>
          <w:b/>
          <w:sz w:val="24"/>
          <w:szCs w:val="24"/>
        </w:rPr>
      </w:pPr>
      <w:bookmarkStart w:id="0" w:name="_GoBack"/>
    </w:p>
    <w:p w:rsidR="00451FEE" w:rsidRPr="00451FEE" w:rsidRDefault="00451FEE" w:rsidP="00451FEE">
      <w:pPr>
        <w:rPr>
          <w:rFonts w:ascii="Times New Roman" w:hAnsi="Times New Roman" w:cs="Times New Roman"/>
          <w:b/>
          <w:sz w:val="24"/>
          <w:szCs w:val="24"/>
        </w:rPr>
      </w:pPr>
    </w:p>
    <w:bookmarkEnd w:id="0"/>
    <w:p w:rsidR="00263B6B" w:rsidRPr="00DD3F4B" w:rsidRDefault="00D10E9E" w:rsidP="00DD3F4B">
      <w:pPr>
        <w:pStyle w:val="ListParagraph"/>
        <w:numPr>
          <w:ilvl w:val="0"/>
          <w:numId w:val="6"/>
        </w:numPr>
        <w:rPr>
          <w:rFonts w:ascii="Times New Roman" w:hAnsi="Times New Roman" w:cs="Times New Roman"/>
          <w:b/>
          <w:sz w:val="24"/>
          <w:szCs w:val="24"/>
        </w:rPr>
      </w:pPr>
      <w:r w:rsidRPr="00DD3F4B">
        <w:rPr>
          <w:rFonts w:ascii="Times New Roman" w:hAnsi="Times New Roman" w:cs="Times New Roman"/>
          <w:b/>
          <w:sz w:val="24"/>
          <w:szCs w:val="24"/>
        </w:rPr>
        <w:t>Work with ERCOT staff to implement improvements to the Market Information System (MIS) and External Web Services (EWS), data access points for market participants, information security classifications, data extracts and Commercial Operations reports</w:t>
      </w:r>
    </w:p>
    <w:p w:rsidR="004E1AF7" w:rsidRDefault="004E1AF7"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Monitored ERCOT Digital Certificates and Windows 10 issues</w:t>
      </w:r>
    </w:p>
    <w:p w:rsidR="00A74E0C" w:rsidRDefault="00A74E0C"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Monitored and reported on </w:t>
      </w:r>
      <w:r w:rsidR="00FD5C86">
        <w:rPr>
          <w:rFonts w:ascii="Times New Roman" w:hAnsi="Times New Roman" w:cs="Times New Roman"/>
          <w:color w:val="1F497D" w:themeColor="text2"/>
          <w:sz w:val="24"/>
          <w:szCs w:val="24"/>
        </w:rPr>
        <w:t>Secure Sockets Layer (</w:t>
      </w:r>
      <w:r>
        <w:rPr>
          <w:rFonts w:ascii="Times New Roman" w:hAnsi="Times New Roman" w:cs="Times New Roman"/>
          <w:color w:val="1F497D" w:themeColor="text2"/>
          <w:sz w:val="24"/>
          <w:szCs w:val="24"/>
        </w:rPr>
        <w:t>SSL</w:t>
      </w:r>
      <w:r w:rsidR="00FD5C86">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Certificate Upgrade</w:t>
      </w:r>
    </w:p>
    <w:p w:rsidR="00653BE6" w:rsidRDefault="00653BE6"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Worked with ERCOT staff on NOGRR166 (</w:t>
      </w:r>
      <w:proofErr w:type="spellStart"/>
      <w:r>
        <w:rPr>
          <w:rFonts w:ascii="Times New Roman" w:hAnsi="Times New Roman" w:cs="Times New Roman"/>
          <w:color w:val="1F497D" w:themeColor="text2"/>
          <w:sz w:val="24"/>
          <w:szCs w:val="24"/>
        </w:rPr>
        <w:t>f</w:t>
      </w:r>
      <w:r w:rsidR="00846B8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k</w:t>
      </w:r>
      <w:r w:rsidR="00846B8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a</w:t>
      </w:r>
      <w:proofErr w:type="spellEnd"/>
      <w:r w:rsidR="00846B8B">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NOGRR084), Daily Grid Operations Summary Report</w:t>
      </w:r>
    </w:p>
    <w:p w:rsidR="00653BE6" w:rsidRDefault="00653BE6"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Completed Reports to be Automated Project</w:t>
      </w:r>
    </w:p>
    <w:p w:rsidR="000D77DA" w:rsidRDefault="000D77DA" w:rsidP="000D77DA">
      <w:pPr>
        <w:pStyle w:val="ListParagraph"/>
        <w:numPr>
          <w:ilvl w:val="1"/>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Multi-year project</w:t>
      </w:r>
    </w:p>
    <w:p w:rsidR="000D77DA" w:rsidRDefault="000D77DA" w:rsidP="000D77DA">
      <w:pPr>
        <w:pStyle w:val="ListParagraph"/>
        <w:numPr>
          <w:ilvl w:val="1"/>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15 reports recommended to be discontinued (8 </w:t>
      </w:r>
      <w:r w:rsidR="00D265D7">
        <w:rPr>
          <w:rFonts w:ascii="Times New Roman" w:hAnsi="Times New Roman" w:cs="Times New Roman"/>
          <w:color w:val="1F497D" w:themeColor="text2"/>
          <w:sz w:val="24"/>
          <w:szCs w:val="24"/>
        </w:rPr>
        <w:t>NPRRs</w:t>
      </w:r>
      <w:r>
        <w:rPr>
          <w:rFonts w:ascii="Times New Roman" w:hAnsi="Times New Roman" w:cs="Times New Roman"/>
          <w:color w:val="1F497D" w:themeColor="text2"/>
          <w:sz w:val="24"/>
          <w:szCs w:val="24"/>
        </w:rPr>
        <w:t>)</w:t>
      </w:r>
    </w:p>
    <w:p w:rsidR="00516FD2" w:rsidRDefault="00DE76BB"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NPRR754, </w:t>
      </w:r>
      <w:r w:rsidR="00DA2866">
        <w:rPr>
          <w:rFonts w:ascii="Times New Roman" w:hAnsi="Times New Roman" w:cs="Times New Roman"/>
          <w:color w:val="1F497D" w:themeColor="text2"/>
          <w:sz w:val="24"/>
          <w:szCs w:val="24"/>
        </w:rPr>
        <w:t>Revise Load Distribution Factors Report Posting Frequency</w:t>
      </w:r>
    </w:p>
    <w:p w:rsidR="00653BE6" w:rsidRDefault="00653BE6" w:rsidP="00DD3F4B">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Began work on </w:t>
      </w:r>
      <w:r w:rsidR="00A90F0E">
        <w:rPr>
          <w:rFonts w:ascii="Times New Roman" w:hAnsi="Times New Roman" w:cs="Times New Roman"/>
          <w:color w:val="1F497D" w:themeColor="text2"/>
          <w:sz w:val="24"/>
          <w:szCs w:val="24"/>
        </w:rPr>
        <w:t xml:space="preserve">the </w:t>
      </w:r>
      <w:r>
        <w:rPr>
          <w:rFonts w:ascii="Times New Roman" w:hAnsi="Times New Roman" w:cs="Times New Roman"/>
          <w:color w:val="1F497D" w:themeColor="text2"/>
          <w:sz w:val="24"/>
          <w:szCs w:val="24"/>
        </w:rPr>
        <w:t>MIS Changes Visibility assignment from TAC</w:t>
      </w:r>
    </w:p>
    <w:p w:rsidR="00653BE6" w:rsidRDefault="00653BE6" w:rsidP="00653BE6">
      <w:pPr>
        <w:pStyle w:val="ListParagraph"/>
        <w:numPr>
          <w:ilvl w:val="1"/>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Raised awareness of issues related to down-stream impacts of data product changes</w:t>
      </w:r>
    </w:p>
    <w:p w:rsidR="00653BE6" w:rsidRDefault="00785A15" w:rsidP="00653BE6">
      <w:pPr>
        <w:pStyle w:val="ListParagraph"/>
        <w:numPr>
          <w:ilvl w:val="1"/>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Whitepaper being drafted</w:t>
      </w:r>
    </w:p>
    <w:p w:rsidR="00CD424C" w:rsidRDefault="00CD424C" w:rsidP="00653BE6">
      <w:pPr>
        <w:pStyle w:val="ListParagraph"/>
        <w:numPr>
          <w:ilvl w:val="1"/>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Updated TAC on Upcoming MIS Changes</w:t>
      </w:r>
    </w:p>
    <w:p w:rsidR="00653BE6" w:rsidRDefault="00653BE6" w:rsidP="00653BE6">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Implemented a new process to publish and maintain a historical archive for Missed Postings</w:t>
      </w:r>
    </w:p>
    <w:p w:rsidR="00653BE6" w:rsidRDefault="00653BE6" w:rsidP="00653BE6">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Continued work to define and propose solutions for the </w:t>
      </w:r>
      <w:r w:rsidR="007F4CA1">
        <w:rPr>
          <w:rFonts w:ascii="Times New Roman" w:hAnsi="Times New Roman" w:cs="Times New Roman"/>
          <w:color w:val="1F497D" w:themeColor="text2"/>
          <w:sz w:val="24"/>
          <w:szCs w:val="24"/>
        </w:rPr>
        <w:t>External Web Services (</w:t>
      </w:r>
      <w:r>
        <w:rPr>
          <w:rFonts w:ascii="Times New Roman" w:hAnsi="Times New Roman" w:cs="Times New Roman"/>
          <w:color w:val="1F497D" w:themeColor="text2"/>
          <w:sz w:val="24"/>
          <w:szCs w:val="24"/>
        </w:rPr>
        <w:t>EWS</w:t>
      </w:r>
      <w:r w:rsidR="007F4CA1">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 xml:space="preserve"> Modifications Project</w:t>
      </w:r>
    </w:p>
    <w:p w:rsidR="00A74E0C" w:rsidRDefault="00A74E0C" w:rsidP="00A74E0C">
      <w:pPr>
        <w:pStyle w:val="ListParagraph"/>
        <w:numPr>
          <w:ilvl w:val="1"/>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First steps toward a “push” model</w:t>
      </w:r>
    </w:p>
    <w:p w:rsidR="00A74E0C" w:rsidRDefault="00A74E0C" w:rsidP="00A74E0C">
      <w:pPr>
        <w:pStyle w:val="ListParagraph"/>
        <w:numPr>
          <w:ilvl w:val="1"/>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Presented proposal to other Subcommittees</w:t>
      </w:r>
    </w:p>
    <w:p w:rsidR="00653BE6" w:rsidRDefault="00653BE6" w:rsidP="00653BE6">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Worked with ERCOT on their publication of an API Quick-Start Guide</w:t>
      </w:r>
    </w:p>
    <w:p w:rsidR="00653BE6" w:rsidRDefault="00653BE6" w:rsidP="00653BE6">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Updated the Disclosure Data User Guide for 60-day and 48-day Disclosure Data</w:t>
      </w:r>
    </w:p>
    <w:p w:rsidR="00653BE6" w:rsidRDefault="00653BE6" w:rsidP="00653BE6">
      <w:pPr>
        <w:pStyle w:val="ListParagraph"/>
        <w:numPr>
          <w:ilvl w:val="0"/>
          <w:numId w:val="12"/>
        </w:num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Worked with ERCOT to publish the new CRR Balancing Accounts Extract User Guide</w:t>
      </w:r>
    </w:p>
    <w:sectPr w:rsidR="00653BE6" w:rsidSect="0092521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FA" w:rsidRDefault="00D609FA" w:rsidP="00D609FA">
      <w:pPr>
        <w:spacing w:after="0" w:line="240" w:lineRule="auto"/>
      </w:pPr>
      <w:r>
        <w:separator/>
      </w:r>
    </w:p>
  </w:endnote>
  <w:endnote w:type="continuationSeparator" w:id="0">
    <w:p w:rsidR="00D609FA" w:rsidRDefault="00D609FA" w:rsidP="00D6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487365"/>
      <w:docPartObj>
        <w:docPartGallery w:val="Page Numbers (Bottom of Page)"/>
        <w:docPartUnique/>
      </w:docPartObj>
    </w:sdtPr>
    <w:sdtEndPr/>
    <w:sdtContent>
      <w:sdt>
        <w:sdtPr>
          <w:id w:val="-1669238322"/>
          <w:docPartObj>
            <w:docPartGallery w:val="Page Numbers (Top of Page)"/>
            <w:docPartUnique/>
          </w:docPartObj>
        </w:sdtPr>
        <w:sdtEndPr/>
        <w:sdtContent>
          <w:p w:rsidR="00DD3F4B" w:rsidRDefault="00DD3F4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51FE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FEE">
              <w:rPr>
                <w:b/>
                <w:bCs/>
                <w:noProof/>
              </w:rPr>
              <w:t>3</w:t>
            </w:r>
            <w:r>
              <w:rPr>
                <w:b/>
                <w:bCs/>
                <w:sz w:val="24"/>
                <w:szCs w:val="24"/>
              </w:rPr>
              <w:fldChar w:fldCharType="end"/>
            </w:r>
          </w:p>
        </w:sdtContent>
      </w:sdt>
    </w:sdtContent>
  </w:sdt>
  <w:p w:rsidR="00DD3F4B" w:rsidRDefault="00DD3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FA" w:rsidRDefault="00D609FA" w:rsidP="00D609FA">
      <w:pPr>
        <w:spacing w:after="0" w:line="240" w:lineRule="auto"/>
      </w:pPr>
      <w:r>
        <w:separator/>
      </w:r>
    </w:p>
  </w:footnote>
  <w:footnote w:type="continuationSeparator" w:id="0">
    <w:p w:rsidR="00D609FA" w:rsidRDefault="00D609FA" w:rsidP="00D60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b/>
        <w:sz w:val="44"/>
        <w:szCs w:val="44"/>
      </w:rPr>
      <w:alias w:val="Title"/>
      <w:id w:val="77738743"/>
      <w:placeholder>
        <w:docPart w:val="CAAED9C598614532853ED0DE6CB22C3C"/>
      </w:placeholder>
      <w:dataBinding w:prefixMappings="xmlns:ns0='http://schemas.openxmlformats.org/package/2006/metadata/core-properties' xmlns:ns1='http://purl.org/dc/elements/1.1/'" w:xpath="/ns0:coreProperties[1]/ns1:title[1]" w:storeItemID="{6C3C8BC8-F283-45AE-878A-BAB7291924A1}"/>
      <w:text/>
    </w:sdtPr>
    <w:sdtEndPr/>
    <w:sdtContent>
      <w:p w:rsidR="00D609FA" w:rsidRPr="00BD58D6" w:rsidRDefault="00084A2F" w:rsidP="00D609FA">
        <w:pPr>
          <w:pStyle w:val="Header"/>
          <w:pBdr>
            <w:bottom w:val="thickThinSmallGap" w:sz="24" w:space="1" w:color="622423" w:themeColor="accent2" w:themeShade="7F"/>
          </w:pBdr>
          <w:jc w:val="center"/>
          <w:rPr>
            <w:rFonts w:asciiTheme="majorHAnsi" w:eastAsiaTheme="majorEastAsia" w:hAnsiTheme="majorHAnsi" w:cstheme="majorBidi"/>
            <w:sz w:val="44"/>
            <w:szCs w:val="44"/>
          </w:rPr>
        </w:pPr>
        <w:r w:rsidRPr="00090AE8">
          <w:rPr>
            <w:rFonts w:ascii="Calibri" w:eastAsia="Calibri" w:hAnsi="Calibri" w:cs="Times New Roman"/>
            <w:b/>
            <w:sz w:val="44"/>
            <w:szCs w:val="44"/>
          </w:rPr>
          <w:t>201</w:t>
        </w:r>
        <w:r w:rsidR="00AB4F98">
          <w:rPr>
            <w:rFonts w:ascii="Calibri" w:eastAsia="Calibri" w:hAnsi="Calibri" w:cs="Times New Roman"/>
            <w:b/>
            <w:sz w:val="44"/>
            <w:szCs w:val="44"/>
          </w:rPr>
          <w:t>6</w:t>
        </w:r>
        <w:r w:rsidRPr="00090AE8">
          <w:rPr>
            <w:rFonts w:ascii="Calibri" w:eastAsia="Calibri" w:hAnsi="Calibri" w:cs="Times New Roman"/>
            <w:b/>
            <w:sz w:val="44"/>
            <w:szCs w:val="44"/>
          </w:rPr>
          <w:t xml:space="preserve"> </w:t>
        </w:r>
        <w:r w:rsidR="00555FF0" w:rsidRPr="00090AE8">
          <w:rPr>
            <w:rFonts w:ascii="Calibri" w:eastAsia="Calibri" w:hAnsi="Calibri" w:cs="Times New Roman"/>
            <w:b/>
            <w:sz w:val="44"/>
            <w:szCs w:val="44"/>
          </w:rPr>
          <w:t xml:space="preserve">COPS </w:t>
        </w:r>
        <w:r w:rsidR="00A0082C" w:rsidRPr="00090AE8">
          <w:rPr>
            <w:rFonts w:ascii="Calibri" w:eastAsia="Calibri" w:hAnsi="Calibri" w:cs="Times New Roman"/>
            <w:b/>
            <w:sz w:val="44"/>
            <w:szCs w:val="44"/>
          </w:rPr>
          <w:t>ACCOMPLISHMENTS</w:t>
        </w:r>
      </w:p>
    </w:sdtContent>
  </w:sdt>
  <w:p w:rsidR="00D609FA" w:rsidRDefault="00D60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6D8"/>
    <w:multiLevelType w:val="hybridMultilevel"/>
    <w:tmpl w:val="0860C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7294C"/>
    <w:multiLevelType w:val="hybridMultilevel"/>
    <w:tmpl w:val="E68AC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22A51"/>
    <w:multiLevelType w:val="hybridMultilevel"/>
    <w:tmpl w:val="1E98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9004A7"/>
    <w:multiLevelType w:val="hybridMultilevel"/>
    <w:tmpl w:val="6BE8363A"/>
    <w:lvl w:ilvl="0" w:tplc="C736FA70">
      <w:start w:val="1"/>
      <w:numFmt w:val="decimal"/>
      <w:lvlText w:val="%1."/>
      <w:lvlJc w:val="left"/>
      <w:pPr>
        <w:tabs>
          <w:tab w:val="num" w:pos="360"/>
        </w:tabs>
        <w:ind w:left="360" w:hanging="360"/>
      </w:pPr>
    </w:lvl>
    <w:lvl w:ilvl="1" w:tplc="49B4EF6E" w:tentative="1">
      <w:start w:val="1"/>
      <w:numFmt w:val="decimal"/>
      <w:lvlText w:val="%2."/>
      <w:lvlJc w:val="left"/>
      <w:pPr>
        <w:tabs>
          <w:tab w:val="num" w:pos="1080"/>
        </w:tabs>
        <w:ind w:left="1080" w:hanging="360"/>
      </w:pPr>
    </w:lvl>
    <w:lvl w:ilvl="2" w:tplc="0FBE6224" w:tentative="1">
      <w:start w:val="1"/>
      <w:numFmt w:val="decimal"/>
      <w:lvlText w:val="%3."/>
      <w:lvlJc w:val="left"/>
      <w:pPr>
        <w:tabs>
          <w:tab w:val="num" w:pos="1800"/>
        </w:tabs>
        <w:ind w:left="1800" w:hanging="360"/>
      </w:pPr>
    </w:lvl>
    <w:lvl w:ilvl="3" w:tplc="7A98AEE0" w:tentative="1">
      <w:start w:val="1"/>
      <w:numFmt w:val="decimal"/>
      <w:lvlText w:val="%4."/>
      <w:lvlJc w:val="left"/>
      <w:pPr>
        <w:tabs>
          <w:tab w:val="num" w:pos="2520"/>
        </w:tabs>
        <w:ind w:left="2520" w:hanging="360"/>
      </w:pPr>
    </w:lvl>
    <w:lvl w:ilvl="4" w:tplc="79BEEA98" w:tentative="1">
      <w:start w:val="1"/>
      <w:numFmt w:val="decimal"/>
      <w:lvlText w:val="%5."/>
      <w:lvlJc w:val="left"/>
      <w:pPr>
        <w:tabs>
          <w:tab w:val="num" w:pos="3240"/>
        </w:tabs>
        <w:ind w:left="3240" w:hanging="360"/>
      </w:pPr>
    </w:lvl>
    <w:lvl w:ilvl="5" w:tplc="835A7CCE" w:tentative="1">
      <w:start w:val="1"/>
      <w:numFmt w:val="decimal"/>
      <w:lvlText w:val="%6."/>
      <w:lvlJc w:val="left"/>
      <w:pPr>
        <w:tabs>
          <w:tab w:val="num" w:pos="3960"/>
        </w:tabs>
        <w:ind w:left="3960" w:hanging="360"/>
      </w:pPr>
    </w:lvl>
    <w:lvl w:ilvl="6" w:tplc="8254385E" w:tentative="1">
      <w:start w:val="1"/>
      <w:numFmt w:val="decimal"/>
      <w:lvlText w:val="%7."/>
      <w:lvlJc w:val="left"/>
      <w:pPr>
        <w:tabs>
          <w:tab w:val="num" w:pos="4680"/>
        </w:tabs>
        <w:ind w:left="4680" w:hanging="360"/>
      </w:pPr>
    </w:lvl>
    <w:lvl w:ilvl="7" w:tplc="F97A6AE6" w:tentative="1">
      <w:start w:val="1"/>
      <w:numFmt w:val="decimal"/>
      <w:lvlText w:val="%8."/>
      <w:lvlJc w:val="left"/>
      <w:pPr>
        <w:tabs>
          <w:tab w:val="num" w:pos="5400"/>
        </w:tabs>
        <w:ind w:left="5400" w:hanging="360"/>
      </w:pPr>
    </w:lvl>
    <w:lvl w:ilvl="8" w:tplc="62D859EE" w:tentative="1">
      <w:start w:val="1"/>
      <w:numFmt w:val="decimal"/>
      <w:lvlText w:val="%9."/>
      <w:lvlJc w:val="left"/>
      <w:pPr>
        <w:tabs>
          <w:tab w:val="num" w:pos="6120"/>
        </w:tabs>
        <w:ind w:left="6120" w:hanging="360"/>
      </w:pPr>
    </w:lvl>
  </w:abstractNum>
  <w:abstractNum w:abstractNumId="4" w15:restartNumberingAfterBreak="0">
    <w:nsid w:val="3E9516DB"/>
    <w:multiLevelType w:val="hybridMultilevel"/>
    <w:tmpl w:val="F7FE8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BA6CF8"/>
    <w:multiLevelType w:val="hybridMultilevel"/>
    <w:tmpl w:val="510CB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810B2"/>
    <w:multiLevelType w:val="hybridMultilevel"/>
    <w:tmpl w:val="4862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C03D85"/>
    <w:multiLevelType w:val="hybridMultilevel"/>
    <w:tmpl w:val="8E28155C"/>
    <w:lvl w:ilvl="0" w:tplc="B038E988">
      <w:start w:val="1"/>
      <w:numFmt w:val="bullet"/>
      <w:lvlText w:val=""/>
      <w:lvlJc w:val="left"/>
      <w:pPr>
        <w:tabs>
          <w:tab w:val="num" w:pos="720"/>
        </w:tabs>
        <w:ind w:left="720" w:hanging="360"/>
      </w:pPr>
      <w:rPr>
        <w:rFonts w:ascii="Wingdings" w:hAnsi="Wingdings" w:hint="default"/>
      </w:rPr>
    </w:lvl>
    <w:lvl w:ilvl="1" w:tplc="98800296" w:tentative="1">
      <w:start w:val="1"/>
      <w:numFmt w:val="bullet"/>
      <w:lvlText w:val=""/>
      <w:lvlJc w:val="left"/>
      <w:pPr>
        <w:tabs>
          <w:tab w:val="num" w:pos="1440"/>
        </w:tabs>
        <w:ind w:left="1440" w:hanging="360"/>
      </w:pPr>
      <w:rPr>
        <w:rFonts w:ascii="Wingdings" w:hAnsi="Wingdings" w:hint="default"/>
      </w:rPr>
    </w:lvl>
    <w:lvl w:ilvl="2" w:tplc="A224AC70" w:tentative="1">
      <w:start w:val="1"/>
      <w:numFmt w:val="bullet"/>
      <w:lvlText w:val=""/>
      <w:lvlJc w:val="left"/>
      <w:pPr>
        <w:tabs>
          <w:tab w:val="num" w:pos="2160"/>
        </w:tabs>
        <w:ind w:left="2160" w:hanging="360"/>
      </w:pPr>
      <w:rPr>
        <w:rFonts w:ascii="Wingdings" w:hAnsi="Wingdings" w:hint="default"/>
      </w:rPr>
    </w:lvl>
    <w:lvl w:ilvl="3" w:tplc="FAC01F7E" w:tentative="1">
      <w:start w:val="1"/>
      <w:numFmt w:val="bullet"/>
      <w:lvlText w:val=""/>
      <w:lvlJc w:val="left"/>
      <w:pPr>
        <w:tabs>
          <w:tab w:val="num" w:pos="2880"/>
        </w:tabs>
        <w:ind w:left="2880" w:hanging="360"/>
      </w:pPr>
      <w:rPr>
        <w:rFonts w:ascii="Wingdings" w:hAnsi="Wingdings" w:hint="default"/>
      </w:rPr>
    </w:lvl>
    <w:lvl w:ilvl="4" w:tplc="7D521400" w:tentative="1">
      <w:start w:val="1"/>
      <w:numFmt w:val="bullet"/>
      <w:lvlText w:val=""/>
      <w:lvlJc w:val="left"/>
      <w:pPr>
        <w:tabs>
          <w:tab w:val="num" w:pos="3600"/>
        </w:tabs>
        <w:ind w:left="3600" w:hanging="360"/>
      </w:pPr>
      <w:rPr>
        <w:rFonts w:ascii="Wingdings" w:hAnsi="Wingdings" w:hint="default"/>
      </w:rPr>
    </w:lvl>
    <w:lvl w:ilvl="5" w:tplc="8BB8AB9E" w:tentative="1">
      <w:start w:val="1"/>
      <w:numFmt w:val="bullet"/>
      <w:lvlText w:val=""/>
      <w:lvlJc w:val="left"/>
      <w:pPr>
        <w:tabs>
          <w:tab w:val="num" w:pos="4320"/>
        </w:tabs>
        <w:ind w:left="4320" w:hanging="360"/>
      </w:pPr>
      <w:rPr>
        <w:rFonts w:ascii="Wingdings" w:hAnsi="Wingdings" w:hint="default"/>
      </w:rPr>
    </w:lvl>
    <w:lvl w:ilvl="6" w:tplc="75AA62A4" w:tentative="1">
      <w:start w:val="1"/>
      <w:numFmt w:val="bullet"/>
      <w:lvlText w:val=""/>
      <w:lvlJc w:val="left"/>
      <w:pPr>
        <w:tabs>
          <w:tab w:val="num" w:pos="5040"/>
        </w:tabs>
        <w:ind w:left="5040" w:hanging="360"/>
      </w:pPr>
      <w:rPr>
        <w:rFonts w:ascii="Wingdings" w:hAnsi="Wingdings" w:hint="default"/>
      </w:rPr>
    </w:lvl>
    <w:lvl w:ilvl="7" w:tplc="916685B2" w:tentative="1">
      <w:start w:val="1"/>
      <w:numFmt w:val="bullet"/>
      <w:lvlText w:val=""/>
      <w:lvlJc w:val="left"/>
      <w:pPr>
        <w:tabs>
          <w:tab w:val="num" w:pos="5760"/>
        </w:tabs>
        <w:ind w:left="5760" w:hanging="360"/>
      </w:pPr>
      <w:rPr>
        <w:rFonts w:ascii="Wingdings" w:hAnsi="Wingdings" w:hint="default"/>
      </w:rPr>
    </w:lvl>
    <w:lvl w:ilvl="8" w:tplc="72FA5E8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87E57"/>
    <w:multiLevelType w:val="hybridMultilevel"/>
    <w:tmpl w:val="CD501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942B6"/>
    <w:multiLevelType w:val="hybridMultilevel"/>
    <w:tmpl w:val="2648F11C"/>
    <w:lvl w:ilvl="0" w:tplc="45344D6C">
      <w:start w:val="1"/>
      <w:numFmt w:val="bullet"/>
      <w:lvlText w:val="•"/>
      <w:lvlJc w:val="left"/>
      <w:pPr>
        <w:tabs>
          <w:tab w:val="num" w:pos="720"/>
        </w:tabs>
        <w:ind w:left="720" w:hanging="360"/>
      </w:pPr>
      <w:rPr>
        <w:rFonts w:ascii="Arial" w:hAnsi="Arial" w:cs="Times New Roman" w:hint="default"/>
      </w:rPr>
    </w:lvl>
    <w:lvl w:ilvl="1" w:tplc="7A94E272">
      <w:start w:val="1"/>
      <w:numFmt w:val="bullet"/>
      <w:lvlText w:val="•"/>
      <w:lvlJc w:val="left"/>
      <w:pPr>
        <w:tabs>
          <w:tab w:val="num" w:pos="1440"/>
        </w:tabs>
        <w:ind w:left="1440" w:hanging="360"/>
      </w:pPr>
      <w:rPr>
        <w:rFonts w:ascii="Arial" w:hAnsi="Arial" w:cs="Times New Roman" w:hint="default"/>
      </w:rPr>
    </w:lvl>
    <w:lvl w:ilvl="2" w:tplc="B32408C6">
      <w:numFmt w:val="bullet"/>
      <w:lvlText w:val="•"/>
      <w:lvlJc w:val="left"/>
      <w:pPr>
        <w:tabs>
          <w:tab w:val="num" w:pos="2160"/>
        </w:tabs>
        <w:ind w:left="2160" w:hanging="360"/>
      </w:pPr>
      <w:rPr>
        <w:rFonts w:ascii="Arial" w:hAnsi="Arial" w:cs="Times New Roman" w:hint="default"/>
      </w:rPr>
    </w:lvl>
    <w:lvl w:ilvl="3" w:tplc="EBDC0656">
      <w:start w:val="1"/>
      <w:numFmt w:val="bullet"/>
      <w:lvlText w:val="•"/>
      <w:lvlJc w:val="left"/>
      <w:pPr>
        <w:tabs>
          <w:tab w:val="num" w:pos="2880"/>
        </w:tabs>
        <w:ind w:left="2880" w:hanging="360"/>
      </w:pPr>
      <w:rPr>
        <w:rFonts w:ascii="Arial" w:hAnsi="Arial" w:cs="Times New Roman" w:hint="default"/>
      </w:rPr>
    </w:lvl>
    <w:lvl w:ilvl="4" w:tplc="69CC2D1A">
      <w:start w:val="1"/>
      <w:numFmt w:val="bullet"/>
      <w:lvlText w:val="•"/>
      <w:lvlJc w:val="left"/>
      <w:pPr>
        <w:tabs>
          <w:tab w:val="num" w:pos="3600"/>
        </w:tabs>
        <w:ind w:left="3600" w:hanging="360"/>
      </w:pPr>
      <w:rPr>
        <w:rFonts w:ascii="Arial" w:hAnsi="Arial" w:cs="Times New Roman" w:hint="default"/>
      </w:rPr>
    </w:lvl>
    <w:lvl w:ilvl="5" w:tplc="8A80F18C">
      <w:start w:val="1"/>
      <w:numFmt w:val="bullet"/>
      <w:lvlText w:val="•"/>
      <w:lvlJc w:val="left"/>
      <w:pPr>
        <w:tabs>
          <w:tab w:val="num" w:pos="4320"/>
        </w:tabs>
        <w:ind w:left="4320" w:hanging="360"/>
      </w:pPr>
      <w:rPr>
        <w:rFonts w:ascii="Arial" w:hAnsi="Arial" w:cs="Times New Roman" w:hint="default"/>
      </w:rPr>
    </w:lvl>
    <w:lvl w:ilvl="6" w:tplc="208E43AA">
      <w:start w:val="1"/>
      <w:numFmt w:val="bullet"/>
      <w:lvlText w:val="•"/>
      <w:lvlJc w:val="left"/>
      <w:pPr>
        <w:tabs>
          <w:tab w:val="num" w:pos="5040"/>
        </w:tabs>
        <w:ind w:left="5040" w:hanging="360"/>
      </w:pPr>
      <w:rPr>
        <w:rFonts w:ascii="Arial" w:hAnsi="Arial" w:cs="Times New Roman" w:hint="default"/>
      </w:rPr>
    </w:lvl>
    <w:lvl w:ilvl="7" w:tplc="32CAD08C">
      <w:start w:val="1"/>
      <w:numFmt w:val="bullet"/>
      <w:lvlText w:val="•"/>
      <w:lvlJc w:val="left"/>
      <w:pPr>
        <w:tabs>
          <w:tab w:val="num" w:pos="5760"/>
        </w:tabs>
        <w:ind w:left="5760" w:hanging="360"/>
      </w:pPr>
      <w:rPr>
        <w:rFonts w:ascii="Arial" w:hAnsi="Arial" w:cs="Times New Roman" w:hint="default"/>
      </w:rPr>
    </w:lvl>
    <w:lvl w:ilvl="8" w:tplc="0D7A80B6">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71B31E90"/>
    <w:multiLevelType w:val="hybridMultilevel"/>
    <w:tmpl w:val="569AD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773085"/>
    <w:multiLevelType w:val="hybridMultilevel"/>
    <w:tmpl w:val="25AEC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AD4A7B"/>
    <w:multiLevelType w:val="hybridMultilevel"/>
    <w:tmpl w:val="30FCB57E"/>
    <w:lvl w:ilvl="0" w:tplc="04090001">
      <w:start w:val="1"/>
      <w:numFmt w:val="bullet"/>
      <w:lvlText w:val=""/>
      <w:lvlJc w:val="left"/>
      <w:pPr>
        <w:tabs>
          <w:tab w:val="num" w:pos="720"/>
        </w:tabs>
        <w:ind w:left="720" w:hanging="360"/>
      </w:pPr>
      <w:rPr>
        <w:rFonts w:ascii="Symbol" w:hAnsi="Symbol" w:hint="default"/>
      </w:rPr>
    </w:lvl>
    <w:lvl w:ilvl="1" w:tplc="49B4EF6E" w:tentative="1">
      <w:start w:val="1"/>
      <w:numFmt w:val="decimal"/>
      <w:lvlText w:val="%2."/>
      <w:lvlJc w:val="left"/>
      <w:pPr>
        <w:tabs>
          <w:tab w:val="num" w:pos="1440"/>
        </w:tabs>
        <w:ind w:left="1440" w:hanging="360"/>
      </w:pPr>
    </w:lvl>
    <w:lvl w:ilvl="2" w:tplc="0FBE6224" w:tentative="1">
      <w:start w:val="1"/>
      <w:numFmt w:val="decimal"/>
      <w:lvlText w:val="%3."/>
      <w:lvlJc w:val="left"/>
      <w:pPr>
        <w:tabs>
          <w:tab w:val="num" w:pos="2160"/>
        </w:tabs>
        <w:ind w:left="2160" w:hanging="360"/>
      </w:pPr>
    </w:lvl>
    <w:lvl w:ilvl="3" w:tplc="7A98AEE0" w:tentative="1">
      <w:start w:val="1"/>
      <w:numFmt w:val="decimal"/>
      <w:lvlText w:val="%4."/>
      <w:lvlJc w:val="left"/>
      <w:pPr>
        <w:tabs>
          <w:tab w:val="num" w:pos="2880"/>
        </w:tabs>
        <w:ind w:left="2880" w:hanging="360"/>
      </w:pPr>
    </w:lvl>
    <w:lvl w:ilvl="4" w:tplc="79BEEA98" w:tentative="1">
      <w:start w:val="1"/>
      <w:numFmt w:val="decimal"/>
      <w:lvlText w:val="%5."/>
      <w:lvlJc w:val="left"/>
      <w:pPr>
        <w:tabs>
          <w:tab w:val="num" w:pos="3600"/>
        </w:tabs>
        <w:ind w:left="3600" w:hanging="360"/>
      </w:pPr>
    </w:lvl>
    <w:lvl w:ilvl="5" w:tplc="835A7CCE" w:tentative="1">
      <w:start w:val="1"/>
      <w:numFmt w:val="decimal"/>
      <w:lvlText w:val="%6."/>
      <w:lvlJc w:val="left"/>
      <w:pPr>
        <w:tabs>
          <w:tab w:val="num" w:pos="4320"/>
        </w:tabs>
        <w:ind w:left="4320" w:hanging="360"/>
      </w:pPr>
    </w:lvl>
    <w:lvl w:ilvl="6" w:tplc="8254385E" w:tentative="1">
      <w:start w:val="1"/>
      <w:numFmt w:val="decimal"/>
      <w:lvlText w:val="%7."/>
      <w:lvlJc w:val="left"/>
      <w:pPr>
        <w:tabs>
          <w:tab w:val="num" w:pos="5040"/>
        </w:tabs>
        <w:ind w:left="5040" w:hanging="360"/>
      </w:pPr>
    </w:lvl>
    <w:lvl w:ilvl="7" w:tplc="F97A6AE6" w:tentative="1">
      <w:start w:val="1"/>
      <w:numFmt w:val="decimal"/>
      <w:lvlText w:val="%8."/>
      <w:lvlJc w:val="left"/>
      <w:pPr>
        <w:tabs>
          <w:tab w:val="num" w:pos="5760"/>
        </w:tabs>
        <w:ind w:left="5760" w:hanging="360"/>
      </w:pPr>
    </w:lvl>
    <w:lvl w:ilvl="8" w:tplc="62D859EE" w:tentative="1">
      <w:start w:val="1"/>
      <w:numFmt w:val="decimal"/>
      <w:lvlText w:val="%9."/>
      <w:lvlJc w:val="left"/>
      <w:pPr>
        <w:tabs>
          <w:tab w:val="num" w:pos="6480"/>
        </w:tabs>
        <w:ind w:left="6480" w:hanging="360"/>
      </w:pPr>
    </w:lvl>
  </w:abstractNum>
  <w:num w:numId="1">
    <w:abstractNumId w:val="4"/>
  </w:num>
  <w:num w:numId="2">
    <w:abstractNumId w:val="10"/>
  </w:num>
  <w:num w:numId="3">
    <w:abstractNumId w:val="12"/>
  </w:num>
  <w:num w:numId="4">
    <w:abstractNumId w:val="7"/>
  </w:num>
  <w:num w:numId="5">
    <w:abstractNumId w:val="8"/>
  </w:num>
  <w:num w:numId="6">
    <w:abstractNumId w:val="3"/>
  </w:num>
  <w:num w:numId="7">
    <w:abstractNumId w:val="9"/>
  </w:num>
  <w:num w:numId="8">
    <w:abstractNumId w:val="6"/>
  </w:num>
  <w:num w:numId="9">
    <w:abstractNumId w:val="0"/>
  </w:num>
  <w:num w:numId="10">
    <w:abstractNumId w:val="5"/>
  </w:num>
  <w:num w:numId="11">
    <w:abstractNumId w:val="2"/>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90"/>
    <w:rsid w:val="00084A2F"/>
    <w:rsid w:val="00090AE8"/>
    <w:rsid w:val="000957FC"/>
    <w:rsid w:val="000B21B4"/>
    <w:rsid w:val="000B6463"/>
    <w:rsid w:val="000D335E"/>
    <w:rsid w:val="000D3DB6"/>
    <w:rsid w:val="000D77DA"/>
    <w:rsid w:val="000F1FC8"/>
    <w:rsid w:val="00136B91"/>
    <w:rsid w:val="00165050"/>
    <w:rsid w:val="00187B82"/>
    <w:rsid w:val="0019655B"/>
    <w:rsid w:val="001B5187"/>
    <w:rsid w:val="001C26A8"/>
    <w:rsid w:val="001C37E0"/>
    <w:rsid w:val="001C661D"/>
    <w:rsid w:val="001D6102"/>
    <w:rsid w:val="001D74D3"/>
    <w:rsid w:val="00244675"/>
    <w:rsid w:val="002450BA"/>
    <w:rsid w:val="0025352E"/>
    <w:rsid w:val="00263B6B"/>
    <w:rsid w:val="0028150E"/>
    <w:rsid w:val="00283827"/>
    <w:rsid w:val="00287E43"/>
    <w:rsid w:val="002A67A1"/>
    <w:rsid w:val="002D7018"/>
    <w:rsid w:val="002F657F"/>
    <w:rsid w:val="003312C7"/>
    <w:rsid w:val="00344813"/>
    <w:rsid w:val="00375BC7"/>
    <w:rsid w:val="003A0402"/>
    <w:rsid w:val="003E0635"/>
    <w:rsid w:val="0043787D"/>
    <w:rsid w:val="00451FEE"/>
    <w:rsid w:val="004B7ABC"/>
    <w:rsid w:val="004E1AF7"/>
    <w:rsid w:val="00516FD2"/>
    <w:rsid w:val="00552C84"/>
    <w:rsid w:val="00555FF0"/>
    <w:rsid w:val="00562C88"/>
    <w:rsid w:val="006012CC"/>
    <w:rsid w:val="0063586E"/>
    <w:rsid w:val="00647AC3"/>
    <w:rsid w:val="00653BE6"/>
    <w:rsid w:val="00674BC3"/>
    <w:rsid w:val="006D3512"/>
    <w:rsid w:val="006E5027"/>
    <w:rsid w:val="006E5DF7"/>
    <w:rsid w:val="00707140"/>
    <w:rsid w:val="007470AF"/>
    <w:rsid w:val="00781257"/>
    <w:rsid w:val="00785A15"/>
    <w:rsid w:val="007A17C0"/>
    <w:rsid w:val="007A63B3"/>
    <w:rsid w:val="007B36DD"/>
    <w:rsid w:val="007E3934"/>
    <w:rsid w:val="007F4CA1"/>
    <w:rsid w:val="00800DDB"/>
    <w:rsid w:val="00817973"/>
    <w:rsid w:val="00830182"/>
    <w:rsid w:val="00846B8B"/>
    <w:rsid w:val="008B34EE"/>
    <w:rsid w:val="008D2B9A"/>
    <w:rsid w:val="008D4157"/>
    <w:rsid w:val="008E45BD"/>
    <w:rsid w:val="00922807"/>
    <w:rsid w:val="00925210"/>
    <w:rsid w:val="009B644B"/>
    <w:rsid w:val="00A0082C"/>
    <w:rsid w:val="00A74E0C"/>
    <w:rsid w:val="00A76D9F"/>
    <w:rsid w:val="00A90F0E"/>
    <w:rsid w:val="00AB4F98"/>
    <w:rsid w:val="00B0165A"/>
    <w:rsid w:val="00B06C71"/>
    <w:rsid w:val="00B653AB"/>
    <w:rsid w:val="00B82E73"/>
    <w:rsid w:val="00BD0BAB"/>
    <w:rsid w:val="00BD58D6"/>
    <w:rsid w:val="00BE6A61"/>
    <w:rsid w:val="00C16CBC"/>
    <w:rsid w:val="00C4219E"/>
    <w:rsid w:val="00CA2CEF"/>
    <w:rsid w:val="00CB455A"/>
    <w:rsid w:val="00CD424C"/>
    <w:rsid w:val="00D0249E"/>
    <w:rsid w:val="00D10E9E"/>
    <w:rsid w:val="00D265D7"/>
    <w:rsid w:val="00D609FA"/>
    <w:rsid w:val="00D650AC"/>
    <w:rsid w:val="00D853DE"/>
    <w:rsid w:val="00D86BAA"/>
    <w:rsid w:val="00D96155"/>
    <w:rsid w:val="00DA2866"/>
    <w:rsid w:val="00DC4002"/>
    <w:rsid w:val="00DD3215"/>
    <w:rsid w:val="00DD344F"/>
    <w:rsid w:val="00DD39FE"/>
    <w:rsid w:val="00DD3EF0"/>
    <w:rsid w:val="00DD3F4B"/>
    <w:rsid w:val="00DE76BB"/>
    <w:rsid w:val="00E2060E"/>
    <w:rsid w:val="00E90B90"/>
    <w:rsid w:val="00F6267B"/>
    <w:rsid w:val="00F93D82"/>
    <w:rsid w:val="00FD5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D3BA88"/>
  <w15:docId w15:val="{69FE9565-085D-49A5-AD1C-E409C55A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B90"/>
    <w:pPr>
      <w:ind w:left="720"/>
      <w:contextualSpacing/>
    </w:pPr>
  </w:style>
  <w:style w:type="paragraph" w:styleId="Header">
    <w:name w:val="header"/>
    <w:basedOn w:val="Normal"/>
    <w:link w:val="HeaderChar"/>
    <w:uiPriority w:val="99"/>
    <w:unhideWhenUsed/>
    <w:rsid w:val="00D60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9FA"/>
  </w:style>
  <w:style w:type="paragraph" w:styleId="Footer">
    <w:name w:val="footer"/>
    <w:basedOn w:val="Normal"/>
    <w:link w:val="FooterChar"/>
    <w:uiPriority w:val="99"/>
    <w:unhideWhenUsed/>
    <w:rsid w:val="00D60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9FA"/>
  </w:style>
  <w:style w:type="paragraph" w:styleId="BalloonText">
    <w:name w:val="Balloon Text"/>
    <w:basedOn w:val="Normal"/>
    <w:link w:val="BalloonTextChar"/>
    <w:uiPriority w:val="99"/>
    <w:semiHidden/>
    <w:unhideWhenUsed/>
    <w:rsid w:val="00D60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5515">
      <w:bodyDiv w:val="1"/>
      <w:marLeft w:val="0"/>
      <w:marRight w:val="0"/>
      <w:marTop w:val="0"/>
      <w:marBottom w:val="0"/>
      <w:divBdr>
        <w:top w:val="none" w:sz="0" w:space="0" w:color="auto"/>
        <w:left w:val="none" w:sz="0" w:space="0" w:color="auto"/>
        <w:bottom w:val="none" w:sz="0" w:space="0" w:color="auto"/>
        <w:right w:val="none" w:sz="0" w:space="0" w:color="auto"/>
      </w:divBdr>
    </w:div>
    <w:div w:id="1042630150">
      <w:bodyDiv w:val="1"/>
      <w:marLeft w:val="0"/>
      <w:marRight w:val="0"/>
      <w:marTop w:val="0"/>
      <w:marBottom w:val="0"/>
      <w:divBdr>
        <w:top w:val="none" w:sz="0" w:space="0" w:color="auto"/>
        <w:left w:val="none" w:sz="0" w:space="0" w:color="auto"/>
        <w:bottom w:val="none" w:sz="0" w:space="0" w:color="auto"/>
        <w:right w:val="none" w:sz="0" w:space="0" w:color="auto"/>
      </w:divBdr>
      <w:divsChild>
        <w:div w:id="232008211">
          <w:marLeft w:val="547"/>
          <w:marRight w:val="0"/>
          <w:marTop w:val="120"/>
          <w:marBottom w:val="60"/>
          <w:divBdr>
            <w:top w:val="none" w:sz="0" w:space="0" w:color="auto"/>
            <w:left w:val="none" w:sz="0" w:space="0" w:color="auto"/>
            <w:bottom w:val="none" w:sz="0" w:space="0" w:color="auto"/>
            <w:right w:val="none" w:sz="0" w:space="0" w:color="auto"/>
          </w:divBdr>
        </w:div>
        <w:div w:id="1021711566">
          <w:marLeft w:val="547"/>
          <w:marRight w:val="0"/>
          <w:marTop w:val="77"/>
          <w:marBottom w:val="0"/>
          <w:divBdr>
            <w:top w:val="none" w:sz="0" w:space="0" w:color="auto"/>
            <w:left w:val="none" w:sz="0" w:space="0" w:color="auto"/>
            <w:bottom w:val="none" w:sz="0" w:space="0" w:color="auto"/>
            <w:right w:val="none" w:sz="0" w:space="0" w:color="auto"/>
          </w:divBdr>
        </w:div>
        <w:div w:id="558058071">
          <w:marLeft w:val="547"/>
          <w:marRight w:val="0"/>
          <w:marTop w:val="77"/>
          <w:marBottom w:val="0"/>
          <w:divBdr>
            <w:top w:val="none" w:sz="0" w:space="0" w:color="auto"/>
            <w:left w:val="none" w:sz="0" w:space="0" w:color="auto"/>
            <w:bottom w:val="none" w:sz="0" w:space="0" w:color="auto"/>
            <w:right w:val="none" w:sz="0" w:space="0" w:color="auto"/>
          </w:divBdr>
        </w:div>
        <w:div w:id="1109810742">
          <w:marLeft w:val="547"/>
          <w:marRight w:val="0"/>
          <w:marTop w:val="77"/>
          <w:marBottom w:val="0"/>
          <w:divBdr>
            <w:top w:val="none" w:sz="0" w:space="0" w:color="auto"/>
            <w:left w:val="none" w:sz="0" w:space="0" w:color="auto"/>
            <w:bottom w:val="none" w:sz="0" w:space="0" w:color="auto"/>
            <w:right w:val="none" w:sz="0" w:space="0" w:color="auto"/>
          </w:divBdr>
        </w:div>
        <w:div w:id="1035546750">
          <w:marLeft w:val="547"/>
          <w:marRight w:val="0"/>
          <w:marTop w:val="77"/>
          <w:marBottom w:val="0"/>
          <w:divBdr>
            <w:top w:val="none" w:sz="0" w:space="0" w:color="auto"/>
            <w:left w:val="none" w:sz="0" w:space="0" w:color="auto"/>
            <w:bottom w:val="none" w:sz="0" w:space="0" w:color="auto"/>
            <w:right w:val="none" w:sz="0" w:space="0" w:color="auto"/>
          </w:divBdr>
        </w:div>
        <w:div w:id="1086658741">
          <w:marLeft w:val="547"/>
          <w:marRight w:val="0"/>
          <w:marTop w:val="77"/>
          <w:marBottom w:val="0"/>
          <w:divBdr>
            <w:top w:val="none" w:sz="0" w:space="0" w:color="auto"/>
            <w:left w:val="none" w:sz="0" w:space="0" w:color="auto"/>
            <w:bottom w:val="none" w:sz="0" w:space="0" w:color="auto"/>
            <w:right w:val="none" w:sz="0" w:space="0" w:color="auto"/>
          </w:divBdr>
        </w:div>
        <w:div w:id="550115164">
          <w:marLeft w:val="547"/>
          <w:marRight w:val="0"/>
          <w:marTop w:val="77"/>
          <w:marBottom w:val="0"/>
          <w:divBdr>
            <w:top w:val="none" w:sz="0" w:space="0" w:color="auto"/>
            <w:left w:val="none" w:sz="0" w:space="0" w:color="auto"/>
            <w:bottom w:val="none" w:sz="0" w:space="0" w:color="auto"/>
            <w:right w:val="none" w:sz="0" w:space="0" w:color="auto"/>
          </w:divBdr>
        </w:div>
        <w:div w:id="512646285">
          <w:marLeft w:val="547"/>
          <w:marRight w:val="0"/>
          <w:marTop w:val="77"/>
          <w:marBottom w:val="0"/>
          <w:divBdr>
            <w:top w:val="none" w:sz="0" w:space="0" w:color="auto"/>
            <w:left w:val="none" w:sz="0" w:space="0" w:color="auto"/>
            <w:bottom w:val="none" w:sz="0" w:space="0" w:color="auto"/>
            <w:right w:val="none" w:sz="0" w:space="0" w:color="auto"/>
          </w:divBdr>
        </w:div>
        <w:div w:id="1887914097">
          <w:marLeft w:val="547"/>
          <w:marRight w:val="0"/>
          <w:marTop w:val="77"/>
          <w:marBottom w:val="0"/>
          <w:divBdr>
            <w:top w:val="none" w:sz="0" w:space="0" w:color="auto"/>
            <w:left w:val="none" w:sz="0" w:space="0" w:color="auto"/>
            <w:bottom w:val="none" w:sz="0" w:space="0" w:color="auto"/>
            <w:right w:val="none" w:sz="0" w:space="0" w:color="auto"/>
          </w:divBdr>
        </w:div>
      </w:divsChild>
    </w:div>
    <w:div w:id="167807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AED9C598614532853ED0DE6CB22C3C"/>
        <w:category>
          <w:name w:val="General"/>
          <w:gallery w:val="placeholder"/>
        </w:category>
        <w:types>
          <w:type w:val="bbPlcHdr"/>
        </w:types>
        <w:behaviors>
          <w:behavior w:val="content"/>
        </w:behaviors>
        <w:guid w:val="{63078CAA-8730-41A2-B1AD-A806E05BB553}"/>
      </w:docPartPr>
      <w:docPartBody>
        <w:p w:rsidR="000F2F38" w:rsidRDefault="0096026C" w:rsidP="0096026C">
          <w:pPr>
            <w:pStyle w:val="CAAED9C598614532853ED0DE6CB22C3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26C"/>
    <w:rsid w:val="000F2F38"/>
    <w:rsid w:val="0096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AED9C598614532853ED0DE6CB22C3C">
    <w:name w:val="CAAED9C598614532853ED0DE6CB22C3C"/>
    <w:rsid w:val="009602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3</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2016 COPS ACCOMPLISHMENTS</vt:lpstr>
    </vt:vector>
  </TitlesOfParts>
  <Company>Tenaska Power Services Co.</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COPS ACCOMPLISHMENTS</dc:title>
  <dc:creator>Michelle Trenary</dc:creator>
  <cp:lastModifiedBy>Trenary, Michelle</cp:lastModifiedBy>
  <cp:revision>37</cp:revision>
  <dcterms:created xsi:type="dcterms:W3CDTF">2017-01-05T14:45:00Z</dcterms:created>
  <dcterms:modified xsi:type="dcterms:W3CDTF">2017-01-17T14:38:00Z</dcterms:modified>
</cp:coreProperties>
</file>