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B4F" w:rsidRDefault="00E5034D" w:rsidP="008B1244">
      <w:pPr>
        <w:spacing w:after="0" w:line="240" w:lineRule="auto"/>
        <w:jc w:val="center"/>
        <w:rPr>
          <w:b/>
          <w:sz w:val="28"/>
          <w:szCs w:val="28"/>
          <w:u w:val="single"/>
        </w:rPr>
      </w:pPr>
      <w:r>
        <w:rPr>
          <w:b/>
          <w:sz w:val="28"/>
          <w:szCs w:val="28"/>
          <w:u w:val="single"/>
        </w:rPr>
        <w:t xml:space="preserve">4CP/DC Tie </w:t>
      </w:r>
      <w:r w:rsidR="008B1244" w:rsidRPr="008B1244">
        <w:rPr>
          <w:b/>
          <w:sz w:val="28"/>
          <w:szCs w:val="28"/>
          <w:u w:val="single"/>
        </w:rPr>
        <w:t>Protocol References</w:t>
      </w:r>
      <w:bookmarkStart w:id="0" w:name="_GoBack"/>
      <w:bookmarkEnd w:id="0"/>
    </w:p>
    <w:p w:rsidR="00BB4B06" w:rsidRPr="008B1244" w:rsidRDefault="00BB4B06" w:rsidP="00BB4B06">
      <w:pPr>
        <w:spacing w:after="0" w:line="240" w:lineRule="auto"/>
        <w:rPr>
          <w:b/>
          <w:sz w:val="28"/>
          <w:szCs w:val="28"/>
          <w:u w:val="single"/>
        </w:rPr>
      </w:pPr>
    </w:p>
    <w:p w:rsidR="008B1244" w:rsidRPr="008910B8" w:rsidRDefault="008B1244" w:rsidP="008B1244">
      <w:pPr>
        <w:pStyle w:val="H3"/>
        <w:rPr>
          <w:b/>
          <w:i/>
        </w:rPr>
      </w:pPr>
      <w:bookmarkStart w:id="1" w:name="_Toc309731107"/>
      <w:bookmarkStart w:id="2" w:name="_Toc405814081"/>
      <w:bookmarkStart w:id="3" w:name="_Toc422207972"/>
      <w:bookmarkStart w:id="4" w:name="_Toc438044883"/>
      <w:bookmarkStart w:id="5" w:name="_Toc447622666"/>
      <w:bookmarkStart w:id="6" w:name="_Toc448142651"/>
      <w:r w:rsidRPr="008910B8">
        <w:rPr>
          <w:b/>
          <w:i/>
        </w:rPr>
        <w:t>9.17.1</w:t>
      </w:r>
      <w:r w:rsidRPr="008910B8">
        <w:rPr>
          <w:b/>
          <w:i/>
        </w:rPr>
        <w:tab/>
        <w:t>Billing Determinant Data Elements</w:t>
      </w:r>
      <w:bookmarkEnd w:id="1"/>
      <w:bookmarkEnd w:id="2"/>
      <w:bookmarkEnd w:id="3"/>
      <w:bookmarkEnd w:id="4"/>
      <w:bookmarkEnd w:id="5"/>
      <w:bookmarkEnd w:id="6"/>
    </w:p>
    <w:p w:rsidR="008B1244" w:rsidRDefault="008B1244" w:rsidP="008B1244">
      <w:pPr>
        <w:pStyle w:val="BodyTextNumbered"/>
        <w:spacing w:before="240"/>
      </w:pPr>
      <w:r>
        <w:t xml:space="preserve"> (2)</w:t>
      </w:r>
      <w:r>
        <w:tab/>
        <w:t xml:space="preserve">Average 4-CP is defined as the average </w:t>
      </w:r>
      <w:r w:rsidRPr="008B1244">
        <w:rPr>
          <w:highlight w:val="yellow"/>
        </w:rPr>
        <w:t>Settlement Interval</w:t>
      </w:r>
      <w:r>
        <w:t xml:space="preserve"> coincidental MW peak occurring during the months of June, July, August, and September.</w:t>
      </w:r>
    </w:p>
    <w:p w:rsidR="008B1244" w:rsidRDefault="008B1244" w:rsidP="008B1244">
      <w:pPr>
        <w:pStyle w:val="BodyTextNumbered"/>
      </w:pPr>
      <w:r w:rsidRPr="00974D32">
        <w:t>(3)</w:t>
      </w:r>
      <w:r w:rsidRPr="00974D32">
        <w:tab/>
      </w:r>
      <w:r w:rsidRPr="008B1244">
        <w:rPr>
          <w:highlight w:val="yellow"/>
        </w:rPr>
        <w:t>Settlement Interval</w:t>
      </w:r>
      <w:r w:rsidRPr="00974D32">
        <w:t xml:space="preserve"> coincidental MW peak is defined as the highest monthly 15-minute MW peak for the entire ERCOT Transmission Grid as captured by the ERCOT Settlement system, </w:t>
      </w:r>
      <w:r w:rsidRPr="00974D32">
        <w:rPr>
          <w:color w:val="000000"/>
        </w:rPr>
        <w:t xml:space="preserve">excluding </w:t>
      </w:r>
      <w:r w:rsidRPr="00974D32">
        <w:t>Block Load Transfer (</w:t>
      </w:r>
      <w:r w:rsidRPr="00974D32">
        <w:rPr>
          <w:color w:val="000000"/>
        </w:rPr>
        <w:t xml:space="preserve">BLT) </w:t>
      </w:r>
      <w:r>
        <w:rPr>
          <w:color w:val="000000"/>
        </w:rPr>
        <w:t>of Load to the ERCOT Control Area that are not reflected in a Non-Opt-In Entity’s (NOIE’s) 4-CP calculation,</w:t>
      </w:r>
      <w:r w:rsidRPr="00974D32">
        <w:rPr>
          <w:color w:val="000000"/>
        </w:rPr>
        <w:t xml:space="preserve"> </w:t>
      </w:r>
      <w:r w:rsidRPr="00974D32">
        <w:rPr>
          <w:lang w:val="fr-FR"/>
        </w:rPr>
        <w:t xml:space="preserve">Direct </w:t>
      </w:r>
      <w:proofErr w:type="spellStart"/>
      <w:r w:rsidRPr="00974D32">
        <w:rPr>
          <w:lang w:val="fr-FR"/>
        </w:rPr>
        <w:t>Current</w:t>
      </w:r>
      <w:proofErr w:type="spellEnd"/>
      <w:r w:rsidRPr="00974D32">
        <w:rPr>
          <w:lang w:val="fr-FR"/>
        </w:rPr>
        <w:t xml:space="preserve"> </w:t>
      </w:r>
      <w:proofErr w:type="spellStart"/>
      <w:r w:rsidRPr="00974D32">
        <w:rPr>
          <w:lang w:val="fr-FR"/>
        </w:rPr>
        <w:t>Tie</w:t>
      </w:r>
      <w:proofErr w:type="spellEnd"/>
      <w:r w:rsidRPr="00974D32">
        <w:rPr>
          <w:lang w:val="fr-FR"/>
        </w:rPr>
        <w:t xml:space="preserve"> (</w:t>
      </w:r>
      <w:r w:rsidRPr="00974D32">
        <w:rPr>
          <w:color w:val="000000"/>
        </w:rPr>
        <w:t>DC Tie) exports</w:t>
      </w:r>
      <w:r>
        <w:rPr>
          <w:color w:val="000000"/>
        </w:rPr>
        <w:t>,</w:t>
      </w:r>
      <w:r w:rsidRPr="00974D32">
        <w:rPr>
          <w:color w:val="000000"/>
        </w:rPr>
        <w:t xml:space="preserve"> and Wholesale Storage Load (WSL)</w:t>
      </w:r>
      <w:r w:rsidRPr="00974D32">
        <w:t>.</w:t>
      </w:r>
    </w:p>
    <w:p w:rsidR="008B1244" w:rsidRDefault="008B1244" w:rsidP="008B1244">
      <w:pPr>
        <w:pStyle w:val="BodyTextNumbered"/>
      </w:pPr>
    </w:p>
    <w:p w:rsidR="008B1244" w:rsidRPr="008B1244" w:rsidRDefault="008B1244" w:rsidP="008B1244">
      <w:pPr>
        <w:pStyle w:val="H2"/>
        <w:rPr>
          <w:b/>
          <w:i/>
        </w:rPr>
      </w:pPr>
      <w:r w:rsidRPr="008B1244">
        <w:rPr>
          <w:b/>
          <w:i/>
          <w:lang w:val="fr-FR"/>
        </w:rPr>
        <w:t xml:space="preserve">Direct </w:t>
      </w:r>
      <w:proofErr w:type="spellStart"/>
      <w:r w:rsidRPr="008B1244">
        <w:rPr>
          <w:b/>
          <w:i/>
          <w:lang w:val="fr-FR"/>
        </w:rPr>
        <w:t>Current</w:t>
      </w:r>
      <w:proofErr w:type="spellEnd"/>
      <w:r w:rsidRPr="008B1244">
        <w:rPr>
          <w:b/>
          <w:i/>
          <w:lang w:val="fr-FR"/>
        </w:rPr>
        <w:t xml:space="preserve"> </w:t>
      </w:r>
      <w:proofErr w:type="spellStart"/>
      <w:r w:rsidRPr="008B1244">
        <w:rPr>
          <w:b/>
          <w:i/>
          <w:lang w:val="fr-FR"/>
        </w:rPr>
        <w:t>Tie</w:t>
      </w:r>
      <w:proofErr w:type="spellEnd"/>
      <w:r w:rsidRPr="008B1244">
        <w:rPr>
          <w:b/>
          <w:i/>
          <w:lang w:val="fr-FR"/>
        </w:rPr>
        <w:t xml:space="preserve"> (DC </w:t>
      </w:r>
      <w:proofErr w:type="spellStart"/>
      <w:r w:rsidRPr="008B1244">
        <w:rPr>
          <w:b/>
          <w:i/>
          <w:lang w:val="fr-FR"/>
        </w:rPr>
        <w:t>Tie</w:t>
      </w:r>
      <w:proofErr w:type="spellEnd"/>
      <w:r w:rsidRPr="008B1244">
        <w:rPr>
          <w:b/>
          <w:i/>
          <w:lang w:val="fr-FR"/>
        </w:rPr>
        <w:t>)</w:t>
      </w:r>
      <w:r w:rsidRPr="008B1244">
        <w:rPr>
          <w:b/>
          <w:i/>
        </w:rPr>
        <w:t xml:space="preserve"> Schedule</w:t>
      </w:r>
    </w:p>
    <w:p w:rsidR="008B1244" w:rsidRPr="008B1244" w:rsidRDefault="008B1244" w:rsidP="008B1244">
      <w:pPr>
        <w:pStyle w:val="BodyText"/>
        <w:rPr>
          <w:rFonts w:ascii="Times New Roman" w:hAnsi="Times New Roman" w:cs="Times New Roman"/>
          <w:sz w:val="24"/>
          <w:szCs w:val="24"/>
        </w:rPr>
      </w:pPr>
      <w:r w:rsidRPr="008B1244">
        <w:rPr>
          <w:rFonts w:ascii="Times New Roman" w:hAnsi="Times New Roman" w:cs="Times New Roman"/>
          <w:sz w:val="24"/>
          <w:szCs w:val="24"/>
        </w:rPr>
        <w:t>An energy schedule between ERCOT and a non-ERCOT Control Area and is represented by a corresponding Electronic Tag (</w:t>
      </w:r>
      <w:r w:rsidRPr="00BB4B06">
        <w:rPr>
          <w:rFonts w:ascii="Times New Roman" w:hAnsi="Times New Roman" w:cs="Times New Roman"/>
          <w:sz w:val="24"/>
          <w:szCs w:val="24"/>
          <w:highlight w:val="yellow"/>
        </w:rPr>
        <w:t>e-Tag</w:t>
      </w:r>
      <w:r w:rsidRPr="008B1244">
        <w:rPr>
          <w:rFonts w:ascii="Times New Roman" w:hAnsi="Times New Roman" w:cs="Times New Roman"/>
          <w:sz w:val="24"/>
          <w:szCs w:val="24"/>
        </w:rPr>
        <w:t xml:space="preserve">) that contains the physical transaction information such as the Settlement Point energy amount (MW), the associated DC Tie, and the buyer and seller.  </w:t>
      </w:r>
    </w:p>
    <w:p w:rsidR="008B1244" w:rsidRDefault="008B1244" w:rsidP="008B1244">
      <w:pPr>
        <w:pStyle w:val="BodyTextNumbered"/>
      </w:pPr>
    </w:p>
    <w:p w:rsidR="008B1244" w:rsidRPr="00BB4B06" w:rsidRDefault="008B1244" w:rsidP="008B1244">
      <w:pPr>
        <w:pStyle w:val="H3"/>
        <w:spacing w:before="480"/>
        <w:rPr>
          <w:b/>
          <w:i/>
        </w:rPr>
      </w:pPr>
      <w:bookmarkStart w:id="7" w:name="_Toc142108908"/>
      <w:bookmarkStart w:id="8" w:name="_Toc142113753"/>
      <w:bookmarkStart w:id="9" w:name="_Toc402345579"/>
      <w:bookmarkStart w:id="10" w:name="_Toc405383862"/>
      <w:bookmarkStart w:id="11" w:name="_Toc405536964"/>
      <w:bookmarkStart w:id="12" w:name="_Toc440871751"/>
      <w:bookmarkStart w:id="13" w:name="_Toc463259785"/>
      <w:r w:rsidRPr="00BB4B06">
        <w:rPr>
          <w:b/>
          <w:i/>
        </w:rPr>
        <w:t>4.4.4</w:t>
      </w:r>
      <w:r w:rsidRPr="00BB4B06">
        <w:rPr>
          <w:b/>
          <w:i/>
        </w:rPr>
        <w:tab/>
        <w:t>DC Tie Schedules</w:t>
      </w:r>
      <w:bookmarkEnd w:id="7"/>
      <w:bookmarkEnd w:id="8"/>
      <w:bookmarkEnd w:id="9"/>
      <w:bookmarkEnd w:id="10"/>
      <w:bookmarkEnd w:id="11"/>
      <w:bookmarkEnd w:id="12"/>
      <w:bookmarkEnd w:id="13"/>
    </w:p>
    <w:p w:rsidR="008B1244" w:rsidRDefault="008B1244" w:rsidP="008B1244">
      <w:pPr>
        <w:pStyle w:val="BodyText"/>
        <w:ind w:left="720" w:hanging="720"/>
        <w:rPr>
          <w:rFonts w:ascii="Times New Roman" w:hAnsi="Times New Roman" w:cs="Times New Roman"/>
          <w:sz w:val="24"/>
          <w:szCs w:val="24"/>
        </w:rPr>
      </w:pPr>
      <w:r w:rsidRPr="008B1244">
        <w:rPr>
          <w:rFonts w:ascii="Times New Roman" w:hAnsi="Times New Roman" w:cs="Times New Roman"/>
          <w:sz w:val="24"/>
          <w:szCs w:val="24"/>
        </w:rPr>
        <w:t xml:space="preserve"> (9)</w:t>
      </w:r>
      <w:r w:rsidRPr="008B1244">
        <w:rPr>
          <w:rFonts w:ascii="Times New Roman" w:hAnsi="Times New Roman" w:cs="Times New Roman"/>
          <w:sz w:val="24"/>
          <w:szCs w:val="24"/>
        </w:rPr>
        <w:tab/>
        <w:t xml:space="preserve">ERCOT shall use the DC Tie </w:t>
      </w:r>
      <w:r w:rsidRPr="00BB4B06">
        <w:rPr>
          <w:rFonts w:ascii="Times New Roman" w:hAnsi="Times New Roman" w:cs="Times New Roman"/>
          <w:sz w:val="24"/>
          <w:szCs w:val="24"/>
          <w:highlight w:val="yellow"/>
        </w:rPr>
        <w:t>e-Tag</w:t>
      </w:r>
      <w:r w:rsidRPr="008B1244">
        <w:rPr>
          <w:rFonts w:ascii="Times New Roman" w:hAnsi="Times New Roman" w:cs="Times New Roman"/>
          <w:sz w:val="24"/>
          <w:szCs w:val="24"/>
        </w:rPr>
        <w:t xml:space="preserve"> MW amounts for Settlement.  The DC Tie operator shall communicate </w:t>
      </w:r>
      <w:proofErr w:type="spellStart"/>
      <w:r w:rsidRPr="008B1244">
        <w:rPr>
          <w:rFonts w:ascii="Times New Roman" w:hAnsi="Times New Roman" w:cs="Times New Roman"/>
          <w:sz w:val="24"/>
          <w:szCs w:val="24"/>
        </w:rPr>
        <w:t>deratings</w:t>
      </w:r>
      <w:proofErr w:type="spellEnd"/>
      <w:r w:rsidRPr="008B1244">
        <w:rPr>
          <w:rFonts w:ascii="Times New Roman" w:hAnsi="Times New Roman" w:cs="Times New Roman"/>
          <w:sz w:val="24"/>
          <w:szCs w:val="24"/>
        </w:rPr>
        <w:t xml:space="preserve"> of the DC Ties to ERCOT and other affected regions and all parties shall agree to any adjusted or curtailed e-Tag amounts.</w:t>
      </w:r>
    </w:p>
    <w:p w:rsidR="00BB4B06" w:rsidRDefault="00BB4B06" w:rsidP="008B1244">
      <w:pPr>
        <w:pStyle w:val="BodyText"/>
        <w:ind w:left="720" w:hanging="720"/>
        <w:rPr>
          <w:rFonts w:ascii="Times New Roman" w:hAnsi="Times New Roman" w:cs="Times New Roman"/>
          <w:sz w:val="24"/>
          <w:szCs w:val="24"/>
        </w:rPr>
      </w:pPr>
    </w:p>
    <w:p w:rsidR="00BB4B06" w:rsidRPr="00BB4B06" w:rsidRDefault="00BB4B06" w:rsidP="00BB4B06">
      <w:pPr>
        <w:pStyle w:val="H3"/>
        <w:spacing w:before="480"/>
        <w:rPr>
          <w:b/>
          <w:i/>
          <w:szCs w:val="24"/>
        </w:rPr>
      </w:pPr>
      <w:bookmarkStart w:id="14" w:name="_Toc463430543"/>
      <w:r w:rsidRPr="00BB4B06">
        <w:rPr>
          <w:b/>
          <w:i/>
          <w:szCs w:val="24"/>
        </w:rPr>
        <w:t>11.4.6</w:t>
      </w:r>
      <w:r w:rsidRPr="00BB4B06">
        <w:rPr>
          <w:b/>
          <w:i/>
          <w:szCs w:val="24"/>
        </w:rPr>
        <w:tab/>
        <w:t>Unaccounted for Energy Calculation and Allocation</w:t>
      </w:r>
      <w:bookmarkEnd w:id="14"/>
    </w:p>
    <w:p w:rsidR="00BB4B06" w:rsidRDefault="00BB4B06" w:rsidP="00BB4B06">
      <w:pPr>
        <w:pStyle w:val="BodyText"/>
        <w:ind w:left="720" w:hanging="720"/>
        <w:rPr>
          <w:rFonts w:ascii="Times New Roman" w:hAnsi="Times New Roman" w:cs="Times New Roman"/>
          <w:sz w:val="24"/>
          <w:szCs w:val="24"/>
        </w:rPr>
      </w:pPr>
      <w:r w:rsidRPr="00BB4B06">
        <w:rPr>
          <w:rFonts w:ascii="Times New Roman" w:hAnsi="Times New Roman" w:cs="Times New Roman"/>
          <w:sz w:val="24"/>
          <w:szCs w:val="24"/>
        </w:rPr>
        <w:t>(1)</w:t>
      </w:r>
      <w:r w:rsidRPr="00BB4B06">
        <w:rPr>
          <w:rFonts w:ascii="Times New Roman" w:hAnsi="Times New Roman" w:cs="Times New Roman"/>
          <w:sz w:val="24"/>
          <w:szCs w:val="24"/>
        </w:rPr>
        <w:tab/>
        <w:t xml:space="preserve">The DAS shall adjust the net loss adjusted Load for each aggregated retail Load group for UFE.  The Data Aggregation process will calculate the difference between net loss adjusted Load for the entire ERCOT System, which has been adjusted for Distribution Losses and Transmission Losses, and the total system Load (generation) in order to determine the total UFE.  The calculated UFE for each Settlement Interval is then allocated to Loads.  For the purpose of the UFE calculation, scheduled flow out of ERCOT on a Direct Current Tie (DC Tie) will be deemed as Load, and </w:t>
      </w:r>
      <w:r w:rsidRPr="00BB4B06">
        <w:rPr>
          <w:rFonts w:ascii="Times New Roman" w:hAnsi="Times New Roman" w:cs="Times New Roman"/>
          <w:sz w:val="24"/>
          <w:szCs w:val="24"/>
          <w:highlight w:val="yellow"/>
        </w:rPr>
        <w:t>scheduled flow into ERCOT on a DC Tie will be deemed as generation</w:t>
      </w:r>
      <w:r w:rsidRPr="00BB4B06">
        <w:rPr>
          <w:rFonts w:ascii="Times New Roman" w:hAnsi="Times New Roman" w:cs="Times New Roman"/>
          <w:sz w:val="24"/>
          <w:szCs w:val="24"/>
        </w:rPr>
        <w:t>.</w:t>
      </w:r>
    </w:p>
    <w:p w:rsidR="00BB4B06" w:rsidRDefault="00BB4B06" w:rsidP="00BB4B06">
      <w:pPr>
        <w:pStyle w:val="BodyText"/>
        <w:ind w:left="720" w:hanging="720"/>
        <w:rPr>
          <w:rFonts w:ascii="Times New Roman" w:hAnsi="Times New Roman" w:cs="Times New Roman"/>
          <w:sz w:val="24"/>
          <w:szCs w:val="24"/>
        </w:rPr>
      </w:pPr>
    </w:p>
    <w:p w:rsidR="00BB4B06" w:rsidRDefault="00BB4B06" w:rsidP="00BB4B06">
      <w:pPr>
        <w:pStyle w:val="H4"/>
        <w:spacing w:before="480"/>
        <w:ind w:left="1267" w:hanging="1267"/>
      </w:pPr>
      <w:r>
        <w:lastRenderedPageBreak/>
        <w:t>11.4.6.1</w:t>
      </w:r>
      <w:r>
        <w:tab/>
        <w:t>Calculation of ERCOT-Wide Unaccounted For Energy</w:t>
      </w:r>
    </w:p>
    <w:p w:rsidR="00BB4B06" w:rsidRPr="00BB4B06" w:rsidRDefault="00BB4B06" w:rsidP="00BB4B06">
      <w:pPr>
        <w:pStyle w:val="BodyText"/>
        <w:ind w:left="720" w:hanging="720"/>
        <w:rPr>
          <w:rFonts w:ascii="Times New Roman" w:hAnsi="Times New Roman" w:cs="Times New Roman"/>
          <w:sz w:val="24"/>
          <w:szCs w:val="24"/>
        </w:rPr>
      </w:pPr>
      <w:r w:rsidRPr="00BB4B06">
        <w:rPr>
          <w:rFonts w:ascii="Times New Roman" w:hAnsi="Times New Roman" w:cs="Times New Roman"/>
          <w:sz w:val="24"/>
          <w:szCs w:val="24"/>
        </w:rPr>
        <w:t>(1)</w:t>
      </w:r>
      <w:r w:rsidRPr="00BB4B06">
        <w:rPr>
          <w:rFonts w:ascii="Times New Roman" w:hAnsi="Times New Roman" w:cs="Times New Roman"/>
          <w:sz w:val="24"/>
          <w:szCs w:val="24"/>
        </w:rPr>
        <w:tab/>
        <w:t xml:space="preserve">The DAS will calculate ERCOT-wide UFE as the difference between the total ERCOT generation and the total Load, adjusted for losses in ERCOT during each </w:t>
      </w:r>
      <w:r w:rsidRPr="00BB4B06">
        <w:rPr>
          <w:rFonts w:ascii="Times New Roman" w:hAnsi="Times New Roman" w:cs="Times New Roman"/>
          <w:sz w:val="24"/>
          <w:szCs w:val="24"/>
          <w:highlight w:val="yellow"/>
        </w:rPr>
        <w:t>Settlement Interval</w:t>
      </w:r>
      <w:r w:rsidRPr="00BB4B06">
        <w:rPr>
          <w:rFonts w:ascii="Times New Roman" w:hAnsi="Times New Roman" w:cs="Times New Roman"/>
          <w:sz w:val="24"/>
          <w:szCs w:val="24"/>
        </w:rPr>
        <w:t xml:space="preserve">.  UFE may be positive or negative in any single </w:t>
      </w:r>
      <w:r w:rsidRPr="00BB4B06">
        <w:rPr>
          <w:rFonts w:ascii="Times New Roman" w:hAnsi="Times New Roman" w:cs="Times New Roman"/>
          <w:sz w:val="24"/>
          <w:szCs w:val="24"/>
          <w:highlight w:val="yellow"/>
        </w:rPr>
        <w:t>Settlement Interval</w:t>
      </w:r>
      <w:r w:rsidRPr="00BB4B06">
        <w:rPr>
          <w:rFonts w:ascii="Times New Roman" w:hAnsi="Times New Roman" w:cs="Times New Roman"/>
          <w:sz w:val="24"/>
          <w:szCs w:val="24"/>
        </w:rPr>
        <w:t>.</w:t>
      </w:r>
    </w:p>
    <w:p w:rsidR="00BB4B06" w:rsidRDefault="00BB4B06" w:rsidP="00BB4B06">
      <w:pPr>
        <w:pStyle w:val="FormulaBold"/>
      </w:pPr>
      <w:r>
        <w:t xml:space="preserve">UFE </w:t>
      </w:r>
      <w:proofErr w:type="spellStart"/>
      <w:r w:rsidRPr="00BA5FF8">
        <w:rPr>
          <w:i/>
          <w:vertAlign w:val="subscript"/>
        </w:rPr>
        <w:t>i</w:t>
      </w:r>
      <w:proofErr w:type="spellEnd"/>
      <w:r>
        <w:t xml:space="preserve"> (</w:t>
      </w:r>
      <w:proofErr w:type="spellStart"/>
      <w:r>
        <w:t>MWh</w:t>
      </w:r>
      <w:proofErr w:type="spellEnd"/>
      <w:r>
        <w:t>)</w:t>
      </w:r>
      <w:r>
        <w:tab/>
      </w:r>
      <w:proofErr w:type="gramStart"/>
      <w:r>
        <w:t>=  ERCOT</w:t>
      </w:r>
      <w:proofErr w:type="gramEnd"/>
      <w:r>
        <w:t xml:space="preserve"> Generation </w:t>
      </w:r>
      <w:proofErr w:type="spellStart"/>
      <w:r w:rsidRPr="00BA5FF8">
        <w:rPr>
          <w:i/>
          <w:vertAlign w:val="subscript"/>
        </w:rPr>
        <w:t>i</w:t>
      </w:r>
      <w:proofErr w:type="spellEnd"/>
      <w:r w:rsidRPr="00BA5FF8">
        <w:rPr>
          <w:i/>
        </w:rPr>
        <w:t xml:space="preserve"> </w:t>
      </w:r>
      <w:r w:rsidRPr="00BA5FF8">
        <w:rPr>
          <w:i/>
          <w:vertAlign w:val="subscript"/>
        </w:rPr>
        <w:t>Total</w:t>
      </w:r>
      <w:r>
        <w:rPr>
          <w:vertAlign w:val="subscript"/>
        </w:rPr>
        <w:t xml:space="preserve"> </w:t>
      </w:r>
      <w:r>
        <w:t xml:space="preserve">– ERCOT Net Loss Adjusted Load </w:t>
      </w:r>
      <w:proofErr w:type="spellStart"/>
      <w:r w:rsidRPr="00BA5FF8">
        <w:rPr>
          <w:i/>
          <w:vertAlign w:val="subscript"/>
        </w:rPr>
        <w:t>i</w:t>
      </w:r>
      <w:proofErr w:type="spellEnd"/>
      <w:r w:rsidRPr="00BA5FF8">
        <w:rPr>
          <w:i/>
        </w:rPr>
        <w:t xml:space="preserve"> </w:t>
      </w:r>
      <w:r w:rsidRPr="00BA5FF8">
        <w:rPr>
          <w:i/>
          <w:vertAlign w:val="subscript"/>
        </w:rPr>
        <w:t>Total</w:t>
      </w:r>
    </w:p>
    <w:p w:rsidR="00BB4B06" w:rsidRPr="00BB4B06" w:rsidRDefault="00BB4B06" w:rsidP="00BB4B06">
      <w:pPr>
        <w:spacing w:before="120"/>
        <w:rPr>
          <w:rFonts w:ascii="Times New Roman" w:hAnsi="Times New Roman" w:cs="Times New Roman"/>
          <w:sz w:val="24"/>
          <w:szCs w:val="24"/>
        </w:rPr>
      </w:pPr>
      <w:r w:rsidRPr="00BB4B06">
        <w:rPr>
          <w:rFonts w:ascii="Times New Roman" w:hAnsi="Times New Roman" w:cs="Times New Roman"/>
          <w:sz w:val="24"/>
          <w:szCs w:val="24"/>
        </w:rP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5"/>
        <w:gridCol w:w="810"/>
        <w:gridCol w:w="6665"/>
      </w:tblGrid>
      <w:tr w:rsidR="00BB4B06" w:rsidTr="00BA2322">
        <w:tc>
          <w:tcPr>
            <w:tcW w:w="2365" w:type="dxa"/>
          </w:tcPr>
          <w:p w:rsidR="00BB4B06" w:rsidRDefault="00BB4B06" w:rsidP="00BA2322">
            <w:pPr>
              <w:pStyle w:val="TableHead"/>
            </w:pPr>
            <w:r>
              <w:t>Variable</w:t>
            </w:r>
          </w:p>
        </w:tc>
        <w:tc>
          <w:tcPr>
            <w:tcW w:w="810" w:type="dxa"/>
          </w:tcPr>
          <w:p w:rsidR="00BB4B06" w:rsidRDefault="00BB4B06" w:rsidP="00BA2322">
            <w:pPr>
              <w:pStyle w:val="TableHead"/>
            </w:pPr>
            <w:r>
              <w:t>Unit</w:t>
            </w:r>
          </w:p>
        </w:tc>
        <w:tc>
          <w:tcPr>
            <w:tcW w:w="6665" w:type="dxa"/>
          </w:tcPr>
          <w:p w:rsidR="00BB4B06" w:rsidRDefault="00BB4B06" w:rsidP="00BA2322">
            <w:pPr>
              <w:pStyle w:val="TableHead"/>
            </w:pPr>
            <w:r>
              <w:t>Description</w:t>
            </w:r>
          </w:p>
        </w:tc>
      </w:tr>
      <w:tr w:rsidR="00BB4B06" w:rsidTr="00BA2322">
        <w:tc>
          <w:tcPr>
            <w:tcW w:w="2365" w:type="dxa"/>
          </w:tcPr>
          <w:p w:rsidR="00BB4B06" w:rsidRDefault="00BB4B06" w:rsidP="00BA2322">
            <w:pPr>
              <w:pStyle w:val="TableHead"/>
              <w:spacing w:after="60"/>
              <w:rPr>
                <w:b w:val="0"/>
              </w:rPr>
            </w:pPr>
            <w:r>
              <w:rPr>
                <w:b w:val="0"/>
              </w:rPr>
              <w:t xml:space="preserve">UFE </w:t>
            </w:r>
            <w:proofErr w:type="spellStart"/>
            <w:r>
              <w:rPr>
                <w:b w:val="0"/>
                <w:bCs/>
                <w:vertAlign w:val="subscript"/>
              </w:rPr>
              <w:t>i</w:t>
            </w:r>
            <w:proofErr w:type="spellEnd"/>
          </w:p>
        </w:tc>
        <w:tc>
          <w:tcPr>
            <w:tcW w:w="810" w:type="dxa"/>
          </w:tcPr>
          <w:p w:rsidR="00BB4B06" w:rsidRDefault="00BB4B06" w:rsidP="00BA2322">
            <w:pPr>
              <w:pStyle w:val="TableHead"/>
              <w:spacing w:after="60"/>
              <w:rPr>
                <w:b w:val="0"/>
              </w:rPr>
            </w:pPr>
            <w:proofErr w:type="spellStart"/>
            <w:r>
              <w:rPr>
                <w:b w:val="0"/>
              </w:rPr>
              <w:t>MWh</w:t>
            </w:r>
            <w:proofErr w:type="spellEnd"/>
          </w:p>
        </w:tc>
        <w:tc>
          <w:tcPr>
            <w:tcW w:w="6665" w:type="dxa"/>
          </w:tcPr>
          <w:p w:rsidR="00BB4B06" w:rsidRDefault="00BB4B06" w:rsidP="00BA2322">
            <w:pPr>
              <w:pStyle w:val="TableHead"/>
              <w:spacing w:after="60"/>
              <w:rPr>
                <w:b w:val="0"/>
              </w:rPr>
            </w:pPr>
            <w:r>
              <w:rPr>
                <w:b w:val="0"/>
              </w:rPr>
              <w:t>Total ERCOT system UFE per interval.</w:t>
            </w:r>
          </w:p>
        </w:tc>
      </w:tr>
      <w:tr w:rsidR="00BB4B06" w:rsidTr="00BA2322">
        <w:tc>
          <w:tcPr>
            <w:tcW w:w="2365" w:type="dxa"/>
          </w:tcPr>
          <w:p w:rsidR="00BB4B06" w:rsidRPr="00F12E81" w:rsidRDefault="00BB4B06" w:rsidP="00BA2322">
            <w:pPr>
              <w:pStyle w:val="TableHead"/>
              <w:spacing w:after="60"/>
              <w:rPr>
                <w:b w:val="0"/>
              </w:rPr>
            </w:pPr>
            <w:r w:rsidRPr="00BB4B06">
              <w:rPr>
                <w:b w:val="0"/>
                <w:highlight w:val="yellow"/>
              </w:rPr>
              <w:t xml:space="preserve">ERCOT Generation </w:t>
            </w:r>
            <w:proofErr w:type="spellStart"/>
            <w:r w:rsidRPr="00BB4B06">
              <w:rPr>
                <w:b w:val="0"/>
                <w:i/>
                <w:highlight w:val="yellow"/>
                <w:vertAlign w:val="subscript"/>
              </w:rPr>
              <w:t>i</w:t>
            </w:r>
            <w:proofErr w:type="spellEnd"/>
            <w:r w:rsidRPr="00BB4B06">
              <w:rPr>
                <w:b w:val="0"/>
                <w:i/>
                <w:highlight w:val="yellow"/>
              </w:rPr>
              <w:t xml:space="preserve"> </w:t>
            </w:r>
            <w:r w:rsidRPr="00BB4B06">
              <w:rPr>
                <w:b w:val="0"/>
                <w:i/>
                <w:highlight w:val="yellow"/>
                <w:vertAlign w:val="subscript"/>
              </w:rPr>
              <w:t>Total</w:t>
            </w:r>
          </w:p>
        </w:tc>
        <w:tc>
          <w:tcPr>
            <w:tcW w:w="810" w:type="dxa"/>
          </w:tcPr>
          <w:p w:rsidR="00BB4B06" w:rsidRPr="00BB4B06" w:rsidRDefault="00BB4B06" w:rsidP="00BA2322">
            <w:pPr>
              <w:pStyle w:val="TableHead"/>
              <w:spacing w:after="60"/>
              <w:rPr>
                <w:b w:val="0"/>
                <w:highlight w:val="yellow"/>
              </w:rPr>
            </w:pPr>
            <w:proofErr w:type="spellStart"/>
            <w:r w:rsidRPr="00BB4B06">
              <w:rPr>
                <w:b w:val="0"/>
                <w:highlight w:val="yellow"/>
              </w:rPr>
              <w:t>MWh</w:t>
            </w:r>
            <w:proofErr w:type="spellEnd"/>
          </w:p>
        </w:tc>
        <w:tc>
          <w:tcPr>
            <w:tcW w:w="6665" w:type="dxa"/>
          </w:tcPr>
          <w:p w:rsidR="00BB4B06" w:rsidRPr="00BB4B06" w:rsidRDefault="00BB4B06" w:rsidP="00BA2322">
            <w:pPr>
              <w:pStyle w:val="TableHead"/>
              <w:spacing w:after="60"/>
              <w:rPr>
                <w:b w:val="0"/>
                <w:highlight w:val="yellow"/>
              </w:rPr>
            </w:pPr>
            <w:r w:rsidRPr="00BB4B06">
              <w:rPr>
                <w:b w:val="0"/>
                <w:highlight w:val="yellow"/>
              </w:rPr>
              <w:t>Total ERCOT internal generation plus sum of approved ERCOT DC Tie imports.</w:t>
            </w:r>
          </w:p>
        </w:tc>
      </w:tr>
      <w:tr w:rsidR="00BB4B06" w:rsidTr="00BA2322">
        <w:tc>
          <w:tcPr>
            <w:tcW w:w="2365" w:type="dxa"/>
          </w:tcPr>
          <w:p w:rsidR="00BB4B06" w:rsidRPr="00F12E81" w:rsidRDefault="00BB4B06" w:rsidP="00BA2322">
            <w:pPr>
              <w:pStyle w:val="TableHead"/>
              <w:spacing w:after="60"/>
              <w:rPr>
                <w:b w:val="0"/>
              </w:rPr>
            </w:pPr>
            <w:r w:rsidRPr="00F12E81">
              <w:rPr>
                <w:b w:val="0"/>
              </w:rPr>
              <w:t xml:space="preserve">ERCOT Net Loss Adjusted Load  </w:t>
            </w:r>
            <w:proofErr w:type="spellStart"/>
            <w:r w:rsidRPr="00F12E81">
              <w:rPr>
                <w:b w:val="0"/>
                <w:i/>
                <w:vertAlign w:val="subscript"/>
              </w:rPr>
              <w:t>i</w:t>
            </w:r>
            <w:proofErr w:type="spellEnd"/>
            <w:r w:rsidRPr="00F12E81">
              <w:rPr>
                <w:b w:val="0"/>
                <w:i/>
              </w:rPr>
              <w:t xml:space="preserve"> </w:t>
            </w:r>
            <w:r w:rsidRPr="00F12E81">
              <w:rPr>
                <w:b w:val="0"/>
                <w:i/>
                <w:vertAlign w:val="subscript"/>
              </w:rPr>
              <w:t>Total</w:t>
            </w:r>
          </w:p>
        </w:tc>
        <w:tc>
          <w:tcPr>
            <w:tcW w:w="810" w:type="dxa"/>
          </w:tcPr>
          <w:p w:rsidR="00BB4B06" w:rsidRDefault="00BB4B06" w:rsidP="00BA2322">
            <w:pPr>
              <w:pStyle w:val="TableHead"/>
              <w:spacing w:after="60"/>
              <w:rPr>
                <w:b w:val="0"/>
              </w:rPr>
            </w:pPr>
            <w:proofErr w:type="spellStart"/>
            <w:r>
              <w:rPr>
                <w:b w:val="0"/>
              </w:rPr>
              <w:t>MWh</w:t>
            </w:r>
            <w:proofErr w:type="spellEnd"/>
          </w:p>
        </w:tc>
        <w:tc>
          <w:tcPr>
            <w:tcW w:w="6665" w:type="dxa"/>
          </w:tcPr>
          <w:p w:rsidR="00BB4B06" w:rsidRDefault="00BB4B06" w:rsidP="00BA2322">
            <w:pPr>
              <w:pStyle w:val="TableHead"/>
              <w:spacing w:after="60"/>
              <w:rPr>
                <w:b w:val="0"/>
              </w:rPr>
            </w:pPr>
            <w:r>
              <w:rPr>
                <w:b w:val="0"/>
              </w:rPr>
              <w:t xml:space="preserve">Total ERCOT load plus Block Load Transfer (BLT) exports plus sum of approved DC Tie exports, adjusted for distribution and transmission losses.  Exports associated with </w:t>
            </w:r>
            <w:proofErr w:type="spellStart"/>
            <w:r>
              <w:rPr>
                <w:b w:val="0"/>
              </w:rPr>
              <w:t>Oklaunion</w:t>
            </w:r>
            <w:proofErr w:type="spellEnd"/>
            <w:r>
              <w:rPr>
                <w:b w:val="0"/>
              </w:rPr>
              <w:t xml:space="preserve"> exempt QSEs do not receive distribution or transmission losses.</w:t>
            </w:r>
          </w:p>
        </w:tc>
      </w:tr>
      <w:tr w:rsidR="00BB4B06" w:rsidTr="00BA2322">
        <w:tc>
          <w:tcPr>
            <w:tcW w:w="2365" w:type="dxa"/>
            <w:tcBorders>
              <w:top w:val="single" w:sz="4" w:space="0" w:color="auto"/>
              <w:left w:val="single" w:sz="4" w:space="0" w:color="auto"/>
              <w:bottom w:val="single" w:sz="4" w:space="0" w:color="auto"/>
              <w:right w:val="single" w:sz="4" w:space="0" w:color="auto"/>
            </w:tcBorders>
          </w:tcPr>
          <w:p w:rsidR="00BB4B06" w:rsidRPr="00F12E81" w:rsidRDefault="00BB4B06" w:rsidP="00BA2322">
            <w:pPr>
              <w:pStyle w:val="TableHead"/>
              <w:spacing w:after="60"/>
              <w:rPr>
                <w:b w:val="0"/>
              </w:rPr>
            </w:pPr>
            <w:proofErr w:type="spellStart"/>
            <w:r>
              <w:rPr>
                <w:b w:val="0"/>
              </w:rPr>
              <w:t>i</w:t>
            </w:r>
            <w:proofErr w:type="spellEnd"/>
          </w:p>
        </w:tc>
        <w:tc>
          <w:tcPr>
            <w:tcW w:w="810" w:type="dxa"/>
            <w:tcBorders>
              <w:top w:val="single" w:sz="4" w:space="0" w:color="auto"/>
              <w:left w:val="single" w:sz="4" w:space="0" w:color="auto"/>
              <w:bottom w:val="single" w:sz="4" w:space="0" w:color="auto"/>
              <w:right w:val="single" w:sz="4" w:space="0" w:color="auto"/>
            </w:tcBorders>
          </w:tcPr>
          <w:p w:rsidR="00BB4B06" w:rsidRDefault="00BB4B06" w:rsidP="00BA2322">
            <w:pPr>
              <w:pStyle w:val="TableHead"/>
              <w:spacing w:after="60"/>
              <w:rPr>
                <w:b w:val="0"/>
              </w:rPr>
            </w:pPr>
          </w:p>
        </w:tc>
        <w:tc>
          <w:tcPr>
            <w:tcW w:w="6665" w:type="dxa"/>
            <w:tcBorders>
              <w:top w:val="single" w:sz="4" w:space="0" w:color="auto"/>
              <w:left w:val="single" w:sz="4" w:space="0" w:color="auto"/>
              <w:bottom w:val="single" w:sz="4" w:space="0" w:color="auto"/>
              <w:right w:val="single" w:sz="4" w:space="0" w:color="auto"/>
            </w:tcBorders>
          </w:tcPr>
          <w:p w:rsidR="00BB4B06" w:rsidRDefault="00BB4B06" w:rsidP="00BA2322">
            <w:pPr>
              <w:pStyle w:val="TableHead"/>
              <w:spacing w:after="60"/>
              <w:rPr>
                <w:b w:val="0"/>
              </w:rPr>
            </w:pPr>
            <w:r>
              <w:rPr>
                <w:b w:val="0"/>
              </w:rPr>
              <w:t>Interval</w:t>
            </w:r>
          </w:p>
        </w:tc>
      </w:tr>
    </w:tbl>
    <w:p w:rsidR="00BB4B06" w:rsidRPr="00BB4B06" w:rsidRDefault="00BB4B06" w:rsidP="00BB4B06">
      <w:pPr>
        <w:pStyle w:val="BodyText"/>
        <w:ind w:left="720" w:hanging="720"/>
        <w:rPr>
          <w:rFonts w:ascii="Times New Roman" w:hAnsi="Times New Roman" w:cs="Times New Roman"/>
          <w:sz w:val="24"/>
          <w:szCs w:val="24"/>
        </w:rPr>
      </w:pPr>
    </w:p>
    <w:p w:rsidR="00BB4B06" w:rsidRPr="008B1244" w:rsidRDefault="00BB4B06" w:rsidP="008B1244">
      <w:pPr>
        <w:pStyle w:val="BodyText"/>
        <w:ind w:left="720" w:hanging="720"/>
        <w:rPr>
          <w:rFonts w:ascii="Times New Roman" w:hAnsi="Times New Roman" w:cs="Times New Roman"/>
          <w:sz w:val="24"/>
          <w:szCs w:val="24"/>
        </w:rPr>
      </w:pPr>
    </w:p>
    <w:p w:rsidR="008B1244" w:rsidRDefault="008B1244" w:rsidP="008B1244">
      <w:pPr>
        <w:pStyle w:val="BodyTextNumbered"/>
      </w:pPr>
    </w:p>
    <w:p w:rsidR="008B1244" w:rsidRDefault="008B1244" w:rsidP="008B1244">
      <w:pPr>
        <w:pStyle w:val="BodyTextNumbered"/>
      </w:pPr>
    </w:p>
    <w:p w:rsidR="008B1244" w:rsidRPr="008B1244" w:rsidRDefault="008B1244" w:rsidP="008B1244">
      <w:pPr>
        <w:spacing w:after="0" w:line="240" w:lineRule="auto"/>
        <w:rPr>
          <w:b/>
          <w:sz w:val="24"/>
          <w:szCs w:val="24"/>
          <w:u w:val="single"/>
        </w:rPr>
      </w:pPr>
    </w:p>
    <w:sectPr w:rsidR="008B1244" w:rsidRPr="008B1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44"/>
    <w:rsid w:val="006D7B4F"/>
    <w:rsid w:val="008B1244"/>
    <w:rsid w:val="00BB4B06"/>
    <w:rsid w:val="00E5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FB8B3-C7AF-47D5-90A7-B19961FA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B12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B12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B4B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aliases w:val=" Char2 Char Char Char Char"/>
    <w:basedOn w:val="Normal"/>
    <w:link w:val="ListChar"/>
    <w:rsid w:val="008B1244"/>
    <w:pPr>
      <w:spacing w:after="240" w:line="240" w:lineRule="auto"/>
      <w:ind w:left="1440" w:hanging="720"/>
    </w:pPr>
    <w:rPr>
      <w:rFonts w:ascii="Times New Roman" w:eastAsia="Times New Roman" w:hAnsi="Times New Roman" w:cs="Times New Roman"/>
      <w:sz w:val="24"/>
      <w:szCs w:val="20"/>
    </w:rPr>
  </w:style>
  <w:style w:type="character" w:customStyle="1" w:styleId="ListChar">
    <w:name w:val="List Char"/>
    <w:aliases w:val=" Char2 Char Char Char Char Char"/>
    <w:link w:val="List"/>
    <w:rsid w:val="008B1244"/>
    <w:rPr>
      <w:rFonts w:ascii="Times New Roman" w:eastAsia="Times New Roman" w:hAnsi="Times New Roman" w:cs="Times New Roman"/>
      <w:sz w:val="24"/>
      <w:szCs w:val="20"/>
    </w:rPr>
  </w:style>
  <w:style w:type="paragraph" w:customStyle="1" w:styleId="H3">
    <w:name w:val="H3"/>
    <w:basedOn w:val="Heading3"/>
    <w:next w:val="BodyText"/>
    <w:link w:val="H3Char1"/>
    <w:rsid w:val="008B1244"/>
    <w:pPr>
      <w:keepLines w:val="0"/>
      <w:tabs>
        <w:tab w:val="left" w:pos="1080"/>
      </w:tabs>
      <w:spacing w:before="240" w:after="240" w:line="240" w:lineRule="auto"/>
      <w:ind w:left="1080" w:hanging="1080"/>
    </w:pPr>
    <w:rPr>
      <w:rFonts w:ascii="Times New Roman" w:eastAsia="Times New Roman" w:hAnsi="Times New Roman" w:cs="Times New Roman"/>
      <w:color w:val="auto"/>
      <w:szCs w:val="20"/>
    </w:rPr>
  </w:style>
  <w:style w:type="character" w:customStyle="1" w:styleId="H3Char1">
    <w:name w:val="H3 Char1"/>
    <w:link w:val="H3"/>
    <w:rsid w:val="008B1244"/>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
    <w:rsid w:val="008B1244"/>
    <w:pPr>
      <w:spacing w:after="240" w:line="240" w:lineRule="auto"/>
      <w:ind w:left="720" w:hanging="720"/>
    </w:pPr>
    <w:rPr>
      <w:rFonts w:ascii="Times New Roman" w:eastAsia="Times New Roman" w:hAnsi="Times New Roman" w:cs="Times New Roman"/>
      <w:sz w:val="24"/>
      <w:szCs w:val="20"/>
    </w:rPr>
  </w:style>
  <w:style w:type="character" w:customStyle="1" w:styleId="BodyTextNumberedChar">
    <w:name w:val="Body Text Numbered Char"/>
    <w:link w:val="BodyTextNumbered"/>
    <w:rsid w:val="008B1244"/>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8B1244"/>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8B1244"/>
    <w:pPr>
      <w:spacing w:after="120"/>
    </w:pPr>
  </w:style>
  <w:style w:type="character" w:customStyle="1" w:styleId="BodyTextChar">
    <w:name w:val="Body Text Char"/>
    <w:basedOn w:val="DefaultParagraphFont"/>
    <w:link w:val="BodyText"/>
    <w:uiPriority w:val="99"/>
    <w:semiHidden/>
    <w:rsid w:val="008B1244"/>
  </w:style>
  <w:style w:type="paragraph" w:customStyle="1" w:styleId="H2">
    <w:name w:val="H2"/>
    <w:basedOn w:val="Heading2"/>
    <w:next w:val="BodyText"/>
    <w:link w:val="H2Char"/>
    <w:rsid w:val="008B1244"/>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8B1244"/>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semiHidden/>
    <w:rsid w:val="008B1244"/>
    <w:rPr>
      <w:rFonts w:asciiTheme="majorHAnsi" w:eastAsiaTheme="majorEastAsia" w:hAnsiTheme="majorHAnsi" w:cstheme="majorBidi"/>
      <w:color w:val="2E74B5" w:themeColor="accent1" w:themeShade="BF"/>
      <w:sz w:val="26"/>
      <w:szCs w:val="26"/>
    </w:rPr>
  </w:style>
  <w:style w:type="character" w:customStyle="1" w:styleId="H3Char">
    <w:name w:val="H3 Char"/>
    <w:rsid w:val="008B1244"/>
    <w:rPr>
      <w:b/>
      <w:bCs/>
      <w:i/>
      <w:sz w:val="24"/>
      <w:szCs w:val="24"/>
      <w:lang w:val="en-US" w:eastAsia="en-US" w:bidi="ar-SA"/>
    </w:rPr>
  </w:style>
  <w:style w:type="character" w:customStyle="1" w:styleId="BodyTextCharChar">
    <w:name w:val="Body Text Char Char"/>
    <w:aliases w:val=" Char Char Char Char1"/>
    <w:rsid w:val="008B1244"/>
    <w:rPr>
      <w:iCs/>
      <w:sz w:val="24"/>
      <w:lang w:val="en-US" w:eastAsia="en-US" w:bidi="ar-SA"/>
    </w:rPr>
  </w:style>
  <w:style w:type="paragraph" w:customStyle="1" w:styleId="FormulaBold">
    <w:name w:val="Formula Bold"/>
    <w:basedOn w:val="Normal"/>
    <w:autoRedefine/>
    <w:rsid w:val="00BB4B06"/>
    <w:pPr>
      <w:tabs>
        <w:tab w:val="left" w:pos="2340"/>
        <w:tab w:val="left" w:pos="3420"/>
      </w:tabs>
      <w:spacing w:after="240" w:line="240" w:lineRule="auto"/>
      <w:ind w:left="3420" w:hanging="2700"/>
    </w:pPr>
    <w:rPr>
      <w:rFonts w:ascii="Times New Roman" w:eastAsia="Times New Roman" w:hAnsi="Times New Roman" w:cs="Times New Roman"/>
      <w:b/>
      <w:bCs/>
      <w:sz w:val="24"/>
      <w:szCs w:val="24"/>
    </w:rPr>
  </w:style>
  <w:style w:type="paragraph" w:customStyle="1" w:styleId="H4">
    <w:name w:val="H4"/>
    <w:basedOn w:val="Heading4"/>
    <w:next w:val="BodyText"/>
    <w:link w:val="H4Char"/>
    <w:rsid w:val="00BB4B06"/>
    <w:pPr>
      <w:keepLines w:val="0"/>
      <w:widowControl w:val="0"/>
      <w:tabs>
        <w:tab w:val="left" w:pos="1260"/>
      </w:tabs>
      <w:spacing w:before="240" w:after="240" w:line="240" w:lineRule="auto"/>
      <w:ind w:left="1260" w:hanging="1260"/>
    </w:pPr>
    <w:rPr>
      <w:rFonts w:ascii="Times New Roman" w:eastAsia="Times New Roman" w:hAnsi="Times New Roman" w:cs="Times New Roman"/>
      <w:b/>
      <w:bCs/>
      <w:i w:val="0"/>
      <w:iCs w:val="0"/>
      <w:snapToGrid w:val="0"/>
      <w:color w:val="auto"/>
      <w:sz w:val="24"/>
      <w:szCs w:val="20"/>
    </w:rPr>
  </w:style>
  <w:style w:type="paragraph" w:customStyle="1" w:styleId="TableHead">
    <w:name w:val="Table Head"/>
    <w:basedOn w:val="BodyText"/>
    <w:rsid w:val="00BB4B06"/>
    <w:pPr>
      <w:spacing w:after="240" w:line="240" w:lineRule="auto"/>
    </w:pPr>
    <w:rPr>
      <w:rFonts w:ascii="Times New Roman" w:eastAsia="Times New Roman" w:hAnsi="Times New Roman" w:cs="Times New Roman"/>
      <w:b/>
      <w:iCs/>
      <w:sz w:val="20"/>
      <w:szCs w:val="20"/>
    </w:rPr>
  </w:style>
  <w:style w:type="character" w:customStyle="1" w:styleId="H4Char">
    <w:name w:val="H4 Char"/>
    <w:link w:val="H4"/>
    <w:locked/>
    <w:rsid w:val="00BB4B06"/>
    <w:rPr>
      <w:rFonts w:ascii="Times New Roman" w:eastAsia="Times New Roman" w:hAnsi="Times New Roman" w:cs="Times New Roman"/>
      <w:b/>
      <w:bCs/>
      <w:snapToGrid w:val="0"/>
      <w:sz w:val="24"/>
      <w:szCs w:val="20"/>
    </w:rPr>
  </w:style>
  <w:style w:type="character" w:customStyle="1" w:styleId="Heading4Char">
    <w:name w:val="Heading 4 Char"/>
    <w:basedOn w:val="DefaultParagraphFont"/>
    <w:link w:val="Heading4"/>
    <w:uiPriority w:val="9"/>
    <w:semiHidden/>
    <w:rsid w:val="00BB4B0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Randy</dc:creator>
  <cp:keywords/>
  <dc:description/>
  <cp:lastModifiedBy>Roberts, Randy</cp:lastModifiedBy>
  <cp:revision>2</cp:revision>
  <dcterms:created xsi:type="dcterms:W3CDTF">2016-12-13T15:38:00Z</dcterms:created>
  <dcterms:modified xsi:type="dcterms:W3CDTF">2016-12-13T16:16:00Z</dcterms:modified>
</cp:coreProperties>
</file>