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E9" w:rsidRPr="001D6606" w:rsidRDefault="00A409E9" w:rsidP="005B7CDA">
      <w:pPr>
        <w:jc w:val="center"/>
        <w:rPr>
          <w:rFonts w:cs="Arial"/>
          <w:b/>
          <w:sz w:val="24"/>
          <w:szCs w:val="24"/>
        </w:rPr>
      </w:pPr>
      <w:bookmarkStart w:id="0" w:name="_GoBack"/>
      <w:bookmarkEnd w:id="0"/>
      <w:r w:rsidRPr="001D6606">
        <w:rPr>
          <w:rFonts w:cs="Arial"/>
          <w:b/>
          <w:sz w:val="24"/>
          <w:szCs w:val="24"/>
        </w:rPr>
        <w:t>R</w:t>
      </w:r>
      <w:r w:rsidR="00FD295F">
        <w:rPr>
          <w:rFonts w:cs="Arial"/>
          <w:b/>
          <w:sz w:val="24"/>
          <w:szCs w:val="24"/>
        </w:rPr>
        <w:t>6</w:t>
      </w:r>
      <w:r w:rsidRPr="001D6606">
        <w:rPr>
          <w:rFonts w:cs="Arial"/>
          <w:b/>
          <w:sz w:val="24"/>
          <w:szCs w:val="24"/>
        </w:rPr>
        <w:t xml:space="preserve"> </w:t>
      </w:r>
      <w:r w:rsidR="003A1CEB">
        <w:rPr>
          <w:rFonts w:cs="Arial"/>
          <w:b/>
          <w:sz w:val="24"/>
          <w:szCs w:val="24"/>
        </w:rPr>
        <w:t xml:space="preserve">2016 </w:t>
      </w:r>
      <w:r w:rsidRPr="001D6606">
        <w:rPr>
          <w:rFonts w:cs="Arial"/>
          <w:b/>
          <w:sz w:val="24"/>
          <w:szCs w:val="24"/>
        </w:rPr>
        <w:t>Market Facing Changes</w:t>
      </w:r>
      <w:r w:rsidR="00D36670">
        <w:rPr>
          <w:rFonts w:cs="Arial"/>
          <w:b/>
          <w:sz w:val="24"/>
          <w:szCs w:val="24"/>
        </w:rPr>
        <w:t xml:space="preserve"> (PROD Release </w:t>
      </w:r>
      <w:r w:rsidR="00FD295F">
        <w:rPr>
          <w:rFonts w:cs="Arial"/>
          <w:b/>
          <w:sz w:val="24"/>
          <w:szCs w:val="24"/>
        </w:rPr>
        <w:t>12/06</w:t>
      </w:r>
      <w:r w:rsidR="00D36670">
        <w:rPr>
          <w:rFonts w:cs="Arial"/>
          <w:b/>
          <w:sz w:val="24"/>
          <w:szCs w:val="24"/>
        </w:rPr>
        <w:t xml:space="preserve"> – </w:t>
      </w:r>
      <w:r w:rsidR="00FD295F">
        <w:rPr>
          <w:rFonts w:cs="Arial"/>
          <w:b/>
          <w:sz w:val="24"/>
          <w:szCs w:val="24"/>
        </w:rPr>
        <w:t>12/08</w:t>
      </w:r>
      <w:r w:rsidR="00D36670">
        <w:rPr>
          <w:rFonts w:cs="Arial"/>
          <w:b/>
          <w:sz w:val="24"/>
          <w:szCs w:val="24"/>
        </w:rPr>
        <w:t>)</w:t>
      </w:r>
    </w:p>
    <w:p w:rsidR="00093C2B" w:rsidRDefault="00093C2B" w:rsidP="00093C2B">
      <w:r w:rsidRPr="001D6606">
        <w:rPr>
          <w:rFonts w:cs="Arial"/>
          <w:sz w:val="20"/>
          <w:szCs w:val="20"/>
        </w:rPr>
        <w:t xml:space="preserve">From Market Notice </w:t>
      </w:r>
      <w:r w:rsidR="00FD295F">
        <w:t>M-C110416-02 Implementation of market-facing changes for December 2016 </w:t>
      </w:r>
    </w:p>
    <w:tbl>
      <w:tblPr>
        <w:tblW w:w="10100" w:type="dxa"/>
        <w:tblInd w:w="-5" w:type="dxa"/>
        <w:tblLook w:val="04A0" w:firstRow="1" w:lastRow="0" w:firstColumn="1" w:lastColumn="0" w:noHBand="0" w:noVBand="1"/>
      </w:tblPr>
      <w:tblGrid>
        <w:gridCol w:w="1800"/>
        <w:gridCol w:w="8300"/>
      </w:tblGrid>
      <w:tr w:rsidR="00FD295F" w:rsidRPr="00FD295F" w:rsidTr="00FD295F">
        <w:trPr>
          <w:trHeight w:val="1230"/>
        </w:trPr>
        <w:tc>
          <w:tcPr>
            <w:tcW w:w="1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D295F" w:rsidRPr="00FD295F" w:rsidRDefault="00FD295F" w:rsidP="00FD295F">
            <w:pPr>
              <w:spacing w:after="0" w:line="240" w:lineRule="auto"/>
              <w:jc w:val="center"/>
              <w:rPr>
                <w:rFonts w:ascii="Calibri" w:eastAsia="Times New Roman" w:hAnsi="Calibri" w:cs="Times New Roman"/>
                <w:color w:val="000000"/>
              </w:rPr>
            </w:pPr>
            <w:r w:rsidRPr="00FD295F">
              <w:rPr>
                <w:rFonts w:ascii="Calibri" w:eastAsia="Times New Roman" w:hAnsi="Calibri" w:cs="Times New Roman"/>
                <w:b/>
                <w:bCs/>
                <w:color w:val="000000"/>
              </w:rPr>
              <w:t>Change ID</w:t>
            </w:r>
          </w:p>
        </w:tc>
        <w:tc>
          <w:tcPr>
            <w:tcW w:w="8300" w:type="dxa"/>
            <w:tcBorders>
              <w:top w:val="single" w:sz="4" w:space="0" w:color="auto"/>
              <w:left w:val="nil"/>
              <w:bottom w:val="single" w:sz="4" w:space="0" w:color="auto"/>
              <w:right w:val="single" w:sz="4" w:space="0" w:color="auto"/>
            </w:tcBorders>
            <w:shd w:val="clear" w:color="000000" w:fill="D9D9D9"/>
            <w:vAlign w:val="center"/>
            <w:hideMark/>
          </w:tcPr>
          <w:p w:rsidR="00FD295F" w:rsidRPr="00FD295F" w:rsidRDefault="00FD295F" w:rsidP="00FD295F">
            <w:pPr>
              <w:spacing w:after="0" w:line="240" w:lineRule="auto"/>
              <w:jc w:val="center"/>
              <w:rPr>
                <w:rFonts w:ascii="Calibri" w:eastAsia="Times New Roman" w:hAnsi="Calibri" w:cs="Times New Roman"/>
                <w:b/>
                <w:bCs/>
                <w:color w:val="000000"/>
              </w:rPr>
            </w:pPr>
            <w:r w:rsidRPr="00FD295F">
              <w:rPr>
                <w:rFonts w:ascii="Calibri" w:eastAsia="Times New Roman" w:hAnsi="Calibri" w:cs="Times New Roman"/>
                <w:b/>
                <w:bCs/>
                <w:color w:val="000000"/>
              </w:rPr>
              <w:t>Market Notice Description</w:t>
            </w:r>
          </w:p>
        </w:tc>
      </w:tr>
      <w:tr w:rsidR="00FD295F" w:rsidRPr="00FD295F" w:rsidTr="00FD295F">
        <w:trPr>
          <w:trHeight w:val="1601"/>
        </w:trPr>
        <w:tc>
          <w:tcPr>
            <w:tcW w:w="1800" w:type="dxa"/>
            <w:tcBorders>
              <w:top w:val="nil"/>
              <w:left w:val="single" w:sz="4" w:space="0" w:color="auto"/>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color w:val="000000"/>
              </w:rPr>
            </w:pPr>
            <w:r w:rsidRPr="00FD295F">
              <w:rPr>
                <w:rFonts w:ascii="Calibri" w:eastAsia="Times New Roman" w:hAnsi="Calibri" w:cs="Times New Roman"/>
                <w:color w:val="000000"/>
              </w:rPr>
              <w:t>ITCM-38196</w:t>
            </w:r>
            <w:r w:rsidRPr="00FD295F">
              <w:rPr>
                <w:rFonts w:ascii="Calibri" w:eastAsia="Times New Roman" w:hAnsi="Calibri" w:cs="Times New Roman"/>
                <w:color w:val="000000"/>
              </w:rPr>
              <w:br/>
              <w:t>ITCM- 32134</w:t>
            </w:r>
            <w:r w:rsidRPr="00FD295F">
              <w:rPr>
                <w:rFonts w:ascii="Calibri" w:eastAsia="Times New Roman" w:hAnsi="Calibri" w:cs="Times New Roman"/>
                <w:color w:val="000000"/>
              </w:rPr>
              <w:br/>
              <w:t>ITCM-32028</w:t>
            </w:r>
            <w:r w:rsidRPr="00FD295F">
              <w:rPr>
                <w:rFonts w:ascii="Calibri" w:eastAsia="Times New Roman" w:hAnsi="Calibri" w:cs="Times New Roman"/>
                <w:color w:val="000000"/>
              </w:rPr>
              <w:br/>
              <w:t>ITCM-32027</w:t>
            </w:r>
            <w:r w:rsidRPr="00FD295F">
              <w:rPr>
                <w:rFonts w:ascii="Calibri" w:eastAsia="Times New Roman" w:hAnsi="Calibri" w:cs="Times New Roman"/>
                <w:color w:val="000000"/>
              </w:rPr>
              <w:br/>
              <w:t>PR204-01</w:t>
            </w:r>
            <w:r w:rsidRPr="00FD295F">
              <w:rPr>
                <w:rFonts w:ascii="Calibri" w:eastAsia="Times New Roman" w:hAnsi="Calibri" w:cs="Times New Roman"/>
                <w:color w:val="000000"/>
              </w:rPr>
              <w:br/>
              <w:t>NPRR754</w:t>
            </w:r>
          </w:p>
        </w:tc>
        <w:tc>
          <w:tcPr>
            <w:tcW w:w="8300" w:type="dxa"/>
            <w:tcBorders>
              <w:top w:val="nil"/>
              <w:left w:val="nil"/>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color w:val="000000"/>
              </w:rPr>
            </w:pPr>
            <w:r w:rsidRPr="00FD295F">
              <w:rPr>
                <w:rFonts w:ascii="Calibri" w:eastAsia="Times New Roman" w:hAnsi="Calibri" w:cs="Times New Roman"/>
                <w:color w:val="000000"/>
              </w:rPr>
              <w:t>MIS and ERCOT.com: Change link name from Load Forecast Distribution Factors to Load Distribution Factors (EMIL ID NP4-159-CD, Report ID 12324)</w:t>
            </w:r>
            <w:r w:rsidR="003A1CEB">
              <w:rPr>
                <w:rFonts w:ascii="Calibri" w:eastAsia="Times New Roman" w:hAnsi="Calibri" w:cs="Times New Roman"/>
                <w:color w:val="000000"/>
              </w:rPr>
              <w:t xml:space="preserve"> </w:t>
            </w:r>
            <w:r w:rsidRPr="00FD295F">
              <w:rPr>
                <w:rFonts w:ascii="Calibri" w:eastAsia="Times New Roman" w:hAnsi="Calibri" w:cs="Times New Roman"/>
                <w:color w:val="000000"/>
              </w:rPr>
              <w:t>NPRR754 updates the posting frequency for the Load Distribution Factors CDR report to mirror the timeframe that the factors are actually updated in the EMS and MMS systems.</w:t>
            </w:r>
          </w:p>
        </w:tc>
      </w:tr>
      <w:tr w:rsidR="00FD295F" w:rsidRPr="00FD295F" w:rsidTr="00FD295F">
        <w:trPr>
          <w:trHeight w:val="1151"/>
        </w:trPr>
        <w:tc>
          <w:tcPr>
            <w:tcW w:w="1800" w:type="dxa"/>
            <w:tcBorders>
              <w:top w:val="nil"/>
              <w:left w:val="single" w:sz="4" w:space="0" w:color="auto"/>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color w:val="000000"/>
              </w:rPr>
            </w:pPr>
            <w:r w:rsidRPr="00FD295F">
              <w:rPr>
                <w:rFonts w:ascii="Calibri" w:eastAsia="Times New Roman" w:hAnsi="Calibri" w:cs="Times New Roman"/>
                <w:color w:val="000000"/>
              </w:rPr>
              <w:t>ITCM-36822</w:t>
            </w:r>
            <w:r w:rsidRPr="00FD295F">
              <w:rPr>
                <w:rFonts w:ascii="Calibri" w:eastAsia="Times New Roman" w:hAnsi="Calibri" w:cs="Times New Roman"/>
                <w:color w:val="000000"/>
              </w:rPr>
              <w:br/>
              <w:t>SCR788</w:t>
            </w:r>
          </w:p>
        </w:tc>
        <w:tc>
          <w:tcPr>
            <w:tcW w:w="8300" w:type="dxa"/>
            <w:tcBorders>
              <w:top w:val="nil"/>
              <w:left w:val="nil"/>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color w:val="000000"/>
              </w:rPr>
            </w:pPr>
            <w:r w:rsidRPr="00FD295F">
              <w:rPr>
                <w:rFonts w:ascii="Calibri" w:eastAsia="Times New Roman" w:hAnsi="Calibri" w:cs="Times New Roman"/>
                <w:color w:val="000000"/>
              </w:rPr>
              <w:t xml:space="preserve">SCR788 updates the formula used by the Resource Limit Calculator to calculate the Generation To Be Dispatched (GTBD) value.  The update will include the addition of Area Control Error (ACE) Integral times a configurable factor that captures the long-term Dispatch trend to help minimize GTBD oscillations from one Security-Constrained Economic Dispatch (SCED) interval to the next. </w:t>
            </w:r>
          </w:p>
        </w:tc>
      </w:tr>
      <w:tr w:rsidR="00FD295F" w:rsidRPr="00FD295F" w:rsidTr="00FD295F">
        <w:trPr>
          <w:trHeight w:val="1331"/>
        </w:trPr>
        <w:tc>
          <w:tcPr>
            <w:tcW w:w="1800" w:type="dxa"/>
            <w:tcBorders>
              <w:top w:val="nil"/>
              <w:left w:val="single" w:sz="4" w:space="0" w:color="auto"/>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color w:val="000000"/>
              </w:rPr>
            </w:pPr>
            <w:r w:rsidRPr="00FD295F">
              <w:rPr>
                <w:rFonts w:ascii="Calibri" w:eastAsia="Times New Roman" w:hAnsi="Calibri" w:cs="Times New Roman"/>
                <w:color w:val="000000"/>
              </w:rPr>
              <w:t>ITCM-28886</w:t>
            </w:r>
            <w:r w:rsidRPr="00FD295F">
              <w:rPr>
                <w:rFonts w:ascii="Calibri" w:eastAsia="Times New Roman" w:hAnsi="Calibri" w:cs="Times New Roman"/>
                <w:color w:val="000000"/>
              </w:rPr>
              <w:br/>
              <w:t>PR199-01</w:t>
            </w:r>
            <w:r w:rsidRPr="00FD295F">
              <w:rPr>
                <w:rFonts w:ascii="Calibri" w:eastAsia="Times New Roman" w:hAnsi="Calibri" w:cs="Times New Roman"/>
                <w:color w:val="000000"/>
              </w:rPr>
              <w:br/>
              <w:t>NOGRR147</w:t>
            </w:r>
            <w:r w:rsidRPr="00FD295F">
              <w:rPr>
                <w:rFonts w:ascii="Calibri" w:eastAsia="Times New Roman" w:hAnsi="Calibri" w:cs="Times New Roman"/>
                <w:color w:val="000000"/>
              </w:rPr>
              <w:br/>
              <w:t>NPRR713</w:t>
            </w:r>
            <w:r w:rsidRPr="00FD295F">
              <w:rPr>
                <w:rFonts w:ascii="Calibri" w:eastAsia="Times New Roman" w:hAnsi="Calibri" w:cs="Times New Roman"/>
                <w:color w:val="000000"/>
              </w:rPr>
              <w:br/>
              <w:t>SCR787</w:t>
            </w:r>
          </w:p>
        </w:tc>
        <w:tc>
          <w:tcPr>
            <w:tcW w:w="8300" w:type="dxa"/>
            <w:tcBorders>
              <w:top w:val="nil"/>
              <w:left w:val="nil"/>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color w:val="000000"/>
              </w:rPr>
            </w:pPr>
            <w:r w:rsidRPr="00FD295F">
              <w:rPr>
                <w:rFonts w:ascii="Calibri" w:eastAsia="Times New Roman" w:hAnsi="Calibri" w:cs="Times New Roman"/>
                <w:color w:val="000000"/>
              </w:rPr>
              <w:t>Enhance NDCRC to satisfy following changes:</w:t>
            </w:r>
            <w:r w:rsidRPr="00FD295F">
              <w:rPr>
                <w:rFonts w:ascii="Calibri" w:eastAsia="Times New Roman" w:hAnsi="Calibri" w:cs="Times New Roman"/>
                <w:color w:val="000000"/>
              </w:rPr>
              <w:br/>
              <w:t>NOGRR147-Reactive Power Testing Requirements</w:t>
            </w:r>
            <w:r w:rsidRPr="00FD295F">
              <w:rPr>
                <w:rFonts w:ascii="Calibri" w:eastAsia="Times New Roman" w:hAnsi="Calibri" w:cs="Times New Roman"/>
                <w:color w:val="000000"/>
              </w:rPr>
              <w:br/>
              <w:t>SCR787-Maintain NDCRC Data for Generator Transfer between REs</w:t>
            </w:r>
          </w:p>
        </w:tc>
      </w:tr>
      <w:tr w:rsidR="00FD295F" w:rsidRPr="00FD295F" w:rsidTr="00FD295F">
        <w:trPr>
          <w:trHeight w:val="242"/>
        </w:trPr>
        <w:tc>
          <w:tcPr>
            <w:tcW w:w="1800" w:type="dxa"/>
            <w:tcBorders>
              <w:top w:val="nil"/>
              <w:left w:val="single" w:sz="4" w:space="0" w:color="auto"/>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color w:val="000000"/>
              </w:rPr>
            </w:pPr>
            <w:r w:rsidRPr="00FD295F">
              <w:rPr>
                <w:rFonts w:ascii="Calibri" w:eastAsia="Times New Roman" w:hAnsi="Calibri" w:cs="Times New Roman"/>
                <w:color w:val="000000"/>
              </w:rPr>
              <w:t>ITCM-26634</w:t>
            </w:r>
          </w:p>
        </w:tc>
        <w:tc>
          <w:tcPr>
            <w:tcW w:w="8300" w:type="dxa"/>
            <w:tcBorders>
              <w:top w:val="nil"/>
              <w:left w:val="nil"/>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color w:val="000000"/>
              </w:rPr>
            </w:pPr>
            <w:r w:rsidRPr="00FD295F">
              <w:rPr>
                <w:rFonts w:ascii="Calibri" w:eastAsia="Times New Roman" w:hAnsi="Calibri" w:cs="Times New Roman"/>
                <w:color w:val="000000"/>
              </w:rPr>
              <w:t>The normal gradient LMP contour maps now display ERCOT boundaries</w:t>
            </w:r>
          </w:p>
        </w:tc>
      </w:tr>
      <w:tr w:rsidR="00FD295F" w:rsidRPr="00FD295F" w:rsidTr="00FD295F">
        <w:trPr>
          <w:trHeight w:val="710"/>
        </w:trPr>
        <w:tc>
          <w:tcPr>
            <w:tcW w:w="1800" w:type="dxa"/>
            <w:tcBorders>
              <w:top w:val="nil"/>
              <w:left w:val="single" w:sz="4" w:space="0" w:color="auto"/>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rPr>
            </w:pPr>
            <w:r w:rsidRPr="00FD295F">
              <w:rPr>
                <w:rFonts w:ascii="Calibri" w:eastAsia="Times New Roman" w:hAnsi="Calibri" w:cs="Times New Roman"/>
              </w:rPr>
              <w:t>ITCM-12949</w:t>
            </w:r>
            <w:r w:rsidRPr="00FD295F">
              <w:rPr>
                <w:rFonts w:ascii="Calibri" w:eastAsia="Times New Roman" w:hAnsi="Calibri" w:cs="Times New Roman"/>
              </w:rPr>
              <w:br/>
              <w:t>ITCM-41597</w:t>
            </w:r>
          </w:p>
        </w:tc>
        <w:tc>
          <w:tcPr>
            <w:tcW w:w="8300" w:type="dxa"/>
            <w:tcBorders>
              <w:top w:val="nil"/>
              <w:left w:val="nil"/>
              <w:bottom w:val="single" w:sz="4" w:space="0" w:color="auto"/>
              <w:right w:val="single" w:sz="4" w:space="0" w:color="auto"/>
            </w:tcBorders>
            <w:shd w:val="clear" w:color="auto" w:fill="auto"/>
            <w:hideMark/>
          </w:tcPr>
          <w:p w:rsidR="00FD295F" w:rsidRPr="00FD295F" w:rsidRDefault="00FD295F" w:rsidP="00FD295F">
            <w:pPr>
              <w:spacing w:after="0" w:line="240" w:lineRule="auto"/>
              <w:rPr>
                <w:rFonts w:ascii="Calibri" w:eastAsia="Times New Roman" w:hAnsi="Calibri" w:cs="Times New Roman"/>
              </w:rPr>
            </w:pPr>
            <w:r w:rsidRPr="00FD295F">
              <w:rPr>
                <w:rFonts w:ascii="Calibri" w:eastAsia="Times New Roman" w:hAnsi="Calibri" w:cs="Times New Roman"/>
              </w:rPr>
              <w:t xml:space="preserve">The Qualified Scheduling Entity List (NP16-474-M, Report ID 14746) will be automated and posted on the MIS Services page &gt; Market Participant Registration and Qualification Public portlet.  </w:t>
            </w:r>
          </w:p>
        </w:tc>
      </w:tr>
    </w:tbl>
    <w:p w:rsidR="00FD295F" w:rsidRDefault="00FD295F" w:rsidP="00093C2B"/>
    <w:p w:rsidR="00586CAB" w:rsidRPr="001D6606" w:rsidRDefault="00586CAB" w:rsidP="00586CAB">
      <w:pPr>
        <w:jc w:val="center"/>
        <w:rPr>
          <w:rFonts w:cs="Arial"/>
          <w:b/>
          <w:sz w:val="24"/>
          <w:szCs w:val="24"/>
        </w:rPr>
      </w:pPr>
      <w:r w:rsidRPr="001D6606">
        <w:rPr>
          <w:rFonts w:cs="Arial"/>
          <w:b/>
          <w:sz w:val="24"/>
          <w:szCs w:val="24"/>
        </w:rPr>
        <w:t>R</w:t>
      </w:r>
      <w:r w:rsidR="009D171A">
        <w:rPr>
          <w:rFonts w:cs="Arial"/>
          <w:b/>
          <w:sz w:val="24"/>
          <w:szCs w:val="24"/>
        </w:rPr>
        <w:t>1</w:t>
      </w:r>
      <w:r>
        <w:rPr>
          <w:rFonts w:cs="Arial"/>
          <w:b/>
          <w:sz w:val="24"/>
          <w:szCs w:val="24"/>
        </w:rPr>
        <w:t xml:space="preserve"> </w:t>
      </w:r>
      <w:r w:rsidR="003A1CEB">
        <w:rPr>
          <w:rFonts w:cs="Arial"/>
          <w:b/>
          <w:sz w:val="24"/>
          <w:szCs w:val="24"/>
        </w:rPr>
        <w:t xml:space="preserve">2017 </w:t>
      </w:r>
      <w:r w:rsidRPr="001D6606">
        <w:rPr>
          <w:rFonts w:cs="Arial"/>
          <w:b/>
          <w:sz w:val="24"/>
          <w:szCs w:val="24"/>
        </w:rPr>
        <w:t>Market Facing Changes</w:t>
      </w:r>
      <w:r w:rsidR="00D36670">
        <w:rPr>
          <w:rFonts w:cs="Arial"/>
          <w:b/>
          <w:sz w:val="24"/>
          <w:szCs w:val="24"/>
        </w:rPr>
        <w:t xml:space="preserve"> (PROD Release </w:t>
      </w:r>
      <w:r w:rsidR="009D171A">
        <w:rPr>
          <w:rFonts w:cs="Arial"/>
          <w:b/>
          <w:sz w:val="24"/>
          <w:szCs w:val="24"/>
        </w:rPr>
        <w:t>3/07</w:t>
      </w:r>
      <w:r w:rsidR="00D36670">
        <w:rPr>
          <w:rFonts w:cs="Arial"/>
          <w:b/>
          <w:sz w:val="24"/>
          <w:szCs w:val="24"/>
        </w:rPr>
        <w:t xml:space="preserve"> – </w:t>
      </w:r>
      <w:r w:rsidR="009D171A">
        <w:rPr>
          <w:rFonts w:cs="Arial"/>
          <w:b/>
          <w:sz w:val="24"/>
          <w:szCs w:val="24"/>
        </w:rPr>
        <w:t>3/09</w:t>
      </w:r>
      <w:r w:rsidR="00D36670">
        <w:rPr>
          <w:rFonts w:cs="Arial"/>
          <w:b/>
          <w:sz w:val="24"/>
          <w:szCs w:val="24"/>
        </w:rPr>
        <w:t>)</w:t>
      </w:r>
    </w:p>
    <w:p w:rsidR="00586CAB" w:rsidRDefault="00586CAB" w:rsidP="00586CAB">
      <w:pPr>
        <w:rPr>
          <w:rFonts w:cs="Arial"/>
          <w:sz w:val="20"/>
          <w:szCs w:val="20"/>
        </w:rPr>
      </w:pPr>
      <w:r w:rsidRPr="001D6606">
        <w:rPr>
          <w:rFonts w:cs="Arial"/>
          <w:sz w:val="20"/>
          <w:szCs w:val="20"/>
        </w:rPr>
        <w:t>NOTE:  This list may not be all inclusive of changes going into the release and could change prior to the release.</w:t>
      </w:r>
    </w:p>
    <w:tbl>
      <w:tblPr>
        <w:tblW w:w="10170" w:type="dxa"/>
        <w:tblInd w:w="-5" w:type="dxa"/>
        <w:tblLook w:val="04A0" w:firstRow="1" w:lastRow="0" w:firstColumn="1" w:lastColumn="0" w:noHBand="0" w:noVBand="1"/>
      </w:tblPr>
      <w:tblGrid>
        <w:gridCol w:w="1800"/>
        <w:gridCol w:w="8370"/>
      </w:tblGrid>
      <w:tr w:rsidR="00825ABE" w:rsidRPr="00825ABE" w:rsidTr="00825ABE">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25ABE" w:rsidRPr="00825ABE" w:rsidRDefault="00825ABE" w:rsidP="00825ABE">
            <w:pPr>
              <w:spacing w:after="0" w:line="240" w:lineRule="auto"/>
              <w:jc w:val="center"/>
              <w:rPr>
                <w:rFonts w:ascii="Calibri" w:eastAsia="Times New Roman" w:hAnsi="Calibri" w:cs="Times New Roman"/>
                <w:b/>
                <w:bCs/>
                <w:color w:val="000000"/>
                <w:sz w:val="20"/>
                <w:szCs w:val="20"/>
              </w:rPr>
            </w:pPr>
            <w:r w:rsidRPr="00825ABE">
              <w:rPr>
                <w:rFonts w:ascii="Calibri" w:eastAsia="Times New Roman" w:hAnsi="Calibri" w:cs="Times New Roman"/>
                <w:b/>
                <w:bCs/>
                <w:color w:val="000000"/>
                <w:sz w:val="20"/>
                <w:szCs w:val="20"/>
              </w:rPr>
              <w:t>Change ID</w:t>
            </w:r>
          </w:p>
        </w:tc>
        <w:tc>
          <w:tcPr>
            <w:tcW w:w="8370" w:type="dxa"/>
            <w:tcBorders>
              <w:top w:val="single" w:sz="4" w:space="0" w:color="auto"/>
              <w:left w:val="nil"/>
              <w:bottom w:val="single" w:sz="4" w:space="0" w:color="auto"/>
              <w:right w:val="single" w:sz="4" w:space="0" w:color="auto"/>
            </w:tcBorders>
            <w:shd w:val="clear" w:color="000000" w:fill="D9D9D9"/>
            <w:vAlign w:val="center"/>
            <w:hideMark/>
          </w:tcPr>
          <w:p w:rsidR="00825ABE" w:rsidRPr="00825ABE" w:rsidRDefault="00825ABE" w:rsidP="00825ABE">
            <w:pPr>
              <w:spacing w:after="0" w:line="240" w:lineRule="auto"/>
              <w:jc w:val="center"/>
              <w:rPr>
                <w:rFonts w:ascii="Calibri" w:eastAsia="Times New Roman" w:hAnsi="Calibri" w:cs="Times New Roman"/>
                <w:b/>
                <w:bCs/>
                <w:color w:val="000000"/>
                <w:sz w:val="20"/>
                <w:szCs w:val="20"/>
              </w:rPr>
            </w:pPr>
            <w:r w:rsidRPr="00825ABE">
              <w:rPr>
                <w:rFonts w:ascii="Calibri" w:eastAsia="Times New Roman" w:hAnsi="Calibri" w:cs="Times New Roman"/>
                <w:b/>
                <w:bCs/>
                <w:color w:val="000000"/>
                <w:sz w:val="20"/>
                <w:szCs w:val="20"/>
              </w:rPr>
              <w:t>Market Notice Description</w:t>
            </w:r>
          </w:p>
        </w:tc>
      </w:tr>
      <w:tr w:rsidR="00825ABE" w:rsidRPr="00825ABE" w:rsidTr="00825ABE">
        <w:trPr>
          <w:trHeight w:val="539"/>
        </w:trPr>
        <w:tc>
          <w:tcPr>
            <w:tcW w:w="1800" w:type="dxa"/>
            <w:tcBorders>
              <w:top w:val="nil"/>
              <w:left w:val="single" w:sz="4" w:space="0" w:color="auto"/>
              <w:bottom w:val="single" w:sz="4" w:space="0" w:color="auto"/>
              <w:right w:val="single" w:sz="4" w:space="0" w:color="auto"/>
            </w:tcBorders>
            <w:shd w:val="clear" w:color="auto" w:fill="auto"/>
            <w:hideMark/>
          </w:tcPr>
          <w:p w:rsidR="00825ABE" w:rsidRPr="00825ABE" w:rsidRDefault="00825ABE" w:rsidP="00825ABE">
            <w:pPr>
              <w:spacing w:after="0" w:line="240" w:lineRule="auto"/>
              <w:rPr>
                <w:rFonts w:ascii="Calibri" w:eastAsia="Times New Roman" w:hAnsi="Calibri" w:cs="Times New Roman"/>
                <w:color w:val="000000"/>
              </w:rPr>
            </w:pPr>
            <w:hyperlink r:id="rId5" w:history="1">
              <w:r w:rsidRPr="00825ABE">
                <w:rPr>
                  <w:rFonts w:ascii="Calibri" w:eastAsia="Times New Roman" w:hAnsi="Calibri" w:cs="Times New Roman"/>
                  <w:color w:val="000000"/>
                </w:rPr>
                <w:t>ITCM-44368</w:t>
              </w:r>
            </w:hyperlink>
          </w:p>
        </w:tc>
        <w:tc>
          <w:tcPr>
            <w:tcW w:w="8370" w:type="dxa"/>
            <w:tcBorders>
              <w:top w:val="nil"/>
              <w:left w:val="nil"/>
              <w:bottom w:val="single" w:sz="4" w:space="0" w:color="auto"/>
              <w:right w:val="single" w:sz="4" w:space="0" w:color="auto"/>
            </w:tcBorders>
            <w:shd w:val="clear" w:color="auto" w:fill="auto"/>
            <w:hideMark/>
          </w:tcPr>
          <w:p w:rsidR="00825ABE" w:rsidRPr="00825ABE" w:rsidRDefault="00825ABE" w:rsidP="00825ABE">
            <w:pPr>
              <w:spacing w:after="0" w:line="240" w:lineRule="auto"/>
              <w:rPr>
                <w:rFonts w:ascii="Calibri" w:eastAsia="Times New Roman" w:hAnsi="Calibri" w:cs="Times New Roman"/>
                <w:color w:val="000000"/>
              </w:rPr>
            </w:pPr>
            <w:r w:rsidRPr="00825ABE">
              <w:rPr>
                <w:rFonts w:ascii="Calibri" w:eastAsia="Times New Roman" w:hAnsi="Calibri" w:cs="Times New Roman"/>
                <w:color w:val="000000"/>
              </w:rPr>
              <w:t>The ERCOT logo on the Wind Integration Report (NP4-735-ER, 13105) will be updated to reflect the new logo.</w:t>
            </w:r>
          </w:p>
        </w:tc>
      </w:tr>
      <w:tr w:rsidR="00825ABE" w:rsidRPr="00825ABE" w:rsidTr="00825ABE">
        <w:trPr>
          <w:trHeight w:val="1097"/>
        </w:trPr>
        <w:tc>
          <w:tcPr>
            <w:tcW w:w="1800" w:type="dxa"/>
            <w:tcBorders>
              <w:top w:val="nil"/>
              <w:left w:val="single" w:sz="4" w:space="0" w:color="auto"/>
              <w:bottom w:val="single" w:sz="4" w:space="0" w:color="auto"/>
              <w:right w:val="single" w:sz="4" w:space="0" w:color="auto"/>
            </w:tcBorders>
            <w:shd w:val="clear" w:color="auto" w:fill="auto"/>
            <w:hideMark/>
          </w:tcPr>
          <w:p w:rsidR="00825ABE" w:rsidRPr="00825ABE" w:rsidRDefault="00825ABE" w:rsidP="00825ABE">
            <w:pPr>
              <w:spacing w:after="0" w:line="240" w:lineRule="auto"/>
              <w:rPr>
                <w:rFonts w:ascii="Calibri" w:eastAsia="Times New Roman" w:hAnsi="Calibri" w:cs="Times New Roman"/>
                <w:color w:val="000000"/>
              </w:rPr>
            </w:pPr>
            <w:r w:rsidRPr="00825ABE">
              <w:rPr>
                <w:rFonts w:ascii="Calibri" w:eastAsia="Times New Roman" w:hAnsi="Calibri" w:cs="Times New Roman"/>
                <w:color w:val="000000"/>
              </w:rPr>
              <w:t>ITCM-30828</w:t>
            </w:r>
            <w:r w:rsidRPr="00825ABE">
              <w:rPr>
                <w:rFonts w:ascii="Calibri" w:eastAsia="Times New Roman" w:hAnsi="Calibri" w:cs="Times New Roman"/>
                <w:color w:val="000000"/>
              </w:rPr>
              <w:br/>
              <w:t>PGRR046</w:t>
            </w:r>
          </w:p>
        </w:tc>
        <w:tc>
          <w:tcPr>
            <w:tcW w:w="8370" w:type="dxa"/>
            <w:tcBorders>
              <w:top w:val="nil"/>
              <w:left w:val="nil"/>
              <w:bottom w:val="single" w:sz="4" w:space="0" w:color="auto"/>
              <w:right w:val="single" w:sz="4" w:space="0" w:color="auto"/>
            </w:tcBorders>
            <w:shd w:val="clear" w:color="auto" w:fill="auto"/>
            <w:hideMark/>
          </w:tcPr>
          <w:p w:rsidR="00825ABE" w:rsidRPr="00825ABE" w:rsidRDefault="00825ABE" w:rsidP="00825A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New MIS portlet and </w:t>
            </w:r>
            <w:r w:rsidRPr="00825ABE">
              <w:rPr>
                <w:rFonts w:ascii="Calibri" w:eastAsia="Times New Roman" w:hAnsi="Calibri" w:cs="Times New Roman"/>
                <w:color w:val="000000"/>
              </w:rPr>
              <w:t>link on the Groups and Rules &gt; Transmission Service Provider Information page:</w:t>
            </w:r>
            <w:r w:rsidRPr="00825ABE">
              <w:rPr>
                <w:rFonts w:ascii="Calibri" w:eastAsia="Times New Roman" w:hAnsi="Calibri" w:cs="Times New Roman"/>
                <w:color w:val="000000"/>
              </w:rPr>
              <w:br/>
              <w:t>New Portlet:   Models</w:t>
            </w:r>
            <w:r w:rsidRPr="00825ABE">
              <w:rPr>
                <w:rFonts w:ascii="Calibri" w:eastAsia="Times New Roman" w:hAnsi="Calibri" w:cs="Times New Roman"/>
                <w:color w:val="000000"/>
              </w:rPr>
              <w:br/>
              <w:t>Link name:  GIC System Models (PG6-105-M, 14546)</w:t>
            </w:r>
          </w:p>
        </w:tc>
      </w:tr>
    </w:tbl>
    <w:p w:rsidR="00825ABE" w:rsidRDefault="00825ABE" w:rsidP="00586CAB">
      <w:pPr>
        <w:rPr>
          <w:rFonts w:cs="Arial"/>
          <w:sz w:val="20"/>
          <w:szCs w:val="20"/>
        </w:rPr>
      </w:pPr>
    </w:p>
    <w:p w:rsidR="00586CAB" w:rsidRPr="001D6606" w:rsidRDefault="00586CAB" w:rsidP="005B7CDA">
      <w:pPr>
        <w:rPr>
          <w:rFonts w:cs="Arial"/>
          <w:sz w:val="20"/>
          <w:szCs w:val="20"/>
        </w:rPr>
      </w:pPr>
    </w:p>
    <w:sectPr w:rsidR="00586CAB" w:rsidRPr="001D6606" w:rsidSect="005B7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215CD"/>
    <w:multiLevelType w:val="multilevel"/>
    <w:tmpl w:val="298E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7F3AD6"/>
    <w:multiLevelType w:val="multilevel"/>
    <w:tmpl w:val="B3D6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28"/>
    <w:rsid w:val="00093C2B"/>
    <w:rsid w:val="0010544F"/>
    <w:rsid w:val="0012330B"/>
    <w:rsid w:val="001D6606"/>
    <w:rsid w:val="001F3E7B"/>
    <w:rsid w:val="002F2159"/>
    <w:rsid w:val="003A1CEB"/>
    <w:rsid w:val="003B6B2E"/>
    <w:rsid w:val="004F2CBB"/>
    <w:rsid w:val="005624D3"/>
    <w:rsid w:val="00586CAB"/>
    <w:rsid w:val="005B7CDA"/>
    <w:rsid w:val="00604131"/>
    <w:rsid w:val="006B656B"/>
    <w:rsid w:val="006E333B"/>
    <w:rsid w:val="007852C9"/>
    <w:rsid w:val="00825ABE"/>
    <w:rsid w:val="008A6E37"/>
    <w:rsid w:val="009336A6"/>
    <w:rsid w:val="009D171A"/>
    <w:rsid w:val="009E2F9B"/>
    <w:rsid w:val="00A409E9"/>
    <w:rsid w:val="00B605AF"/>
    <w:rsid w:val="00B66134"/>
    <w:rsid w:val="00B80128"/>
    <w:rsid w:val="00D36670"/>
    <w:rsid w:val="00D6441B"/>
    <w:rsid w:val="00FD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9577-3910-4B54-8B91-6AB923E5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6670"/>
    <w:rPr>
      <w:b/>
      <w:bCs/>
    </w:rPr>
  </w:style>
  <w:style w:type="character" w:styleId="Hyperlink">
    <w:name w:val="Hyperlink"/>
    <w:basedOn w:val="DefaultParagraphFont"/>
    <w:uiPriority w:val="99"/>
    <w:unhideWhenUsed/>
    <w:rsid w:val="007852C9"/>
    <w:rPr>
      <w:color w:val="0000FF"/>
      <w:u w:val="single"/>
    </w:rPr>
  </w:style>
  <w:style w:type="character" w:customStyle="1" w:styleId="StyleBold">
    <w:name w:val="Style Bold"/>
    <w:basedOn w:val="DefaultParagraphFont"/>
    <w:rsid w:val="00093C2B"/>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5458">
      <w:bodyDiv w:val="1"/>
      <w:marLeft w:val="0"/>
      <w:marRight w:val="0"/>
      <w:marTop w:val="0"/>
      <w:marBottom w:val="0"/>
      <w:divBdr>
        <w:top w:val="none" w:sz="0" w:space="0" w:color="auto"/>
        <w:left w:val="none" w:sz="0" w:space="0" w:color="auto"/>
        <w:bottom w:val="none" w:sz="0" w:space="0" w:color="auto"/>
        <w:right w:val="none" w:sz="0" w:space="0" w:color="auto"/>
      </w:divBdr>
    </w:div>
    <w:div w:id="52047262">
      <w:bodyDiv w:val="1"/>
      <w:marLeft w:val="0"/>
      <w:marRight w:val="0"/>
      <w:marTop w:val="0"/>
      <w:marBottom w:val="0"/>
      <w:divBdr>
        <w:top w:val="none" w:sz="0" w:space="0" w:color="auto"/>
        <w:left w:val="none" w:sz="0" w:space="0" w:color="auto"/>
        <w:bottom w:val="none" w:sz="0" w:space="0" w:color="auto"/>
        <w:right w:val="none" w:sz="0" w:space="0" w:color="auto"/>
      </w:divBdr>
    </w:div>
    <w:div w:id="151681464">
      <w:bodyDiv w:val="1"/>
      <w:marLeft w:val="0"/>
      <w:marRight w:val="0"/>
      <w:marTop w:val="0"/>
      <w:marBottom w:val="0"/>
      <w:divBdr>
        <w:top w:val="none" w:sz="0" w:space="0" w:color="auto"/>
        <w:left w:val="none" w:sz="0" w:space="0" w:color="auto"/>
        <w:bottom w:val="none" w:sz="0" w:space="0" w:color="auto"/>
        <w:right w:val="none" w:sz="0" w:space="0" w:color="auto"/>
      </w:divBdr>
    </w:div>
    <w:div w:id="345596709">
      <w:bodyDiv w:val="1"/>
      <w:marLeft w:val="0"/>
      <w:marRight w:val="0"/>
      <w:marTop w:val="0"/>
      <w:marBottom w:val="0"/>
      <w:divBdr>
        <w:top w:val="none" w:sz="0" w:space="0" w:color="auto"/>
        <w:left w:val="none" w:sz="0" w:space="0" w:color="auto"/>
        <w:bottom w:val="none" w:sz="0" w:space="0" w:color="auto"/>
        <w:right w:val="none" w:sz="0" w:space="0" w:color="auto"/>
      </w:divBdr>
    </w:div>
    <w:div w:id="391465304">
      <w:bodyDiv w:val="1"/>
      <w:marLeft w:val="0"/>
      <w:marRight w:val="0"/>
      <w:marTop w:val="0"/>
      <w:marBottom w:val="0"/>
      <w:divBdr>
        <w:top w:val="none" w:sz="0" w:space="0" w:color="auto"/>
        <w:left w:val="none" w:sz="0" w:space="0" w:color="auto"/>
        <w:bottom w:val="none" w:sz="0" w:space="0" w:color="auto"/>
        <w:right w:val="none" w:sz="0" w:space="0" w:color="auto"/>
      </w:divBdr>
    </w:div>
    <w:div w:id="429735638">
      <w:bodyDiv w:val="1"/>
      <w:marLeft w:val="0"/>
      <w:marRight w:val="0"/>
      <w:marTop w:val="0"/>
      <w:marBottom w:val="0"/>
      <w:divBdr>
        <w:top w:val="none" w:sz="0" w:space="0" w:color="auto"/>
        <w:left w:val="none" w:sz="0" w:space="0" w:color="auto"/>
        <w:bottom w:val="none" w:sz="0" w:space="0" w:color="auto"/>
        <w:right w:val="none" w:sz="0" w:space="0" w:color="auto"/>
      </w:divBdr>
    </w:div>
    <w:div w:id="443421912">
      <w:bodyDiv w:val="1"/>
      <w:marLeft w:val="0"/>
      <w:marRight w:val="0"/>
      <w:marTop w:val="0"/>
      <w:marBottom w:val="0"/>
      <w:divBdr>
        <w:top w:val="none" w:sz="0" w:space="0" w:color="auto"/>
        <w:left w:val="none" w:sz="0" w:space="0" w:color="auto"/>
        <w:bottom w:val="none" w:sz="0" w:space="0" w:color="auto"/>
        <w:right w:val="none" w:sz="0" w:space="0" w:color="auto"/>
      </w:divBdr>
    </w:div>
    <w:div w:id="568151749">
      <w:bodyDiv w:val="1"/>
      <w:marLeft w:val="0"/>
      <w:marRight w:val="0"/>
      <w:marTop w:val="0"/>
      <w:marBottom w:val="0"/>
      <w:divBdr>
        <w:top w:val="none" w:sz="0" w:space="0" w:color="auto"/>
        <w:left w:val="none" w:sz="0" w:space="0" w:color="auto"/>
        <w:bottom w:val="none" w:sz="0" w:space="0" w:color="auto"/>
        <w:right w:val="none" w:sz="0" w:space="0" w:color="auto"/>
      </w:divBdr>
    </w:div>
    <w:div w:id="697195219">
      <w:bodyDiv w:val="1"/>
      <w:marLeft w:val="0"/>
      <w:marRight w:val="0"/>
      <w:marTop w:val="0"/>
      <w:marBottom w:val="0"/>
      <w:divBdr>
        <w:top w:val="none" w:sz="0" w:space="0" w:color="auto"/>
        <w:left w:val="none" w:sz="0" w:space="0" w:color="auto"/>
        <w:bottom w:val="none" w:sz="0" w:space="0" w:color="auto"/>
        <w:right w:val="none" w:sz="0" w:space="0" w:color="auto"/>
      </w:divBdr>
    </w:div>
    <w:div w:id="939752824">
      <w:bodyDiv w:val="1"/>
      <w:marLeft w:val="0"/>
      <w:marRight w:val="0"/>
      <w:marTop w:val="0"/>
      <w:marBottom w:val="0"/>
      <w:divBdr>
        <w:top w:val="none" w:sz="0" w:space="0" w:color="auto"/>
        <w:left w:val="none" w:sz="0" w:space="0" w:color="auto"/>
        <w:bottom w:val="none" w:sz="0" w:space="0" w:color="auto"/>
        <w:right w:val="none" w:sz="0" w:space="0" w:color="auto"/>
      </w:divBdr>
    </w:div>
    <w:div w:id="965820004">
      <w:bodyDiv w:val="1"/>
      <w:marLeft w:val="0"/>
      <w:marRight w:val="0"/>
      <w:marTop w:val="0"/>
      <w:marBottom w:val="0"/>
      <w:divBdr>
        <w:top w:val="none" w:sz="0" w:space="0" w:color="auto"/>
        <w:left w:val="none" w:sz="0" w:space="0" w:color="auto"/>
        <w:bottom w:val="none" w:sz="0" w:space="0" w:color="auto"/>
        <w:right w:val="none" w:sz="0" w:space="0" w:color="auto"/>
      </w:divBdr>
    </w:div>
    <w:div w:id="1153721664">
      <w:bodyDiv w:val="1"/>
      <w:marLeft w:val="0"/>
      <w:marRight w:val="0"/>
      <w:marTop w:val="0"/>
      <w:marBottom w:val="0"/>
      <w:divBdr>
        <w:top w:val="none" w:sz="0" w:space="0" w:color="auto"/>
        <w:left w:val="none" w:sz="0" w:space="0" w:color="auto"/>
        <w:bottom w:val="none" w:sz="0" w:space="0" w:color="auto"/>
        <w:right w:val="none" w:sz="0" w:space="0" w:color="auto"/>
      </w:divBdr>
    </w:div>
    <w:div w:id="1164785329">
      <w:bodyDiv w:val="1"/>
      <w:marLeft w:val="0"/>
      <w:marRight w:val="0"/>
      <w:marTop w:val="0"/>
      <w:marBottom w:val="0"/>
      <w:divBdr>
        <w:top w:val="none" w:sz="0" w:space="0" w:color="auto"/>
        <w:left w:val="none" w:sz="0" w:space="0" w:color="auto"/>
        <w:bottom w:val="none" w:sz="0" w:space="0" w:color="auto"/>
        <w:right w:val="none" w:sz="0" w:space="0" w:color="auto"/>
      </w:divBdr>
    </w:div>
    <w:div w:id="1276596936">
      <w:bodyDiv w:val="1"/>
      <w:marLeft w:val="0"/>
      <w:marRight w:val="0"/>
      <w:marTop w:val="0"/>
      <w:marBottom w:val="0"/>
      <w:divBdr>
        <w:top w:val="none" w:sz="0" w:space="0" w:color="auto"/>
        <w:left w:val="none" w:sz="0" w:space="0" w:color="auto"/>
        <w:bottom w:val="none" w:sz="0" w:space="0" w:color="auto"/>
        <w:right w:val="none" w:sz="0" w:space="0" w:color="auto"/>
      </w:divBdr>
    </w:div>
    <w:div w:id="1285504384">
      <w:bodyDiv w:val="1"/>
      <w:marLeft w:val="0"/>
      <w:marRight w:val="0"/>
      <w:marTop w:val="0"/>
      <w:marBottom w:val="0"/>
      <w:divBdr>
        <w:top w:val="none" w:sz="0" w:space="0" w:color="auto"/>
        <w:left w:val="none" w:sz="0" w:space="0" w:color="auto"/>
        <w:bottom w:val="none" w:sz="0" w:space="0" w:color="auto"/>
        <w:right w:val="none" w:sz="0" w:space="0" w:color="auto"/>
      </w:divBdr>
    </w:div>
    <w:div w:id="1458597615">
      <w:bodyDiv w:val="1"/>
      <w:marLeft w:val="0"/>
      <w:marRight w:val="0"/>
      <w:marTop w:val="0"/>
      <w:marBottom w:val="0"/>
      <w:divBdr>
        <w:top w:val="none" w:sz="0" w:space="0" w:color="auto"/>
        <w:left w:val="none" w:sz="0" w:space="0" w:color="auto"/>
        <w:bottom w:val="none" w:sz="0" w:space="0" w:color="auto"/>
        <w:right w:val="none" w:sz="0" w:space="0" w:color="auto"/>
      </w:divBdr>
    </w:div>
    <w:div w:id="1776174286">
      <w:bodyDiv w:val="1"/>
      <w:marLeft w:val="0"/>
      <w:marRight w:val="0"/>
      <w:marTop w:val="0"/>
      <w:marBottom w:val="0"/>
      <w:divBdr>
        <w:top w:val="none" w:sz="0" w:space="0" w:color="auto"/>
        <w:left w:val="none" w:sz="0" w:space="0" w:color="auto"/>
        <w:bottom w:val="none" w:sz="0" w:space="0" w:color="auto"/>
        <w:right w:val="none" w:sz="0" w:space="0" w:color="auto"/>
      </w:divBdr>
    </w:div>
    <w:div w:id="1785466155">
      <w:bodyDiv w:val="1"/>
      <w:marLeft w:val="0"/>
      <w:marRight w:val="0"/>
      <w:marTop w:val="0"/>
      <w:marBottom w:val="0"/>
      <w:divBdr>
        <w:top w:val="none" w:sz="0" w:space="0" w:color="auto"/>
        <w:left w:val="none" w:sz="0" w:space="0" w:color="auto"/>
        <w:bottom w:val="none" w:sz="0" w:space="0" w:color="auto"/>
        <w:right w:val="none" w:sz="0" w:space="0" w:color="auto"/>
      </w:divBdr>
    </w:div>
    <w:div w:id="20180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p.ercot.com/jira/browse/ITCM-443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Tracy</dc:creator>
  <cp:keywords/>
  <dc:description/>
  <cp:lastModifiedBy>Richter, Tracy</cp:lastModifiedBy>
  <cp:revision>4</cp:revision>
  <dcterms:created xsi:type="dcterms:W3CDTF">2016-11-30T18:10:00Z</dcterms:created>
  <dcterms:modified xsi:type="dcterms:W3CDTF">2016-11-30T18:11:00Z</dcterms:modified>
</cp:coreProperties>
</file>