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b/>
          <w:bCs/>
          <w:sz w:val="24"/>
          <w:szCs w:val="24"/>
        </w:rPr>
        <w:t>NOTICE DATE:</w:t>
      </w:r>
      <w:r w:rsidRPr="001F1B17">
        <w:rPr>
          <w:rFonts w:ascii="Arial" w:eastAsia="Times New Roman" w:hAnsi="Arial" w:cs="Arial"/>
          <w:sz w:val="24"/>
          <w:szCs w:val="24"/>
        </w:rPr>
        <w:t>  August 1</w:t>
      </w:r>
      <w:r w:rsidRPr="001F1B17">
        <w:rPr>
          <w:rFonts w:ascii="Arial" w:eastAsia="Times New Roman" w:hAnsi="Arial" w:cs="Arial"/>
          <w:color w:val="1F497D"/>
          <w:sz w:val="24"/>
          <w:szCs w:val="24"/>
        </w:rPr>
        <w:t>1</w:t>
      </w:r>
      <w:r w:rsidRPr="001F1B17">
        <w:rPr>
          <w:rFonts w:ascii="Arial" w:eastAsia="Times New Roman" w:hAnsi="Arial" w:cs="Arial"/>
          <w:sz w:val="24"/>
          <w:szCs w:val="24"/>
        </w:rPr>
        <w:t>, 2016</w:t>
      </w:r>
    </w:p>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b/>
          <w:bCs/>
          <w:sz w:val="24"/>
          <w:szCs w:val="24"/>
        </w:rPr>
        <w:t>NOTICE TYPE:</w:t>
      </w:r>
      <w:r w:rsidRPr="001F1B17">
        <w:rPr>
          <w:rFonts w:ascii="Arial" w:eastAsia="Times New Roman" w:hAnsi="Arial" w:cs="Arial"/>
          <w:sz w:val="24"/>
          <w:szCs w:val="24"/>
        </w:rPr>
        <w:t>  W-A070816-08 Settlements</w:t>
      </w:r>
    </w:p>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b/>
          <w:bCs/>
          <w:sz w:val="24"/>
          <w:szCs w:val="24"/>
        </w:rPr>
        <w:t>SHORT DESCRIPTION:</w:t>
      </w:r>
      <w:r w:rsidRPr="001F1B17">
        <w:rPr>
          <w:rFonts w:ascii="Arial" w:eastAsia="Times New Roman" w:hAnsi="Arial" w:cs="Arial"/>
          <w:sz w:val="24"/>
          <w:szCs w:val="24"/>
        </w:rPr>
        <w:t>  Real-Time Market Resettlement for Operating Day July 7, 2016</w:t>
      </w:r>
    </w:p>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b/>
          <w:bCs/>
          <w:sz w:val="24"/>
          <w:szCs w:val="24"/>
        </w:rPr>
        <w:t>INTENDED AUDIENCE:</w:t>
      </w:r>
      <w:r w:rsidRPr="001F1B17">
        <w:rPr>
          <w:rFonts w:ascii="Arial" w:eastAsia="Times New Roman" w:hAnsi="Arial" w:cs="Arial"/>
          <w:sz w:val="24"/>
          <w:szCs w:val="24"/>
        </w:rPr>
        <w:t>  QSE and CRRAH Settlement Personnel</w:t>
      </w:r>
    </w:p>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b/>
          <w:bCs/>
          <w:sz w:val="24"/>
          <w:szCs w:val="24"/>
        </w:rPr>
        <w:t>DAY AFFECTED:</w:t>
      </w:r>
      <w:r w:rsidRPr="001F1B17">
        <w:rPr>
          <w:rFonts w:ascii="Arial" w:eastAsia="Times New Roman" w:hAnsi="Arial" w:cs="Arial"/>
          <w:sz w:val="24"/>
          <w:szCs w:val="24"/>
        </w:rPr>
        <w:t>  July 7, 2016</w:t>
      </w:r>
    </w:p>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b/>
          <w:bCs/>
          <w:sz w:val="24"/>
          <w:szCs w:val="24"/>
        </w:rPr>
        <w:t>LONG DESCRIPTION:</w:t>
      </w:r>
      <w:r w:rsidRPr="001F1B17">
        <w:rPr>
          <w:rFonts w:ascii="Arial" w:eastAsia="Times New Roman" w:hAnsi="Arial" w:cs="Arial"/>
          <w:sz w:val="24"/>
          <w:szCs w:val="24"/>
        </w:rPr>
        <w:t xml:space="preserve">  On July 7, 2016, ERCOT experienced issues with the Energy Management System (EMS), which caused corrupt data (including Emergency Base Point data) to be passed through downstream systems including the Settlements System. ERCOT has completed corrections to the Emergency Operations Settlement for the outage period on July 7, 2016 (i.e., intervals 11:45 - 13:30) and used the Real-Time Metered Generation (RTMG) in place of Emergency Base Point data under ERCOT Protocols Section 6.6.9(4).  </w:t>
      </w:r>
    </w:p>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sz w:val="24"/>
          <w:szCs w:val="24"/>
        </w:rPr>
        <w:t>The RTM Resettlement Statement for July 7, 2016 will post today, August 11, 2016.</w:t>
      </w:r>
    </w:p>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sz w:val="24"/>
          <w:szCs w:val="24"/>
        </w:rPr>
        <w:t xml:space="preserve">Further details about the July 7, 2016 </w:t>
      </w:r>
      <w:r w:rsidRPr="001F1B17">
        <w:rPr>
          <w:rFonts w:ascii="Arial" w:eastAsia="Times New Roman" w:hAnsi="Arial" w:cs="Arial"/>
          <w:color w:val="000000"/>
          <w:sz w:val="24"/>
          <w:szCs w:val="24"/>
        </w:rPr>
        <w:t>Resettlement Statement are included in the table below:</w:t>
      </w:r>
      <w:r w:rsidRPr="001F1B17">
        <w:rPr>
          <w:rFonts w:ascii="Arial" w:eastAsia="Times New Roman" w:hAnsi="Arial" w:cs="Arial"/>
          <w:color w:val="000000"/>
          <w:sz w:val="20"/>
          <w:szCs w:val="20"/>
        </w:rPr>
        <w:t xml:space="preserve">   </w:t>
      </w:r>
    </w:p>
    <w:tbl>
      <w:tblPr>
        <w:tblW w:w="0" w:type="auto"/>
        <w:tblCellMar>
          <w:left w:w="0" w:type="dxa"/>
          <w:right w:w="0" w:type="dxa"/>
        </w:tblCellMar>
        <w:tblLook w:val="04A0" w:firstRow="1" w:lastRow="0" w:firstColumn="1" w:lastColumn="0" w:noHBand="0" w:noVBand="1"/>
      </w:tblPr>
      <w:tblGrid>
        <w:gridCol w:w="5202"/>
        <w:gridCol w:w="3582"/>
      </w:tblGrid>
      <w:tr w:rsidR="001F1B17" w:rsidRPr="001F1B17" w:rsidTr="001F1B17">
        <w:tc>
          <w:tcPr>
            <w:tcW w:w="5202" w:type="dxa"/>
            <w:tcBorders>
              <w:top w:val="double" w:sz="6" w:space="0" w:color="000000"/>
              <w:left w:val="double" w:sz="6" w:space="0" w:color="000000"/>
              <w:bottom w:val="single" w:sz="8"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sz w:val="24"/>
                <w:szCs w:val="24"/>
              </w:rPr>
              <w:t>Affected Operating Day</w:t>
            </w:r>
          </w:p>
        </w:tc>
        <w:tc>
          <w:tcPr>
            <w:tcW w:w="3582" w:type="dxa"/>
            <w:tcBorders>
              <w:top w:val="double" w:sz="6" w:space="0" w:color="000000"/>
              <w:left w:val="nil"/>
              <w:bottom w:val="single" w:sz="8"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0" w:line="240" w:lineRule="auto"/>
              <w:rPr>
                <w:rFonts w:ascii="Arial" w:eastAsia="Times New Roman" w:hAnsi="Arial" w:cs="Arial"/>
                <w:sz w:val="24"/>
                <w:szCs w:val="24"/>
              </w:rPr>
            </w:pPr>
            <w:r w:rsidRPr="001F1B17">
              <w:rPr>
                <w:rFonts w:ascii="Arial" w:eastAsia="Times New Roman" w:hAnsi="Arial" w:cs="Arial"/>
                <w:sz w:val="24"/>
                <w:szCs w:val="24"/>
              </w:rPr>
              <w:t>July 7, 2016</w:t>
            </w:r>
          </w:p>
        </w:tc>
      </w:tr>
      <w:tr w:rsidR="001F1B17" w:rsidRPr="001F1B17" w:rsidTr="001F1B17">
        <w:tc>
          <w:tcPr>
            <w:tcW w:w="5202" w:type="dxa"/>
            <w:tcBorders>
              <w:top w:val="nil"/>
              <w:left w:val="double" w:sz="6" w:space="0" w:color="000000"/>
              <w:bottom w:val="single" w:sz="8"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sz w:val="24"/>
                <w:szCs w:val="24"/>
              </w:rPr>
              <w:t>Description of reason for Resettlement</w:t>
            </w:r>
          </w:p>
        </w:tc>
        <w:tc>
          <w:tcPr>
            <w:tcW w:w="3582" w:type="dxa"/>
            <w:tcBorders>
              <w:top w:val="nil"/>
              <w:left w:val="nil"/>
              <w:bottom w:val="single" w:sz="8"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0" w:line="240" w:lineRule="auto"/>
              <w:rPr>
                <w:rFonts w:ascii="Arial" w:eastAsia="Times New Roman" w:hAnsi="Arial" w:cs="Arial"/>
                <w:sz w:val="24"/>
                <w:szCs w:val="24"/>
              </w:rPr>
            </w:pPr>
            <w:r w:rsidRPr="001F1B17">
              <w:rPr>
                <w:rFonts w:ascii="Arial" w:eastAsia="Times New Roman" w:hAnsi="Arial" w:cs="Arial"/>
                <w:sz w:val="24"/>
                <w:szCs w:val="24"/>
              </w:rPr>
              <w:t>EMS outage</w:t>
            </w:r>
          </w:p>
        </w:tc>
      </w:tr>
      <w:tr w:rsidR="001F1B17" w:rsidRPr="001F1B17" w:rsidTr="001F1B17">
        <w:tc>
          <w:tcPr>
            <w:tcW w:w="5202" w:type="dxa"/>
            <w:tcBorders>
              <w:top w:val="nil"/>
              <w:left w:val="double" w:sz="6" w:space="0" w:color="000000"/>
              <w:bottom w:val="single" w:sz="8"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sz w:val="24"/>
                <w:szCs w:val="24"/>
              </w:rPr>
              <w:t>Affected Settlement Charge Types</w:t>
            </w:r>
          </w:p>
        </w:tc>
        <w:tc>
          <w:tcPr>
            <w:tcW w:w="3582" w:type="dxa"/>
            <w:tcBorders>
              <w:top w:val="nil"/>
              <w:left w:val="nil"/>
              <w:bottom w:val="single" w:sz="8"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0" w:line="240" w:lineRule="auto"/>
              <w:rPr>
                <w:rFonts w:ascii="Arial" w:eastAsia="Times New Roman" w:hAnsi="Arial" w:cs="Arial"/>
                <w:sz w:val="24"/>
                <w:szCs w:val="24"/>
              </w:rPr>
            </w:pPr>
            <w:r w:rsidRPr="001F1B17">
              <w:rPr>
                <w:rFonts w:ascii="Arial" w:eastAsia="Times New Roman" w:hAnsi="Arial" w:cs="Arial"/>
                <w:sz w:val="24"/>
                <w:szCs w:val="24"/>
              </w:rPr>
              <w:t>RTEIAMT, RTDCEXPAMT, LARTRNAMT, EMREAMT, LAEMREAMT, ESACAMT</w:t>
            </w:r>
          </w:p>
        </w:tc>
      </w:tr>
      <w:tr w:rsidR="001F1B17" w:rsidRPr="001F1B17" w:rsidTr="001F1B17">
        <w:tc>
          <w:tcPr>
            <w:tcW w:w="5202" w:type="dxa"/>
            <w:tcBorders>
              <w:top w:val="nil"/>
              <w:left w:val="double" w:sz="6" w:space="0" w:color="000000"/>
              <w:bottom w:val="single" w:sz="8"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0" w:line="240" w:lineRule="auto"/>
              <w:rPr>
                <w:rFonts w:ascii="Arial" w:eastAsia="Times New Roman" w:hAnsi="Arial" w:cs="Arial"/>
                <w:sz w:val="24"/>
                <w:szCs w:val="24"/>
              </w:rPr>
            </w:pPr>
            <w:r w:rsidRPr="001F1B17">
              <w:rPr>
                <w:rFonts w:ascii="Arial" w:eastAsia="Times New Roman" w:hAnsi="Arial" w:cs="Arial"/>
                <w:sz w:val="24"/>
                <w:szCs w:val="24"/>
              </w:rPr>
              <w:t>Publication Date of Previous Settlement Statement</w:t>
            </w:r>
          </w:p>
        </w:tc>
        <w:tc>
          <w:tcPr>
            <w:tcW w:w="3582" w:type="dxa"/>
            <w:tcBorders>
              <w:top w:val="nil"/>
              <w:left w:val="nil"/>
              <w:bottom w:val="single" w:sz="8"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sz w:val="24"/>
                <w:szCs w:val="24"/>
              </w:rPr>
              <w:t>July 12, 2016</w:t>
            </w:r>
          </w:p>
        </w:tc>
      </w:tr>
      <w:tr w:rsidR="001F1B17" w:rsidRPr="001F1B17" w:rsidTr="001F1B17">
        <w:tc>
          <w:tcPr>
            <w:tcW w:w="5202" w:type="dxa"/>
            <w:tcBorders>
              <w:top w:val="nil"/>
              <w:left w:val="double" w:sz="6" w:space="0" w:color="000000"/>
              <w:bottom w:val="single" w:sz="8"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sz w:val="24"/>
                <w:szCs w:val="24"/>
              </w:rPr>
              <w:t>Publication Date of Resettlement Statement</w:t>
            </w:r>
          </w:p>
        </w:tc>
        <w:tc>
          <w:tcPr>
            <w:tcW w:w="3582" w:type="dxa"/>
            <w:tcBorders>
              <w:top w:val="nil"/>
              <w:left w:val="nil"/>
              <w:bottom w:val="single" w:sz="8"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0" w:line="240" w:lineRule="auto"/>
              <w:rPr>
                <w:rFonts w:ascii="Arial" w:eastAsia="Times New Roman" w:hAnsi="Arial" w:cs="Arial"/>
                <w:sz w:val="24"/>
                <w:szCs w:val="24"/>
              </w:rPr>
            </w:pPr>
            <w:r w:rsidRPr="001F1B17">
              <w:rPr>
                <w:rFonts w:ascii="Arial" w:eastAsia="Times New Roman" w:hAnsi="Arial" w:cs="Arial"/>
                <w:sz w:val="24"/>
                <w:szCs w:val="24"/>
              </w:rPr>
              <w:t>August 11, 2016</w:t>
            </w:r>
          </w:p>
        </w:tc>
      </w:tr>
      <w:tr w:rsidR="001F1B17" w:rsidRPr="001F1B17" w:rsidTr="001F1B17">
        <w:trPr>
          <w:trHeight w:val="369"/>
        </w:trPr>
        <w:tc>
          <w:tcPr>
            <w:tcW w:w="5202" w:type="dxa"/>
            <w:tcBorders>
              <w:top w:val="nil"/>
              <w:left w:val="double" w:sz="6" w:space="0" w:color="000000"/>
              <w:bottom w:val="double" w:sz="6"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sz w:val="24"/>
                <w:szCs w:val="24"/>
              </w:rPr>
              <w:t>Invoice Date of Resettlement Statement</w:t>
            </w:r>
          </w:p>
        </w:tc>
        <w:tc>
          <w:tcPr>
            <w:tcW w:w="3582" w:type="dxa"/>
            <w:tcBorders>
              <w:top w:val="nil"/>
              <w:left w:val="nil"/>
              <w:bottom w:val="double" w:sz="6"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0" w:line="240" w:lineRule="auto"/>
              <w:rPr>
                <w:rFonts w:ascii="Arial" w:eastAsia="Times New Roman" w:hAnsi="Arial" w:cs="Arial"/>
                <w:b/>
                <w:bCs/>
                <w:sz w:val="24"/>
                <w:szCs w:val="24"/>
              </w:rPr>
            </w:pPr>
            <w:r w:rsidRPr="001F1B17">
              <w:rPr>
                <w:rFonts w:ascii="Arial" w:eastAsia="Times New Roman" w:hAnsi="Arial" w:cs="Arial"/>
                <w:sz w:val="24"/>
                <w:szCs w:val="24"/>
              </w:rPr>
              <w:t>August 11, 2016</w:t>
            </w:r>
          </w:p>
        </w:tc>
      </w:tr>
    </w:tbl>
    <w:p w:rsidR="001F1B17" w:rsidRPr="001F1B17" w:rsidRDefault="001F1B17" w:rsidP="001F1B17">
      <w:pPr>
        <w:spacing w:after="240" w:line="240" w:lineRule="auto"/>
        <w:rPr>
          <w:rFonts w:ascii="Arial" w:eastAsia="Times New Roman" w:hAnsi="Arial" w:cs="Arial"/>
          <w:b/>
          <w:bCs/>
          <w:sz w:val="24"/>
          <w:szCs w:val="24"/>
        </w:rPr>
      </w:pPr>
    </w:p>
    <w:tbl>
      <w:tblPr>
        <w:tblW w:w="8802" w:type="dxa"/>
        <w:tblCellMar>
          <w:left w:w="0" w:type="dxa"/>
          <w:right w:w="0" w:type="dxa"/>
        </w:tblCellMar>
        <w:tblLook w:val="04A0" w:firstRow="1" w:lastRow="0" w:firstColumn="1" w:lastColumn="0" w:noHBand="0" w:noVBand="1"/>
      </w:tblPr>
      <w:tblGrid>
        <w:gridCol w:w="5202"/>
        <w:gridCol w:w="3600"/>
      </w:tblGrid>
      <w:tr w:rsidR="001F1B17" w:rsidRPr="001F1B17" w:rsidTr="001F1B17">
        <w:trPr>
          <w:trHeight w:val="378"/>
        </w:trPr>
        <w:tc>
          <w:tcPr>
            <w:tcW w:w="5202" w:type="dxa"/>
            <w:tcBorders>
              <w:top w:val="double" w:sz="6" w:space="0" w:color="000000"/>
              <w:left w:val="double" w:sz="6" w:space="0" w:color="000000"/>
              <w:bottom w:val="double" w:sz="6"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sz w:val="24"/>
                <w:szCs w:val="24"/>
              </w:rPr>
              <w:t>Resettled Charge Types</w:t>
            </w:r>
          </w:p>
        </w:tc>
        <w:tc>
          <w:tcPr>
            <w:tcW w:w="3600" w:type="dxa"/>
            <w:tcBorders>
              <w:top w:val="double" w:sz="6" w:space="0" w:color="000000"/>
              <w:left w:val="nil"/>
              <w:bottom w:val="double" w:sz="6" w:space="0" w:color="000000"/>
              <w:right w:val="double" w:sz="6" w:space="0" w:color="000000"/>
            </w:tcBorders>
            <w:tcMar>
              <w:top w:w="72" w:type="dxa"/>
              <w:left w:w="72" w:type="dxa"/>
              <w:bottom w:w="72" w:type="dxa"/>
              <w:right w:w="72" w:type="dxa"/>
            </w:tcMar>
            <w:hideMark/>
          </w:tcPr>
          <w:p w:rsidR="001F1B17" w:rsidRPr="001F1B17" w:rsidRDefault="001F1B17" w:rsidP="001F1B17">
            <w:pPr>
              <w:spacing w:after="240" w:line="240" w:lineRule="auto"/>
              <w:jc w:val="center"/>
              <w:rPr>
                <w:rFonts w:ascii="Arial" w:eastAsia="Times New Roman" w:hAnsi="Arial" w:cs="Arial"/>
                <w:sz w:val="24"/>
                <w:szCs w:val="24"/>
              </w:rPr>
            </w:pPr>
            <w:r w:rsidRPr="001F1B17">
              <w:rPr>
                <w:rFonts w:ascii="Arial" w:eastAsia="Times New Roman" w:hAnsi="Arial" w:cs="Arial"/>
                <w:sz w:val="24"/>
                <w:szCs w:val="24"/>
              </w:rPr>
              <w:t>Resettlement Amount</w:t>
            </w:r>
          </w:p>
        </w:tc>
      </w:tr>
      <w:tr w:rsidR="001F1B17" w:rsidRPr="001F1B17" w:rsidTr="001F1B17">
        <w:trPr>
          <w:trHeight w:val="378"/>
        </w:trPr>
        <w:tc>
          <w:tcPr>
            <w:tcW w:w="5202" w:type="dxa"/>
            <w:tcBorders>
              <w:top w:val="nil"/>
              <w:left w:val="double" w:sz="6" w:space="0" w:color="000000"/>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rPr>
                <w:rFonts w:ascii="Arial" w:eastAsia="Times New Roman" w:hAnsi="Arial" w:cs="Arial"/>
                <w:color w:val="000000"/>
                <w:sz w:val="24"/>
                <w:szCs w:val="24"/>
              </w:rPr>
            </w:pPr>
            <w:r w:rsidRPr="001F1B17">
              <w:rPr>
                <w:rFonts w:ascii="Arial" w:eastAsia="Times New Roman" w:hAnsi="Arial" w:cs="Arial"/>
                <w:sz w:val="24"/>
                <w:szCs w:val="24"/>
              </w:rPr>
              <w:t>Real-Time Energy Imbalance Payment or Charge (</w:t>
            </w:r>
            <w:r w:rsidRPr="001F1B17">
              <w:rPr>
                <w:rFonts w:ascii="Arial" w:eastAsia="Times New Roman" w:hAnsi="Arial" w:cs="Arial"/>
                <w:color w:val="000000"/>
                <w:sz w:val="24"/>
                <w:szCs w:val="24"/>
              </w:rPr>
              <w:t>RTEIAMT)</w:t>
            </w:r>
          </w:p>
        </w:tc>
        <w:tc>
          <w:tcPr>
            <w:tcW w:w="3600" w:type="dxa"/>
            <w:tcBorders>
              <w:top w:val="nil"/>
              <w:left w:val="nil"/>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jc w:val="right"/>
              <w:rPr>
                <w:rFonts w:ascii="Arial" w:eastAsia="Times New Roman" w:hAnsi="Arial" w:cs="Arial"/>
                <w:color w:val="000000"/>
                <w:sz w:val="24"/>
                <w:szCs w:val="24"/>
              </w:rPr>
            </w:pPr>
            <w:r w:rsidRPr="001F1B17">
              <w:rPr>
                <w:rFonts w:ascii="Arial" w:eastAsia="Times New Roman" w:hAnsi="Arial" w:cs="Arial"/>
                <w:color w:val="000000"/>
                <w:sz w:val="24"/>
                <w:szCs w:val="24"/>
              </w:rPr>
              <w:t>$2,357.86</w:t>
            </w:r>
          </w:p>
        </w:tc>
      </w:tr>
      <w:tr w:rsidR="001F1B17" w:rsidRPr="001F1B17" w:rsidTr="001F1B17">
        <w:trPr>
          <w:trHeight w:val="378"/>
        </w:trPr>
        <w:tc>
          <w:tcPr>
            <w:tcW w:w="5202" w:type="dxa"/>
            <w:tcBorders>
              <w:top w:val="nil"/>
              <w:left w:val="double" w:sz="6" w:space="0" w:color="000000"/>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rPr>
                <w:rFonts w:ascii="Arial" w:eastAsia="Times New Roman" w:hAnsi="Arial" w:cs="Arial"/>
                <w:color w:val="000000"/>
                <w:sz w:val="24"/>
                <w:szCs w:val="24"/>
              </w:rPr>
            </w:pPr>
            <w:r w:rsidRPr="001F1B17">
              <w:rPr>
                <w:rFonts w:ascii="Arial" w:eastAsia="Times New Roman" w:hAnsi="Arial" w:cs="Arial"/>
                <w:sz w:val="24"/>
                <w:szCs w:val="24"/>
              </w:rPr>
              <w:lastRenderedPageBreak/>
              <w:t>Real-Time Charge for a DC Tie Exports</w:t>
            </w:r>
            <w:r w:rsidRPr="001F1B17">
              <w:rPr>
                <w:rFonts w:ascii="Arial" w:eastAsia="Times New Roman" w:hAnsi="Arial" w:cs="Arial"/>
                <w:color w:val="000000"/>
                <w:sz w:val="24"/>
                <w:szCs w:val="24"/>
              </w:rPr>
              <w:t xml:space="preserve"> (RTDCEXPAMT)</w:t>
            </w:r>
          </w:p>
        </w:tc>
        <w:tc>
          <w:tcPr>
            <w:tcW w:w="3600" w:type="dxa"/>
            <w:tcBorders>
              <w:top w:val="nil"/>
              <w:left w:val="nil"/>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jc w:val="right"/>
              <w:rPr>
                <w:rFonts w:ascii="Arial" w:eastAsia="Times New Roman" w:hAnsi="Arial" w:cs="Arial"/>
                <w:color w:val="000000"/>
                <w:sz w:val="24"/>
                <w:szCs w:val="24"/>
              </w:rPr>
            </w:pPr>
            <w:r w:rsidRPr="001F1B17">
              <w:rPr>
                <w:rFonts w:ascii="Arial" w:eastAsia="Times New Roman" w:hAnsi="Arial" w:cs="Arial"/>
                <w:color w:val="000000"/>
                <w:sz w:val="24"/>
                <w:szCs w:val="24"/>
              </w:rPr>
              <w:t>($1,092.69)</w:t>
            </w:r>
          </w:p>
        </w:tc>
      </w:tr>
      <w:tr w:rsidR="001F1B17" w:rsidRPr="001F1B17" w:rsidTr="001F1B17">
        <w:trPr>
          <w:trHeight w:val="378"/>
        </w:trPr>
        <w:tc>
          <w:tcPr>
            <w:tcW w:w="5202" w:type="dxa"/>
            <w:tcBorders>
              <w:top w:val="nil"/>
              <w:left w:val="double" w:sz="6" w:space="0" w:color="000000"/>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rPr>
                <w:rFonts w:ascii="Arial" w:eastAsia="Times New Roman" w:hAnsi="Arial" w:cs="Arial"/>
                <w:color w:val="000000"/>
                <w:sz w:val="24"/>
                <w:szCs w:val="24"/>
              </w:rPr>
            </w:pPr>
            <w:r w:rsidRPr="001F1B17">
              <w:rPr>
                <w:rFonts w:ascii="Arial" w:eastAsia="Times New Roman" w:hAnsi="Arial" w:cs="Arial"/>
                <w:sz w:val="24"/>
                <w:szCs w:val="24"/>
              </w:rPr>
              <w:t>Real-Time Revenue Neutrality Allocation</w:t>
            </w:r>
            <w:r w:rsidRPr="001F1B17">
              <w:rPr>
                <w:rFonts w:ascii="Arial" w:eastAsia="Times New Roman" w:hAnsi="Arial" w:cs="Arial"/>
                <w:color w:val="000000"/>
                <w:sz w:val="24"/>
                <w:szCs w:val="24"/>
              </w:rPr>
              <w:t xml:space="preserve"> (LARTRNAMT)</w:t>
            </w:r>
          </w:p>
        </w:tc>
        <w:tc>
          <w:tcPr>
            <w:tcW w:w="3600" w:type="dxa"/>
            <w:tcBorders>
              <w:top w:val="nil"/>
              <w:left w:val="nil"/>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jc w:val="right"/>
              <w:rPr>
                <w:rFonts w:ascii="Arial" w:eastAsia="Times New Roman" w:hAnsi="Arial" w:cs="Arial"/>
                <w:color w:val="000000"/>
                <w:sz w:val="24"/>
                <w:szCs w:val="24"/>
              </w:rPr>
            </w:pPr>
            <w:r w:rsidRPr="001F1B17">
              <w:rPr>
                <w:rFonts w:ascii="Arial" w:eastAsia="Times New Roman" w:hAnsi="Arial" w:cs="Arial"/>
                <w:color w:val="000000"/>
                <w:sz w:val="24"/>
                <w:szCs w:val="24"/>
              </w:rPr>
              <w:t>($1,265.79)</w:t>
            </w:r>
          </w:p>
        </w:tc>
      </w:tr>
      <w:tr w:rsidR="001F1B17" w:rsidRPr="001F1B17" w:rsidTr="001F1B17">
        <w:trPr>
          <w:trHeight w:val="378"/>
        </w:trPr>
        <w:tc>
          <w:tcPr>
            <w:tcW w:w="5202" w:type="dxa"/>
            <w:tcBorders>
              <w:top w:val="nil"/>
              <w:left w:val="double" w:sz="6" w:space="0" w:color="000000"/>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rPr>
                <w:rFonts w:ascii="Arial" w:eastAsia="Times New Roman" w:hAnsi="Arial" w:cs="Arial"/>
                <w:color w:val="000000"/>
                <w:sz w:val="24"/>
                <w:szCs w:val="24"/>
              </w:rPr>
            </w:pPr>
            <w:r w:rsidRPr="001F1B17">
              <w:rPr>
                <w:rFonts w:ascii="Arial" w:eastAsia="Times New Roman" w:hAnsi="Arial" w:cs="Arial"/>
                <w:sz w:val="24"/>
                <w:szCs w:val="24"/>
              </w:rPr>
              <w:t>Payment for Emergency Energy Increase</w:t>
            </w:r>
            <w:r w:rsidRPr="001F1B17">
              <w:rPr>
                <w:rFonts w:ascii="Arial" w:eastAsia="Times New Roman" w:hAnsi="Arial" w:cs="Arial"/>
                <w:color w:val="000000"/>
                <w:sz w:val="24"/>
                <w:szCs w:val="24"/>
              </w:rPr>
              <w:t xml:space="preserve"> (EMREAMT)</w:t>
            </w:r>
          </w:p>
        </w:tc>
        <w:tc>
          <w:tcPr>
            <w:tcW w:w="3600" w:type="dxa"/>
            <w:tcBorders>
              <w:top w:val="nil"/>
              <w:left w:val="nil"/>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jc w:val="right"/>
              <w:rPr>
                <w:rFonts w:ascii="Arial" w:eastAsia="Times New Roman" w:hAnsi="Arial" w:cs="Arial"/>
                <w:color w:val="000000"/>
                <w:sz w:val="24"/>
                <w:szCs w:val="24"/>
              </w:rPr>
            </w:pPr>
            <w:r w:rsidRPr="001F1B17">
              <w:rPr>
                <w:rFonts w:ascii="Arial" w:eastAsia="Times New Roman" w:hAnsi="Arial" w:cs="Arial"/>
                <w:color w:val="000000"/>
                <w:sz w:val="24"/>
                <w:szCs w:val="24"/>
              </w:rPr>
              <w:t>($159,555.20)</w:t>
            </w:r>
          </w:p>
        </w:tc>
      </w:tr>
      <w:tr w:rsidR="001F1B17" w:rsidRPr="001F1B17" w:rsidTr="001F1B17">
        <w:trPr>
          <w:trHeight w:val="378"/>
        </w:trPr>
        <w:tc>
          <w:tcPr>
            <w:tcW w:w="5202" w:type="dxa"/>
            <w:tcBorders>
              <w:top w:val="nil"/>
              <w:left w:val="double" w:sz="6" w:space="0" w:color="000000"/>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rPr>
                <w:rFonts w:ascii="Arial" w:eastAsia="Times New Roman" w:hAnsi="Arial" w:cs="Arial"/>
                <w:color w:val="000000"/>
                <w:sz w:val="24"/>
                <w:szCs w:val="24"/>
              </w:rPr>
            </w:pPr>
            <w:r w:rsidRPr="001F1B17">
              <w:rPr>
                <w:rFonts w:ascii="Arial" w:eastAsia="Times New Roman" w:hAnsi="Arial" w:cs="Arial"/>
                <w:sz w:val="24"/>
                <w:szCs w:val="24"/>
              </w:rPr>
              <w:t>Charge</w:t>
            </w:r>
            <w:r w:rsidRPr="001F1B17">
              <w:rPr>
                <w:rFonts w:ascii="Arial" w:eastAsia="Times New Roman" w:hAnsi="Arial" w:cs="Arial"/>
                <w:color w:val="000000"/>
                <w:sz w:val="24"/>
                <w:szCs w:val="24"/>
              </w:rPr>
              <w:t xml:space="preserve"> for Emergency Power Increase (LAEMREAMT)</w:t>
            </w:r>
          </w:p>
        </w:tc>
        <w:tc>
          <w:tcPr>
            <w:tcW w:w="3600" w:type="dxa"/>
            <w:tcBorders>
              <w:top w:val="nil"/>
              <w:left w:val="nil"/>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jc w:val="right"/>
              <w:rPr>
                <w:rFonts w:ascii="Arial" w:eastAsia="Times New Roman" w:hAnsi="Arial" w:cs="Arial"/>
                <w:color w:val="000000"/>
                <w:sz w:val="24"/>
                <w:szCs w:val="24"/>
              </w:rPr>
            </w:pPr>
            <w:r w:rsidRPr="001F1B17">
              <w:rPr>
                <w:rFonts w:ascii="Arial" w:eastAsia="Times New Roman" w:hAnsi="Arial" w:cs="Arial"/>
                <w:color w:val="000000"/>
                <w:sz w:val="24"/>
                <w:szCs w:val="24"/>
              </w:rPr>
              <w:t>$159,555.14</w:t>
            </w:r>
          </w:p>
        </w:tc>
      </w:tr>
      <w:tr w:rsidR="001F1B17" w:rsidRPr="001F1B17" w:rsidTr="001F1B17">
        <w:trPr>
          <w:trHeight w:val="378"/>
        </w:trPr>
        <w:tc>
          <w:tcPr>
            <w:tcW w:w="5202" w:type="dxa"/>
            <w:tcBorders>
              <w:top w:val="nil"/>
              <w:left w:val="double" w:sz="6" w:space="0" w:color="000000"/>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rPr>
                <w:rFonts w:ascii="Arial" w:eastAsia="Times New Roman" w:hAnsi="Arial" w:cs="Arial"/>
                <w:sz w:val="24"/>
                <w:szCs w:val="24"/>
              </w:rPr>
            </w:pPr>
            <w:bookmarkStart w:id="0" w:name="_Toc240359943"/>
            <w:r w:rsidRPr="001F1B17">
              <w:rPr>
                <w:rFonts w:ascii="Arial" w:eastAsia="Times New Roman" w:hAnsi="Arial" w:cs="Arial"/>
                <w:sz w:val="24"/>
                <w:szCs w:val="24"/>
              </w:rPr>
              <w:t>ERCOT System Administration Charge</w:t>
            </w:r>
            <w:bookmarkEnd w:id="0"/>
            <w:r w:rsidRPr="001F1B17">
              <w:rPr>
                <w:rFonts w:ascii="Arial" w:eastAsia="Times New Roman" w:hAnsi="Arial" w:cs="Arial"/>
                <w:sz w:val="24"/>
                <w:szCs w:val="24"/>
              </w:rPr>
              <w:t xml:space="preserve"> (ESACAMT)</w:t>
            </w:r>
          </w:p>
        </w:tc>
        <w:tc>
          <w:tcPr>
            <w:tcW w:w="3600" w:type="dxa"/>
            <w:tcBorders>
              <w:top w:val="nil"/>
              <w:left w:val="nil"/>
              <w:bottom w:val="double" w:sz="6" w:space="0" w:color="000000"/>
              <w:right w:val="double" w:sz="6" w:space="0" w:color="000000"/>
            </w:tcBorders>
            <w:tcMar>
              <w:top w:w="72" w:type="dxa"/>
              <w:left w:w="72" w:type="dxa"/>
              <w:bottom w:w="72" w:type="dxa"/>
              <w:right w:w="72" w:type="dxa"/>
            </w:tcMar>
            <w:vAlign w:val="bottom"/>
            <w:hideMark/>
          </w:tcPr>
          <w:p w:rsidR="001F1B17" w:rsidRPr="001F1B17" w:rsidRDefault="001F1B17" w:rsidP="001F1B17">
            <w:pPr>
              <w:spacing w:after="0" w:line="240" w:lineRule="auto"/>
              <w:jc w:val="right"/>
              <w:rPr>
                <w:rFonts w:ascii="Arial" w:eastAsia="Times New Roman" w:hAnsi="Arial" w:cs="Arial"/>
                <w:color w:val="000000"/>
                <w:sz w:val="24"/>
                <w:szCs w:val="24"/>
              </w:rPr>
            </w:pPr>
            <w:r w:rsidRPr="001F1B17">
              <w:rPr>
                <w:rFonts w:ascii="Arial" w:eastAsia="Times New Roman" w:hAnsi="Arial" w:cs="Arial"/>
                <w:color w:val="000000"/>
                <w:sz w:val="24"/>
                <w:szCs w:val="24"/>
              </w:rPr>
              <w:t>$301.72</w:t>
            </w:r>
          </w:p>
        </w:tc>
      </w:tr>
    </w:tbl>
    <w:p w:rsidR="001F1B17" w:rsidRPr="001F1B17" w:rsidRDefault="001F1B17" w:rsidP="001F1B17">
      <w:pPr>
        <w:spacing w:after="240" w:line="240" w:lineRule="auto"/>
        <w:rPr>
          <w:rFonts w:ascii="Calibri" w:eastAsia="Times New Roman" w:hAnsi="Calibri" w:cs="Arial"/>
          <w:color w:val="1F497D"/>
        </w:rPr>
      </w:pPr>
    </w:p>
    <w:p w:rsidR="001F1B17" w:rsidRPr="001F1B17" w:rsidRDefault="001F1B17" w:rsidP="001F1B17">
      <w:pPr>
        <w:spacing w:after="240" w:line="240" w:lineRule="auto"/>
        <w:rPr>
          <w:rFonts w:ascii="Arial" w:eastAsia="Times New Roman" w:hAnsi="Arial" w:cs="Arial"/>
          <w:sz w:val="24"/>
          <w:szCs w:val="24"/>
        </w:rPr>
      </w:pPr>
      <w:r w:rsidRPr="001F1B17">
        <w:rPr>
          <w:rFonts w:ascii="Arial" w:eastAsia="Times New Roman" w:hAnsi="Arial" w:cs="Arial"/>
          <w:b/>
          <w:bCs/>
          <w:sz w:val="24"/>
          <w:szCs w:val="24"/>
        </w:rPr>
        <w:t>CONTACT:</w:t>
      </w:r>
      <w:r w:rsidRPr="001F1B17">
        <w:rPr>
          <w:rFonts w:ascii="Arial" w:eastAsia="Times New Roman" w:hAnsi="Arial" w:cs="Arial"/>
          <w:sz w:val="24"/>
          <w:szCs w:val="24"/>
        </w:rPr>
        <w:t xml:space="preserve">  If you have any questions, please contact your ERCOT Account Manager. You may also call the general ERCOT Client Services phone number at (512) 248-3900 or contact ERCOT Client Services via email at </w:t>
      </w:r>
      <w:hyperlink r:id="rId4" w:tgtFrame="_parent" w:history="1">
        <w:r w:rsidRPr="001F1B17">
          <w:rPr>
            <w:rFonts w:ascii="Arial" w:eastAsia="Times New Roman" w:hAnsi="Arial" w:cs="Arial"/>
            <w:color w:val="0563C1"/>
            <w:sz w:val="24"/>
            <w:szCs w:val="24"/>
            <w:u w:val="single"/>
          </w:rPr>
          <w:t>[log in to unmask]</w:t>
        </w:r>
      </w:hyperlink>
      <w:r w:rsidRPr="001F1B17">
        <w:rPr>
          <w:rFonts w:ascii="Arial" w:eastAsia="Times New Roman" w:hAnsi="Arial" w:cs="Arial"/>
          <w:sz w:val="24"/>
          <w:szCs w:val="24"/>
        </w:rPr>
        <w:t>.</w:t>
      </w:r>
    </w:p>
    <w:p w:rsidR="001F1B17" w:rsidRPr="001F1B17" w:rsidRDefault="001F1B17" w:rsidP="001F1B17">
      <w:pPr>
        <w:spacing w:after="240" w:line="240" w:lineRule="auto"/>
        <w:rPr>
          <w:rFonts w:ascii="Arial" w:eastAsia="Times New Roman" w:hAnsi="Arial" w:cs="Arial"/>
          <w:sz w:val="20"/>
          <w:szCs w:val="20"/>
        </w:rPr>
      </w:pPr>
      <w:r w:rsidRPr="001F1B17">
        <w:rPr>
          <w:rFonts w:ascii="Arial" w:eastAsia="Times New Roman" w:hAnsi="Arial" w:cs="Arial"/>
          <w:b/>
          <w:bCs/>
          <w:sz w:val="20"/>
          <w:szCs w:val="20"/>
        </w:rPr>
        <w:t xml:space="preserve">If you are receiving email from an ERCOT distribution list that you no longer wish to receive, please follow this link in order to unsubscribe from this list: </w:t>
      </w:r>
      <w:hyperlink r:id="rId5" w:history="1">
        <w:r w:rsidRPr="001F1B17">
          <w:rPr>
            <w:rFonts w:ascii="Arial" w:eastAsia="Times New Roman" w:hAnsi="Arial" w:cs="Arial"/>
            <w:color w:val="0563C1"/>
            <w:sz w:val="20"/>
            <w:szCs w:val="20"/>
            <w:u w:val="single"/>
          </w:rPr>
          <w:t>http://lists.ercot.com</w:t>
        </w:r>
      </w:hyperlink>
      <w:r w:rsidRPr="001F1B17">
        <w:rPr>
          <w:rFonts w:ascii="Arial" w:eastAsia="Times New Roman" w:hAnsi="Arial" w:cs="Arial"/>
          <w:sz w:val="20"/>
          <w:szCs w:val="20"/>
        </w:rPr>
        <w:t>.</w:t>
      </w:r>
    </w:p>
    <w:p w:rsidR="001F1B17" w:rsidRPr="001F1B17" w:rsidRDefault="001F1B17" w:rsidP="001F1B17">
      <w:pPr>
        <w:spacing w:after="240" w:line="240" w:lineRule="auto"/>
        <w:rPr>
          <w:rFonts w:ascii="Arial" w:eastAsia="Times New Roman" w:hAnsi="Arial" w:cs="Arial"/>
          <w:sz w:val="20"/>
          <w:szCs w:val="20"/>
        </w:rPr>
      </w:pPr>
    </w:p>
    <w:p w:rsidR="00363069" w:rsidRDefault="00363069">
      <w:bookmarkStart w:id="1" w:name="_GoBack"/>
      <w:bookmarkEnd w:id="1"/>
    </w:p>
    <w:sectPr w:rsidR="00363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17"/>
    <w:rsid w:val="001F1B17"/>
    <w:rsid w:val="00363069"/>
    <w:rsid w:val="003B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AC647-475E-45C5-9F11-9C9242A1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1B17"/>
    <w:rPr>
      <w:color w:val="0563C1"/>
      <w:u w:val="single"/>
    </w:rPr>
  </w:style>
  <w:style w:type="character" w:customStyle="1" w:styleId="StyleBold">
    <w:name w:val="Style Bold"/>
    <w:basedOn w:val="DefaultParagraphFont"/>
    <w:rsid w:val="001F1B17"/>
    <w:rPr>
      <w:rFonts w:ascii="Arial" w:hAnsi="Arial" w:cs="Aria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3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sts.ercot.com" TargetMode="External"/><Relationship Id="rId4" Type="http://schemas.openxmlformats.org/officeDocument/2006/relationships/hyperlink" Target="http://lists.ercot.com/scripts/wa-ercot.exe?LOGON=A3%3Dind1608%26L%3DNOTICE_SETTLEMENTS%26E%3Dquoted-printable%26P%3D23648%26B%3D--_000_3E87B359A497CF43BB3CB18506AECF8C11C1BF57CPW0095ercotcom_%26T%3Dtext%252Fhtml%3B%2520charset%3Dus-ascii%26pending%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 Austin</dc:creator>
  <cp:keywords/>
  <dc:description/>
  <cp:lastModifiedBy>Rosel, Austin</cp:lastModifiedBy>
  <cp:revision>1</cp:revision>
  <dcterms:created xsi:type="dcterms:W3CDTF">2016-11-11T14:57:00Z</dcterms:created>
  <dcterms:modified xsi:type="dcterms:W3CDTF">2016-11-11T14:58:00Z</dcterms:modified>
</cp:coreProperties>
</file>