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74A5C" w:rsidRPr="00974A5C" w:rsidRDefault="008A577A" w:rsidP="00974A5C">
      <w:pPr>
        <w:rPr>
          <w:b/>
          <w:sz w:val="28"/>
          <w:szCs w:val="28"/>
        </w:rPr>
      </w:pPr>
      <w:bookmarkStart w:id="0" w:name="_GoBack"/>
      <w:bookmarkEnd w:id="0"/>
      <w:r>
        <w:rPr>
          <w:b/>
          <w:bCs/>
          <w:sz w:val="28"/>
          <w:szCs w:val="28"/>
        </w:rPr>
        <w:t xml:space="preserve">Settlement </w:t>
      </w:r>
      <w:r w:rsidR="00974A5C" w:rsidRPr="00974A5C">
        <w:rPr>
          <w:b/>
          <w:bCs/>
          <w:sz w:val="28"/>
          <w:szCs w:val="28"/>
        </w:rPr>
        <w:t>Option 1 – Optional Switch</w:t>
      </w:r>
    </w:p>
    <w:p w:rsidR="00C77CD2" w:rsidRPr="00974A5C" w:rsidRDefault="008346BB" w:rsidP="00974A5C">
      <w:pPr>
        <w:numPr>
          <w:ilvl w:val="0"/>
          <w:numId w:val="3"/>
        </w:numPr>
      </w:pPr>
      <w:r w:rsidRPr="00974A5C">
        <w:t xml:space="preserve">Non-ERCOT Control Area releases the SWGR. </w:t>
      </w:r>
    </w:p>
    <w:p w:rsidR="00C77CD2" w:rsidRPr="00974A5C" w:rsidRDefault="008346BB" w:rsidP="00974A5C">
      <w:pPr>
        <w:numPr>
          <w:ilvl w:val="0"/>
          <w:numId w:val="3"/>
        </w:numPr>
      </w:pPr>
      <w:r w:rsidRPr="00974A5C">
        <w:t>SWGR QSE will have the decision if SWGR will move from non-ERCOT Control Area into ERCOT.</w:t>
      </w:r>
    </w:p>
    <w:p w:rsidR="00C77CD2" w:rsidRPr="00974A5C" w:rsidRDefault="008346BB" w:rsidP="00974A5C">
      <w:pPr>
        <w:numPr>
          <w:ilvl w:val="0"/>
          <w:numId w:val="3"/>
        </w:numPr>
      </w:pPr>
      <w:r w:rsidRPr="00974A5C">
        <w:t xml:space="preserve">ERCOT will ask for SWGR to switch for an Emergency Condition. </w:t>
      </w:r>
    </w:p>
    <w:p w:rsidR="00C77CD2" w:rsidRDefault="008346BB" w:rsidP="002B556E">
      <w:pPr>
        <w:numPr>
          <w:ilvl w:val="0"/>
          <w:numId w:val="3"/>
        </w:numPr>
      </w:pPr>
      <w:r w:rsidRPr="00974A5C">
        <w:t xml:space="preserve">Resource may be RUC committed </w:t>
      </w:r>
      <w:r w:rsidR="000B228F">
        <w:t xml:space="preserve">and settled based on </w:t>
      </w:r>
      <w:r w:rsidRPr="00974A5C">
        <w:t>current Protocols</w:t>
      </w:r>
    </w:p>
    <w:p w:rsidR="00974A5C" w:rsidRPr="00974A5C" w:rsidRDefault="00974A5C" w:rsidP="00974A5C">
      <w:pPr>
        <w:ind w:left="720"/>
      </w:pPr>
    </w:p>
    <w:tbl>
      <w:tblPr>
        <w:tblW w:w="11430" w:type="dxa"/>
        <w:tblInd w:w="-1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5"/>
        <w:gridCol w:w="7105"/>
      </w:tblGrid>
      <w:tr w:rsidR="00974A5C" w:rsidTr="004F478B"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A5C" w:rsidRDefault="00974A5C" w:rsidP="004F4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Benefits</w:t>
            </w:r>
          </w:p>
        </w:tc>
        <w:tc>
          <w:tcPr>
            <w:tcW w:w="7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A5C" w:rsidRDefault="00974A5C" w:rsidP="004F478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Costs</w:t>
            </w:r>
          </w:p>
        </w:tc>
      </w:tr>
      <w:tr w:rsidR="00974A5C" w:rsidTr="004F478B"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974A5C" w:rsidRDefault="008A577A" w:rsidP="004F478B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Utilizes existing settlement processes; no incremental implementation costs </w:t>
            </w:r>
          </w:p>
          <w:p w:rsidR="00D21290" w:rsidRDefault="00D21290" w:rsidP="00D21290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  <w:p w:rsidR="008A577A" w:rsidRDefault="008A577A" w:rsidP="008A5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Potentially lower uplift costs to market than with Settlement Option 2</w:t>
            </w:r>
          </w:p>
          <w:p w:rsidR="000B228F" w:rsidRPr="000B228F" w:rsidRDefault="000B228F" w:rsidP="000B228F">
            <w:pPr>
              <w:pStyle w:val="ListParagraph"/>
              <w:rPr>
                <w:b/>
                <w:bCs/>
              </w:rPr>
            </w:pPr>
          </w:p>
          <w:p w:rsidR="000B228F" w:rsidRDefault="000B228F" w:rsidP="008A577A">
            <w:pPr>
              <w:pStyle w:val="ListParagraph"/>
              <w:numPr>
                <w:ilvl w:val="0"/>
                <w:numId w:val="1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Grid reliability may be at risk if generator does not switch to ERCOT during emergency conditions</w:t>
            </w:r>
          </w:p>
          <w:p w:rsidR="00D21290" w:rsidRDefault="00D21290" w:rsidP="008A577A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  <w:p w:rsidR="00974A5C" w:rsidRDefault="00974A5C" w:rsidP="004F478B">
            <w:pPr>
              <w:pStyle w:val="ListParagraph"/>
              <w:spacing w:after="0" w:line="240" w:lineRule="auto"/>
              <w:ind w:left="1080" w:hanging="360"/>
            </w:pPr>
          </w:p>
        </w:tc>
        <w:tc>
          <w:tcPr>
            <w:tcW w:w="7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974A5C" w:rsidRDefault="00B24807" w:rsidP="00B24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RUC Make-Whole Payments</w:t>
            </w:r>
          </w:p>
          <w:p w:rsidR="00B24807" w:rsidRDefault="00B24807" w:rsidP="00B24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ERCOT may have to RUC more expensive generation if </w:t>
            </w:r>
            <w:r w:rsidR="002357AB">
              <w:rPr>
                <w:b/>
                <w:bCs/>
              </w:rPr>
              <w:t xml:space="preserve">the </w:t>
            </w:r>
            <w:r>
              <w:rPr>
                <w:b/>
                <w:bCs/>
              </w:rPr>
              <w:t>SWGR chooses not to switch</w:t>
            </w:r>
          </w:p>
          <w:p w:rsidR="00B24807" w:rsidRDefault="00B24807" w:rsidP="00B24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ERCOT exposed to not adequately meeting grid reliability</w:t>
            </w:r>
          </w:p>
          <w:p w:rsidR="002357AB" w:rsidRDefault="002357AB" w:rsidP="00B24807">
            <w:pPr>
              <w:pStyle w:val="ListParagraph"/>
              <w:numPr>
                <w:ilvl w:val="0"/>
                <w:numId w:val="5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Potential cost of not serving load can be significant (value of loss load = $9,000/MWh)</w:t>
            </w:r>
          </w:p>
          <w:p w:rsidR="00B24807" w:rsidRPr="00B24807" w:rsidRDefault="00B24807" w:rsidP="00B24807">
            <w:pPr>
              <w:ind w:left="360"/>
              <w:rPr>
                <w:b/>
                <w:bCs/>
              </w:rPr>
            </w:pPr>
            <w:r w:rsidRPr="00B24807">
              <w:rPr>
                <w:b/>
                <w:bCs/>
              </w:rPr>
              <w:t xml:space="preserve"> </w:t>
            </w:r>
          </w:p>
        </w:tc>
      </w:tr>
    </w:tbl>
    <w:p w:rsidR="00974A5C" w:rsidRDefault="00974A5C" w:rsidP="00974A5C">
      <w:pPr>
        <w:rPr>
          <w:b/>
        </w:rPr>
      </w:pPr>
    </w:p>
    <w:p w:rsidR="00974A5C" w:rsidRPr="00974A5C" w:rsidRDefault="008346BB" w:rsidP="00974A5C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Settlement </w:t>
      </w:r>
      <w:r w:rsidR="00974A5C" w:rsidRPr="00974A5C">
        <w:rPr>
          <w:b/>
          <w:sz w:val="28"/>
          <w:szCs w:val="28"/>
        </w:rPr>
        <w:t>Option 2 – Required Switch</w:t>
      </w:r>
    </w:p>
    <w:p w:rsidR="00974A5C" w:rsidRPr="00974A5C" w:rsidRDefault="00974A5C" w:rsidP="00974A5C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 w:rsidRPr="00974A5C">
        <w:t xml:space="preserve">ERCOT will ask for SWGR to switch for an Emergency Condition. </w:t>
      </w:r>
    </w:p>
    <w:p w:rsidR="00974A5C" w:rsidRPr="00974A5C" w:rsidRDefault="00974A5C" w:rsidP="00974A5C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 w:rsidRPr="00974A5C">
        <w:t>Non-ERCOT Control Area releases the SWGR. SWGR required to switch to ERCOT if capable.</w:t>
      </w:r>
    </w:p>
    <w:p w:rsidR="00974A5C" w:rsidRPr="00974A5C" w:rsidRDefault="00974A5C" w:rsidP="00974A5C">
      <w:pPr>
        <w:numPr>
          <w:ilvl w:val="1"/>
          <w:numId w:val="2"/>
        </w:numPr>
        <w:tabs>
          <w:tab w:val="clear" w:pos="1440"/>
          <w:tab w:val="num" w:pos="720"/>
        </w:tabs>
        <w:ind w:left="720"/>
      </w:pPr>
      <w:r w:rsidRPr="00974A5C">
        <w:t>Potential for additional settlement treatment</w:t>
      </w:r>
    </w:p>
    <w:p w:rsidR="00974A5C" w:rsidRDefault="00974A5C" w:rsidP="00974A5C"/>
    <w:tbl>
      <w:tblPr>
        <w:tblW w:w="11430" w:type="dxa"/>
        <w:tblInd w:w="-11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325"/>
        <w:gridCol w:w="7105"/>
      </w:tblGrid>
      <w:tr w:rsidR="005F445D" w:rsidTr="00C32E09">
        <w:tc>
          <w:tcPr>
            <w:tcW w:w="4325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45D" w:rsidRDefault="005F4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Benefits</w:t>
            </w:r>
          </w:p>
        </w:tc>
        <w:tc>
          <w:tcPr>
            <w:tcW w:w="710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45D" w:rsidRDefault="005F445D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Potential Costs</w:t>
            </w:r>
          </w:p>
        </w:tc>
      </w:tr>
      <w:tr w:rsidR="005F445D" w:rsidTr="00C32E09">
        <w:tc>
          <w:tcPr>
            <w:tcW w:w="4325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D21290" w:rsidRDefault="00875E23" w:rsidP="004745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Better alignment </w:t>
            </w:r>
            <w:r w:rsidR="0081744B">
              <w:rPr>
                <w:b/>
                <w:bCs/>
              </w:rPr>
              <w:t xml:space="preserve">of </w:t>
            </w:r>
            <w:r>
              <w:rPr>
                <w:b/>
                <w:bCs/>
              </w:rPr>
              <w:t xml:space="preserve">SWG compensation with </w:t>
            </w:r>
            <w:r w:rsidR="0081744B">
              <w:rPr>
                <w:b/>
                <w:bCs/>
              </w:rPr>
              <w:t>actual costs</w:t>
            </w:r>
          </w:p>
          <w:p w:rsidR="0081744B" w:rsidRDefault="0081744B" w:rsidP="004745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Provides better incentive to generators to make </w:t>
            </w:r>
            <w:r w:rsidR="000B228F">
              <w:rPr>
                <w:b/>
                <w:bCs/>
              </w:rPr>
              <w:t xml:space="preserve">themselves </w:t>
            </w:r>
            <w:r>
              <w:rPr>
                <w:b/>
                <w:bCs/>
              </w:rPr>
              <w:t>available to ERCOT during emergency conditions</w:t>
            </w:r>
          </w:p>
          <w:p w:rsidR="0081744B" w:rsidRDefault="0081744B" w:rsidP="004745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>Allows ERCOT to better manage grid reliability</w:t>
            </w:r>
          </w:p>
          <w:p w:rsidR="00D556F0" w:rsidRDefault="00D556F0" w:rsidP="0047451E">
            <w:pPr>
              <w:pStyle w:val="ListParagraph"/>
              <w:numPr>
                <w:ilvl w:val="0"/>
                <w:numId w:val="4"/>
              </w:numPr>
              <w:spacing w:after="0" w:line="240" w:lineRule="auto"/>
              <w:rPr>
                <w:b/>
                <w:bCs/>
              </w:rPr>
            </w:pPr>
            <w:r>
              <w:rPr>
                <w:b/>
                <w:bCs/>
              </w:rPr>
              <w:t xml:space="preserve">No risk to SWGR from </w:t>
            </w:r>
            <w:r w:rsidR="00AD452D">
              <w:rPr>
                <w:b/>
                <w:bCs/>
              </w:rPr>
              <w:t xml:space="preserve">both </w:t>
            </w:r>
            <w:r>
              <w:rPr>
                <w:b/>
                <w:bCs/>
              </w:rPr>
              <w:t>IMM/PUCT</w:t>
            </w:r>
            <w:r w:rsidR="00AD452D">
              <w:rPr>
                <w:b/>
                <w:bCs/>
              </w:rPr>
              <w:t xml:space="preserve"> and FERC</w:t>
            </w:r>
          </w:p>
          <w:p w:rsidR="00D21290" w:rsidRDefault="00D21290" w:rsidP="00D21290">
            <w:pPr>
              <w:pStyle w:val="ListParagraph"/>
              <w:spacing w:after="0" w:line="240" w:lineRule="auto"/>
              <w:ind w:left="360"/>
              <w:rPr>
                <w:b/>
                <w:bCs/>
              </w:rPr>
            </w:pPr>
          </w:p>
          <w:p w:rsidR="00CC3AEC" w:rsidRPr="00875E23" w:rsidRDefault="00CC3AEC" w:rsidP="00875E23">
            <w:pPr>
              <w:rPr>
                <w:b/>
                <w:bCs/>
              </w:rPr>
            </w:pPr>
          </w:p>
          <w:p w:rsidR="00D21290" w:rsidRPr="00D21290" w:rsidRDefault="00D21290" w:rsidP="00D21290">
            <w:pPr>
              <w:pStyle w:val="ListParagraph"/>
              <w:rPr>
                <w:b/>
                <w:bCs/>
              </w:rPr>
            </w:pPr>
          </w:p>
          <w:p w:rsidR="005F445D" w:rsidRDefault="005F445D" w:rsidP="00C32E09">
            <w:pPr>
              <w:pStyle w:val="ListParagraph"/>
              <w:spacing w:after="0" w:line="240" w:lineRule="auto"/>
              <w:ind w:left="1080" w:hanging="360"/>
            </w:pPr>
          </w:p>
        </w:tc>
        <w:tc>
          <w:tcPr>
            <w:tcW w:w="710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5F445D" w:rsidRDefault="005F445D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>1.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       </w:t>
            </w:r>
            <w:r>
              <w:rPr>
                <w:b/>
                <w:bCs/>
              </w:rPr>
              <w:t>Capacity penalties</w:t>
            </w:r>
          </w:p>
          <w:p w:rsidR="005F445D" w:rsidRDefault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>SWG cannot meet capacity obligations</w:t>
            </w:r>
          </w:p>
          <w:p w:rsidR="005F445D" w:rsidRDefault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>Potential penalty = $1,200,000</w:t>
            </w:r>
          </w:p>
          <w:p w:rsidR="005F445D" w:rsidRDefault="005F445D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>2.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       </w:t>
            </w:r>
            <w:r>
              <w:rPr>
                <w:b/>
                <w:bCs/>
              </w:rPr>
              <w:t>Incremental start trip costs (during synchronous speed &amp; no load)</w:t>
            </w:r>
          </w:p>
          <w:p w:rsidR="005F445D" w:rsidRDefault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>Potential cost approx. $10,000 per start (industry average)</w:t>
            </w:r>
          </w:p>
          <w:p w:rsidR="005F445D" w:rsidRDefault="005F445D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>3.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       </w:t>
            </w:r>
            <w:r>
              <w:rPr>
                <w:b/>
                <w:bCs/>
              </w:rPr>
              <w:t>Gas penalties</w:t>
            </w:r>
          </w:p>
          <w:p w:rsidR="005F445D" w:rsidRDefault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>Costs associated with missed scheduled gas burn</w:t>
            </w:r>
          </w:p>
          <w:p w:rsidR="005F445D" w:rsidRDefault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>Potential storage and demand charges</w:t>
            </w:r>
          </w:p>
          <w:p w:rsidR="005F445D" w:rsidRDefault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>Costs as high as $225,00 per hour</w:t>
            </w:r>
          </w:p>
          <w:p w:rsidR="005F445D" w:rsidRDefault="005F445D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>4.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       </w:t>
            </w:r>
            <w:r>
              <w:rPr>
                <w:b/>
                <w:bCs/>
              </w:rPr>
              <w:t>Breach of bilateral obligations/ Liquidated damages</w:t>
            </w:r>
          </w:p>
          <w:p w:rsidR="005F445D" w:rsidRDefault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 xml:space="preserve">Potential capacity replacement costs </w:t>
            </w:r>
          </w:p>
          <w:p w:rsidR="005F445D" w:rsidRDefault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>Costs as high as $772,000 per hour</w:t>
            </w:r>
          </w:p>
          <w:p w:rsidR="005F445D" w:rsidRDefault="005F445D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>6.</w:t>
            </w: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       </w:t>
            </w:r>
            <w:r>
              <w:rPr>
                <w:b/>
                <w:bCs/>
              </w:rPr>
              <w:t>Right of private action exemption</w:t>
            </w:r>
          </w:p>
          <w:p w:rsidR="005F445D" w:rsidRDefault="005F445D" w:rsidP="005F445D">
            <w:pPr>
              <w:pStyle w:val="ListParagraph"/>
              <w:spacing w:after="0" w:line="240" w:lineRule="auto"/>
              <w:ind w:left="1080" w:hanging="360"/>
            </w:pP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 w:rsidR="00074281">
              <w:t>Undefined</w:t>
            </w:r>
          </w:p>
          <w:p w:rsidR="005F445D" w:rsidRDefault="005F445D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>7.     NERC violations</w:t>
            </w:r>
          </w:p>
          <w:p w:rsidR="005F445D" w:rsidRDefault="005F445D" w:rsidP="005F445D">
            <w:pPr>
              <w:pStyle w:val="ListParagraph"/>
              <w:spacing w:after="0" w:line="240" w:lineRule="auto"/>
              <w:ind w:left="1080" w:hanging="360"/>
              <w:rPr>
                <w:b/>
                <w:bCs/>
              </w:rPr>
            </w:pPr>
            <w:r>
              <w:rPr>
                <w:rFonts w:ascii="Wingdings" w:hAnsi="Wingdings"/>
              </w:rPr>
              <w:t></w:t>
            </w:r>
            <w:r>
              <w:rPr>
                <w:rFonts w:ascii="Times New Roman" w:hAnsi="Times New Roman"/>
                <w:sz w:val="14"/>
                <w:szCs w:val="14"/>
              </w:rPr>
              <w:t xml:space="preserve">  </w:t>
            </w:r>
            <w:r>
              <w:t>Potential costs as high as $1, 000,000 per day</w:t>
            </w:r>
          </w:p>
          <w:p w:rsidR="00875E23" w:rsidRDefault="00875E23" w:rsidP="00875E23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>8.    Potentially more expensive settlement implementation costs</w:t>
            </w:r>
          </w:p>
          <w:p w:rsidR="00074281" w:rsidRDefault="00074281" w:rsidP="00875E23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>9.    Potential PUCT/IMM withholding penalties</w:t>
            </w:r>
          </w:p>
          <w:p w:rsidR="00074281" w:rsidRDefault="00074281" w:rsidP="00875E23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>10.  PPA costs</w:t>
            </w:r>
          </w:p>
          <w:p w:rsidR="00715159" w:rsidRDefault="00715159" w:rsidP="00875E23">
            <w:pPr>
              <w:pStyle w:val="ListParagraph"/>
              <w:spacing w:after="0" w:line="240" w:lineRule="auto"/>
              <w:ind w:hanging="360"/>
              <w:rPr>
                <w:b/>
                <w:bCs/>
              </w:rPr>
            </w:pPr>
            <w:r>
              <w:rPr>
                <w:b/>
                <w:bCs/>
              </w:rPr>
              <w:t>11.  Market obligation make whole charges</w:t>
            </w:r>
          </w:p>
          <w:p w:rsidR="005F445D" w:rsidRDefault="005F445D">
            <w:pPr>
              <w:pStyle w:val="ListParagraph"/>
              <w:spacing w:after="0" w:line="240" w:lineRule="auto"/>
              <w:ind w:left="1440" w:hanging="360"/>
              <w:rPr>
                <w:b/>
                <w:bCs/>
              </w:rPr>
            </w:pPr>
          </w:p>
        </w:tc>
      </w:tr>
    </w:tbl>
    <w:p w:rsidR="005F445D" w:rsidRDefault="005F445D"/>
    <w:p w:rsidR="00AD452D" w:rsidRPr="005C56F6" w:rsidRDefault="00AD452D">
      <w:pPr>
        <w:rPr>
          <w:u w:val="single"/>
        </w:rPr>
      </w:pPr>
      <w:r w:rsidRPr="005C56F6">
        <w:rPr>
          <w:u w:val="single"/>
        </w:rPr>
        <w:t>Other things to consider</w:t>
      </w:r>
    </w:p>
    <w:p w:rsidR="00974A5C" w:rsidRDefault="00715159" w:rsidP="00715159">
      <w:pPr>
        <w:pStyle w:val="ListParagraph"/>
        <w:numPr>
          <w:ilvl w:val="0"/>
          <w:numId w:val="6"/>
        </w:numPr>
      </w:pPr>
      <w:r>
        <w:t>Can we diffe</w:t>
      </w:r>
      <w:r w:rsidR="005C56F6">
        <w:t>rentiate QSGRS from other units in the application of switching policies?</w:t>
      </w:r>
    </w:p>
    <w:p w:rsidR="00715159" w:rsidRDefault="00715159" w:rsidP="00715159">
      <w:pPr>
        <w:pStyle w:val="ListParagraph"/>
        <w:numPr>
          <w:ilvl w:val="0"/>
          <w:numId w:val="6"/>
        </w:numPr>
      </w:pPr>
      <w:r>
        <w:t>Do we need separate settlement treatment for different ISO connected SWGRS</w:t>
      </w:r>
    </w:p>
    <w:p w:rsidR="00715159" w:rsidRDefault="00715159" w:rsidP="00715159">
      <w:pPr>
        <w:pStyle w:val="ListParagraph"/>
      </w:pPr>
    </w:p>
    <w:sectPr w:rsidR="0071515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7B1859"/>
    <w:multiLevelType w:val="hybridMultilevel"/>
    <w:tmpl w:val="986E3D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A925F6F"/>
    <w:multiLevelType w:val="hybridMultilevel"/>
    <w:tmpl w:val="016E186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65C21358"/>
    <w:multiLevelType w:val="hybridMultilevel"/>
    <w:tmpl w:val="3690A0BE"/>
    <w:lvl w:ilvl="0" w:tplc="987A02CA">
      <w:start w:val="1"/>
      <w:numFmt w:val="decimal"/>
      <w:lvlText w:val="%1."/>
      <w:lvlJc w:val="left"/>
      <w:pPr>
        <w:ind w:left="780" w:hanging="4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7322A26"/>
    <w:multiLevelType w:val="hybridMultilevel"/>
    <w:tmpl w:val="72443FAC"/>
    <w:lvl w:ilvl="0" w:tplc="131A2754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585842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DB2493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F3A3C5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6E0888F8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33F8F9C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B71A020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FA10BDB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8F02E36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C0F3D2F"/>
    <w:multiLevelType w:val="hybridMultilevel"/>
    <w:tmpl w:val="F984CB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B5A0FC1"/>
    <w:multiLevelType w:val="hybridMultilevel"/>
    <w:tmpl w:val="05E44DFA"/>
    <w:lvl w:ilvl="0" w:tplc="C802A9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2FE0AD6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156ACD8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9C8B8C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1E82A70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10459E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D4AC584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A0CE67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5745E0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5"/>
  </w:num>
  <w:num w:numId="4">
    <w:abstractNumId w:val="1"/>
  </w:num>
  <w:num w:numId="5">
    <w:abstractNumId w:val="2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445D"/>
    <w:rsid w:val="00074281"/>
    <w:rsid w:val="000B228F"/>
    <w:rsid w:val="002357AB"/>
    <w:rsid w:val="003C0BB2"/>
    <w:rsid w:val="0047451E"/>
    <w:rsid w:val="005C56F6"/>
    <w:rsid w:val="005F445D"/>
    <w:rsid w:val="00715159"/>
    <w:rsid w:val="0081744B"/>
    <w:rsid w:val="008346BB"/>
    <w:rsid w:val="00875E23"/>
    <w:rsid w:val="008A577A"/>
    <w:rsid w:val="00974A5C"/>
    <w:rsid w:val="00AD452D"/>
    <w:rsid w:val="00B24807"/>
    <w:rsid w:val="00B358C1"/>
    <w:rsid w:val="00C32E09"/>
    <w:rsid w:val="00C77CD2"/>
    <w:rsid w:val="00CC3AEC"/>
    <w:rsid w:val="00D21290"/>
    <w:rsid w:val="00D37AE9"/>
    <w:rsid w:val="00D556F0"/>
    <w:rsid w:val="00F0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9BA0469F-38B6-432D-8195-3BED0FD04B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F445D"/>
    <w:pPr>
      <w:spacing w:after="0" w:line="240" w:lineRule="auto"/>
    </w:pPr>
    <w:rPr>
      <w:rFonts w:ascii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F445D"/>
    <w:pPr>
      <w:spacing w:after="160" w:line="252" w:lineRule="auto"/>
      <w:ind w:left="720"/>
      <w:contextualSpacing/>
    </w:pPr>
  </w:style>
  <w:style w:type="paragraph" w:styleId="NoSpacing">
    <w:name w:val="No Spacing"/>
    <w:uiPriority w:val="1"/>
    <w:qFormat/>
    <w:rsid w:val="00974A5C"/>
    <w:pPr>
      <w:spacing w:after="0" w:line="240" w:lineRule="auto"/>
    </w:pPr>
    <w:rPr>
      <w:rFonts w:ascii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86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6013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8889164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155097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02180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241444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7262961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128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4191540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491894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29647">
          <w:marLeft w:val="144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356</Words>
  <Characters>2035</Characters>
  <Application>Microsoft Office Word</Application>
  <DocSecurity>4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2387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Gonzalez, Ino</dc:creator>
  <cp:keywords/>
  <dc:description/>
  <cp:lastModifiedBy>Vinson, Paul T.</cp:lastModifiedBy>
  <cp:revision>2</cp:revision>
  <dcterms:created xsi:type="dcterms:W3CDTF">2016-09-06T15:08:00Z</dcterms:created>
  <dcterms:modified xsi:type="dcterms:W3CDTF">2016-09-06T15:08:00Z</dcterms:modified>
</cp:coreProperties>
</file>