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6A6" w:rsidRPr="001D6606" w:rsidRDefault="00B80128" w:rsidP="006B656B">
      <w:pPr>
        <w:jc w:val="center"/>
        <w:rPr>
          <w:rFonts w:cs="Arial"/>
          <w:b/>
          <w:sz w:val="24"/>
          <w:szCs w:val="24"/>
        </w:rPr>
      </w:pPr>
      <w:bookmarkStart w:id="0" w:name="_GoBack"/>
      <w:bookmarkEnd w:id="0"/>
      <w:r w:rsidRPr="001D6606">
        <w:rPr>
          <w:rFonts w:cs="Arial"/>
          <w:b/>
          <w:sz w:val="24"/>
          <w:szCs w:val="24"/>
        </w:rPr>
        <w:t>R4 Market Facing Changes</w:t>
      </w:r>
    </w:p>
    <w:p w:rsidR="006B656B" w:rsidRPr="001D6606" w:rsidRDefault="006B656B" w:rsidP="00B80128">
      <w:pPr>
        <w:rPr>
          <w:rFonts w:cs="Arial"/>
          <w:sz w:val="20"/>
          <w:szCs w:val="20"/>
        </w:rPr>
      </w:pPr>
      <w:r w:rsidRPr="001D6606">
        <w:rPr>
          <w:rFonts w:cs="Arial"/>
          <w:sz w:val="20"/>
          <w:szCs w:val="20"/>
        </w:rPr>
        <w:t xml:space="preserve">From Market Notice </w:t>
      </w:r>
      <w:r w:rsidRPr="001D6606">
        <w:rPr>
          <w:rFonts w:cs="Arial"/>
          <w:sz w:val="20"/>
          <w:szCs w:val="20"/>
        </w:rPr>
        <w:t>M-C072916-01 Release – Retail/Wholesale</w:t>
      </w:r>
      <w:r w:rsidRPr="001D6606">
        <w:rPr>
          <w:rFonts w:cs="Arial"/>
          <w:sz w:val="20"/>
          <w:szCs w:val="20"/>
        </w:rPr>
        <w:t>:  Market-Facing Changes – R4</w:t>
      </w:r>
      <w:r w:rsidR="001D6606">
        <w:rPr>
          <w:rFonts w:cs="Arial"/>
          <w:sz w:val="20"/>
          <w:szCs w:val="20"/>
        </w:rPr>
        <w:t xml:space="preserve"> August_</w:t>
      </w:r>
      <w:r w:rsidRPr="001D6606">
        <w:rPr>
          <w:rFonts w:cs="Arial"/>
          <w:sz w:val="20"/>
          <w:szCs w:val="20"/>
        </w:rPr>
        <w:t>September 2016</w:t>
      </w:r>
    </w:p>
    <w:tbl>
      <w:tblPr>
        <w:tblW w:w="9445" w:type="dxa"/>
        <w:tblLook w:val="04A0" w:firstRow="1" w:lastRow="0" w:firstColumn="1" w:lastColumn="0" w:noHBand="0" w:noVBand="1"/>
      </w:tblPr>
      <w:tblGrid>
        <w:gridCol w:w="1540"/>
        <w:gridCol w:w="7905"/>
      </w:tblGrid>
      <w:tr w:rsidR="006B656B" w:rsidRPr="006B656B" w:rsidTr="006E333B">
        <w:trPr>
          <w:trHeight w:val="341"/>
        </w:trPr>
        <w:tc>
          <w:tcPr>
            <w:tcW w:w="154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B656B" w:rsidRPr="006B656B" w:rsidRDefault="006B656B" w:rsidP="006B656B">
            <w:pPr>
              <w:spacing w:after="0" w:line="240" w:lineRule="auto"/>
              <w:jc w:val="center"/>
              <w:rPr>
                <w:rFonts w:eastAsia="Times New Roman" w:cs="Arial"/>
                <w:b/>
                <w:color w:val="000000"/>
                <w:sz w:val="20"/>
                <w:szCs w:val="20"/>
              </w:rPr>
            </w:pPr>
            <w:r w:rsidRPr="006B656B">
              <w:rPr>
                <w:rFonts w:eastAsia="Times New Roman" w:cs="Arial"/>
                <w:b/>
                <w:color w:val="000000"/>
                <w:sz w:val="20"/>
                <w:szCs w:val="20"/>
              </w:rPr>
              <w:t>Change ID</w:t>
            </w:r>
          </w:p>
        </w:tc>
        <w:tc>
          <w:tcPr>
            <w:tcW w:w="7905" w:type="dxa"/>
            <w:tcBorders>
              <w:top w:val="single" w:sz="4" w:space="0" w:color="auto"/>
              <w:left w:val="nil"/>
              <w:bottom w:val="single" w:sz="4" w:space="0" w:color="auto"/>
              <w:right w:val="single" w:sz="4" w:space="0" w:color="auto"/>
            </w:tcBorders>
            <w:shd w:val="clear" w:color="000000" w:fill="D9D9D9"/>
            <w:vAlign w:val="bottom"/>
            <w:hideMark/>
          </w:tcPr>
          <w:p w:rsidR="006B656B" w:rsidRPr="006B656B" w:rsidRDefault="006B656B" w:rsidP="006B656B">
            <w:pPr>
              <w:spacing w:after="0" w:line="240" w:lineRule="auto"/>
              <w:jc w:val="center"/>
              <w:rPr>
                <w:rFonts w:eastAsia="Times New Roman" w:cs="Arial"/>
                <w:b/>
                <w:bCs/>
                <w:color w:val="000000"/>
                <w:sz w:val="20"/>
                <w:szCs w:val="20"/>
              </w:rPr>
            </w:pPr>
            <w:r w:rsidRPr="006B656B">
              <w:rPr>
                <w:rFonts w:eastAsia="Times New Roman" w:cs="Arial"/>
                <w:b/>
                <w:bCs/>
                <w:color w:val="000000"/>
                <w:sz w:val="20"/>
                <w:szCs w:val="20"/>
              </w:rPr>
              <w:t>Market Notice Description</w:t>
            </w:r>
          </w:p>
        </w:tc>
      </w:tr>
      <w:tr w:rsidR="006B656B" w:rsidRPr="006B656B" w:rsidTr="001D6606">
        <w:trPr>
          <w:trHeight w:val="2447"/>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ITCM-27091</w:t>
            </w:r>
            <w:r w:rsidRPr="006B656B">
              <w:rPr>
                <w:rFonts w:eastAsia="Times New Roman" w:cs="Arial"/>
                <w:color w:val="000000"/>
                <w:sz w:val="20"/>
                <w:szCs w:val="20"/>
              </w:rPr>
              <w:br/>
              <w:t>ITCM-22815</w:t>
            </w:r>
            <w:r w:rsidRPr="006B656B">
              <w:rPr>
                <w:rFonts w:eastAsia="Times New Roman" w:cs="Arial"/>
                <w:color w:val="000000"/>
                <w:sz w:val="20"/>
                <w:szCs w:val="20"/>
              </w:rPr>
              <w:br/>
              <w:t>NPRR662</w:t>
            </w:r>
          </w:p>
        </w:tc>
        <w:tc>
          <w:tcPr>
            <w:tcW w:w="7905" w:type="dxa"/>
            <w:tcBorders>
              <w:top w:val="nil"/>
              <w:left w:val="nil"/>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 xml:space="preserve">This Nodal Protocol Revision Request (NPRR) addresses proxy Energy Offer Curves generated by ERCOT for a Resource that does not submit an Energy Offer Curve or submits an incomplete Energy Offer Curve. For a Resource without an Energy Offer Curve, a monotonically increasing proxy Energy Offer Curve will be created such that the last point on the curve is extended. For a Resource with an incomplete Energy Offer Curve (typically cogeneration facilities that update their HSL, but not their offer curve), a proxy Energy Offer Curve will be created to extend the offer price from last point on the submitted Energy Offer Curve up to the Resource's HSL.  For a Controllable Load Resource with an energy bid that does not cover the full range of the Resource's capability, a proxy energy bid will be created that uses the price associated with lowest MW in the submitted energy bid curve. </w:t>
            </w:r>
          </w:p>
        </w:tc>
      </w:tr>
      <w:tr w:rsidR="006B656B" w:rsidRPr="006B656B" w:rsidTr="006E333B">
        <w:trPr>
          <w:trHeight w:val="701"/>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ITCM-26289</w:t>
            </w:r>
          </w:p>
        </w:tc>
        <w:tc>
          <w:tcPr>
            <w:tcW w:w="7905" w:type="dxa"/>
            <w:tcBorders>
              <w:top w:val="nil"/>
              <w:left w:val="nil"/>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 xml:space="preserve">Current link name: Non-Registered DG Installed Capacity Quarterly Report (NP16-533-M, Rpt ID 13544) being changed to: Unregistered DG Installed Capacity Quarterly Report (Unregistered replaces Non-Registered) </w:t>
            </w:r>
          </w:p>
        </w:tc>
      </w:tr>
      <w:tr w:rsidR="006B656B" w:rsidRPr="006B656B" w:rsidTr="001D6606">
        <w:trPr>
          <w:trHeight w:val="503"/>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ITCM-26076</w:t>
            </w:r>
          </w:p>
        </w:tc>
        <w:tc>
          <w:tcPr>
            <w:tcW w:w="7905" w:type="dxa"/>
            <w:tcBorders>
              <w:top w:val="nil"/>
              <w:left w:val="nil"/>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With this fix, related SCED reports with energy curves will have nulls representing price/quantity pairs that were not submitted by the Market participants or extended by SCED.</w:t>
            </w:r>
          </w:p>
        </w:tc>
      </w:tr>
      <w:tr w:rsidR="006B656B" w:rsidRPr="006B656B" w:rsidTr="006E333B">
        <w:trPr>
          <w:trHeight w:val="458"/>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ITCM-24331</w:t>
            </w:r>
          </w:p>
        </w:tc>
        <w:tc>
          <w:tcPr>
            <w:tcW w:w="7905" w:type="dxa"/>
            <w:tcBorders>
              <w:top w:val="nil"/>
              <w:left w:val="nil"/>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Email notifications regarding the resources due for testing will be sent to Resource entities every 2 weeks rather than the current frequency of once a month.</w:t>
            </w:r>
          </w:p>
        </w:tc>
      </w:tr>
      <w:tr w:rsidR="006B656B" w:rsidRPr="006B656B" w:rsidTr="006E333B">
        <w:trPr>
          <w:trHeight w:val="1106"/>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ITCM-24018</w:t>
            </w:r>
          </w:p>
        </w:tc>
        <w:tc>
          <w:tcPr>
            <w:tcW w:w="7905" w:type="dxa"/>
            <w:tcBorders>
              <w:top w:val="nil"/>
              <w:left w:val="nil"/>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To correct MIS link name to be consistent with Protocols, the following link name changes are being made:  1) Link name for Estimate Aggregate Liability (EAL) Detail Report (Report ID 11179) should be Estimated Aggregate Liability (EAL) Detail Report, and 2) Link name for Estimate Aggregate Liability (EAL) Summary Report (13003) should be Estimated Aggregate Liability (EAL) Summary Report.</w:t>
            </w:r>
          </w:p>
        </w:tc>
      </w:tr>
      <w:tr w:rsidR="006B656B" w:rsidRPr="006B656B" w:rsidTr="001D6606">
        <w:trPr>
          <w:trHeight w:val="413"/>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ITCM-23039</w:t>
            </w:r>
          </w:p>
        </w:tc>
        <w:tc>
          <w:tcPr>
            <w:tcW w:w="7905" w:type="dxa"/>
            <w:tcBorders>
              <w:top w:val="nil"/>
              <w:left w:val="nil"/>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 xml:space="preserve">On the Market Manager, at times the Energy Offer Curve Only button is not displayed. If an update is performed at this point, it removed the Startup and Minimum Energy Offer values.  </w:t>
            </w:r>
          </w:p>
        </w:tc>
      </w:tr>
      <w:tr w:rsidR="006B656B" w:rsidRPr="006B656B" w:rsidTr="006E333B">
        <w:trPr>
          <w:trHeight w:val="3167"/>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ITCM-21568</w:t>
            </w:r>
          </w:p>
        </w:tc>
        <w:tc>
          <w:tcPr>
            <w:tcW w:w="7905" w:type="dxa"/>
            <w:tcBorders>
              <w:top w:val="nil"/>
              <w:left w:val="nil"/>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sz w:val="20"/>
                <w:szCs w:val="20"/>
              </w:rPr>
            </w:pPr>
            <w:r w:rsidRPr="006B656B">
              <w:rPr>
                <w:rFonts w:eastAsia="Times New Roman" w:cs="Arial"/>
                <w:sz w:val="20"/>
                <w:szCs w:val="20"/>
              </w:rPr>
              <w:t xml:space="preserve">The following link changes are being made on the MIS: 1) Create a new link in the Grid &gt; Forecasts &gt; Short-Term System Adequacy portlet for Hourly Resource Outage Capacity (NP3-233-CD, 13103), 2) Create 2 new links in the Grid &gt; Forecasts &gt; Short-Term System Adequacy portlet for the following: </w:t>
            </w:r>
            <w:r w:rsidRPr="006B656B">
              <w:rPr>
                <w:rFonts w:eastAsia="Times New Roman" w:cs="Arial"/>
                <w:sz w:val="20"/>
                <w:szCs w:val="20"/>
              </w:rPr>
              <w:br/>
              <w:t xml:space="preserve"> * Seven-Day Load Forecast by Forecast Zone (NP3-560-CD, 12311) </w:t>
            </w:r>
            <w:r w:rsidRPr="006B656B">
              <w:rPr>
                <w:rFonts w:eastAsia="Times New Roman" w:cs="Arial"/>
                <w:sz w:val="20"/>
                <w:szCs w:val="20"/>
              </w:rPr>
              <w:br/>
              <w:t xml:space="preserve"> * Seven-Day Load Forecast by Weather Zone (NP3-561-CD, 12312) </w:t>
            </w:r>
            <w:r w:rsidRPr="006B656B">
              <w:rPr>
                <w:rFonts w:eastAsia="Times New Roman" w:cs="Arial"/>
                <w:sz w:val="20"/>
                <w:szCs w:val="20"/>
              </w:rPr>
              <w:br/>
              <w:t xml:space="preserve">3) Remove the following links from Grid &gt; Forecasts &gt; Significant System Conditions portlet: </w:t>
            </w:r>
            <w:r w:rsidRPr="006B656B">
              <w:rPr>
                <w:rFonts w:eastAsia="Times New Roman" w:cs="Arial"/>
                <w:sz w:val="20"/>
                <w:szCs w:val="20"/>
              </w:rPr>
              <w:br/>
              <w:t>* Seven-Day Load Forecast by Forecast Zone (NP3-560-CD, 12311)</w:t>
            </w:r>
            <w:r w:rsidRPr="006B656B">
              <w:rPr>
                <w:rFonts w:eastAsia="Times New Roman" w:cs="Arial"/>
                <w:sz w:val="20"/>
                <w:szCs w:val="20"/>
              </w:rPr>
              <w:br/>
              <w:t>* Seven-Day Load Forecast by Weather Zone (NP3-561-CD, 12312)</w:t>
            </w:r>
            <w:r w:rsidRPr="006B656B">
              <w:rPr>
                <w:rFonts w:eastAsia="Times New Roman" w:cs="Arial"/>
                <w:sz w:val="20"/>
                <w:szCs w:val="20"/>
              </w:rPr>
              <w:br/>
              <w:t>4) Create a new link in the Grid &gt; Forecasts &gt; Short-Term System Adequacy portlet for Weekly RUC Active and Binding Transmission Constraints (NP5-753-CD, 12337)</w:t>
            </w:r>
            <w:r w:rsidRPr="006B656B">
              <w:rPr>
                <w:rFonts w:eastAsia="Times New Roman" w:cs="Arial"/>
                <w:sz w:val="20"/>
                <w:szCs w:val="20"/>
              </w:rPr>
              <w:br/>
              <w:t xml:space="preserve"> 5) Remove the link to Hourly RUC Active and Binding Transmission Constraints (NP5-755-CD, 12336) from the Grid &gt; Forecasts &gt; Short-Term System Adequacy portlet. </w:t>
            </w:r>
          </w:p>
        </w:tc>
      </w:tr>
      <w:tr w:rsidR="006B656B" w:rsidRPr="006B656B" w:rsidTr="001D6606">
        <w:trPr>
          <w:trHeight w:val="602"/>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ITCM-21116</w:t>
            </w:r>
          </w:p>
        </w:tc>
        <w:tc>
          <w:tcPr>
            <w:tcW w:w="7905" w:type="dxa"/>
            <w:tcBorders>
              <w:top w:val="nil"/>
              <w:left w:val="nil"/>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For consistency with other displays that have a disclaimer, add a period at the end of the disclaimer on the Real-Time LMPs for Latest SCED Run Display. Disclaimer should be: LMP values do not include the Real-Time price adders.</w:t>
            </w:r>
          </w:p>
        </w:tc>
      </w:tr>
      <w:tr w:rsidR="006B656B" w:rsidRPr="006B656B" w:rsidTr="006E333B">
        <w:trPr>
          <w:trHeight w:val="710"/>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ITCM-21115</w:t>
            </w:r>
          </w:p>
        </w:tc>
        <w:tc>
          <w:tcPr>
            <w:tcW w:w="7905" w:type="dxa"/>
            <w:tcBorders>
              <w:top w:val="nil"/>
              <w:left w:val="nil"/>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For consistency with other displays that have a disclaimer, add a period at the end of the disclaimer on the Real-Time LMPs for Load Zones and Trading Hubs Display. Disclaimer should be: LMP values do not include the Real-Time price adders.</w:t>
            </w:r>
          </w:p>
        </w:tc>
      </w:tr>
      <w:tr w:rsidR="006B656B" w:rsidRPr="006B656B" w:rsidTr="006E333B">
        <w:trPr>
          <w:trHeight w:val="620"/>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ITCM-16090</w:t>
            </w:r>
          </w:p>
        </w:tc>
        <w:tc>
          <w:tcPr>
            <w:tcW w:w="7905" w:type="dxa"/>
            <w:tcBorders>
              <w:top w:val="nil"/>
              <w:left w:val="nil"/>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Ensure all baseload CRR's are sent to the engine to solve for Simultaneous Feasibility prior to running the optimization algorithm.  No auctions have been affected by this defect as it was discovered by ERCOT, and appropriate work-arounds have been employed.</w:t>
            </w:r>
          </w:p>
        </w:tc>
      </w:tr>
      <w:tr w:rsidR="006B656B" w:rsidRPr="006B656B" w:rsidTr="001D6606">
        <w:trPr>
          <w:trHeight w:val="170"/>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lastRenderedPageBreak/>
              <w:t>ITCM-16089</w:t>
            </w:r>
          </w:p>
        </w:tc>
        <w:tc>
          <w:tcPr>
            <w:tcW w:w="7905" w:type="dxa"/>
            <w:tcBorders>
              <w:top w:val="nil"/>
              <w:left w:val="nil"/>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Improve the CRRAH and CP Credit Limit Editors to accurately show locked credit for any auction with currently locked credit.</w:t>
            </w:r>
          </w:p>
        </w:tc>
      </w:tr>
      <w:tr w:rsidR="006B656B" w:rsidRPr="006B656B" w:rsidTr="006E333B">
        <w:trPr>
          <w:trHeight w:val="458"/>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sz w:val="20"/>
                <w:szCs w:val="20"/>
              </w:rPr>
            </w:pPr>
            <w:r w:rsidRPr="006B656B">
              <w:rPr>
                <w:rFonts w:eastAsia="Times New Roman" w:cs="Arial"/>
                <w:sz w:val="20"/>
                <w:szCs w:val="20"/>
              </w:rPr>
              <w:t>ITCM-27931</w:t>
            </w:r>
          </w:p>
        </w:tc>
        <w:tc>
          <w:tcPr>
            <w:tcW w:w="7905" w:type="dxa"/>
            <w:tcBorders>
              <w:top w:val="nil"/>
              <w:left w:val="nil"/>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sz w:val="20"/>
                <w:szCs w:val="20"/>
              </w:rPr>
            </w:pPr>
            <w:r w:rsidRPr="006B656B">
              <w:rPr>
                <w:rFonts w:eastAsia="Times New Roman" w:cs="Arial"/>
                <w:sz w:val="20"/>
                <w:szCs w:val="20"/>
              </w:rPr>
              <w:t>New link on MIS on the Grid - Regional Planning page, in the Current Regional Planning Group Projects portlet:  LCRA TSC Cooks Point Project (PG3-317-M, 14146)</w:t>
            </w:r>
          </w:p>
        </w:tc>
      </w:tr>
      <w:tr w:rsidR="006B656B" w:rsidRPr="006B656B" w:rsidTr="006E333B">
        <w:trPr>
          <w:trHeight w:val="1250"/>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ITCM-27492</w:t>
            </w:r>
          </w:p>
        </w:tc>
        <w:tc>
          <w:tcPr>
            <w:tcW w:w="7905" w:type="dxa"/>
            <w:tcBorders>
              <w:top w:val="nil"/>
              <w:left w:val="nil"/>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 xml:space="preserve">Fixes the issue noted in Market Notice W-X071516-01 Extracts: DAM Aggregate Credit Exposure report (EMIL ID NP4-411-CD) issue with the calculation for combined cycle resources as part of the Three-Part Offer (TPO) exposure. In certain cases, the report was underrepresenting the credit that TPOs provide to overall credit exposure when two combined-cycled resource offers yielded the same credit exposure calculation. </w:t>
            </w:r>
          </w:p>
        </w:tc>
      </w:tr>
      <w:tr w:rsidR="006B656B" w:rsidRPr="006B656B" w:rsidTr="006E333B">
        <w:trPr>
          <w:trHeight w:val="440"/>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ITCM-17229</w:t>
            </w:r>
          </w:p>
        </w:tc>
        <w:tc>
          <w:tcPr>
            <w:tcW w:w="7905" w:type="dxa"/>
            <w:tcBorders>
              <w:top w:val="nil"/>
              <w:left w:val="nil"/>
              <w:bottom w:val="single" w:sz="4" w:space="0" w:color="auto"/>
              <w:right w:val="single" w:sz="4" w:space="0" w:color="auto"/>
            </w:tcBorders>
            <w:shd w:val="clear" w:color="auto" w:fill="auto"/>
            <w:vAlign w:val="bottom"/>
            <w:hideMark/>
          </w:tcPr>
          <w:p w:rsidR="006B656B" w:rsidRPr="006B656B" w:rsidRDefault="006B656B" w:rsidP="006B656B">
            <w:pPr>
              <w:spacing w:after="0" w:line="240" w:lineRule="auto"/>
              <w:rPr>
                <w:rFonts w:eastAsia="Times New Roman" w:cs="Arial"/>
                <w:color w:val="000000"/>
                <w:sz w:val="20"/>
                <w:szCs w:val="20"/>
              </w:rPr>
            </w:pPr>
            <w:r w:rsidRPr="006B656B">
              <w:rPr>
                <w:rFonts w:eastAsia="Times New Roman" w:cs="Arial"/>
                <w:color w:val="000000"/>
                <w:sz w:val="20"/>
                <w:szCs w:val="20"/>
              </w:rPr>
              <w:t>Adds a validation rule to reject submissions that are both multi-hour block and Curve type. Currently, the multi-hour block is removed during DAM clearing. With this change, QSEs will need to use Fixed or Variable type when submitting curves.</w:t>
            </w:r>
          </w:p>
        </w:tc>
      </w:tr>
    </w:tbl>
    <w:p w:rsidR="005624D3" w:rsidRPr="001D6606" w:rsidRDefault="005624D3">
      <w:pPr>
        <w:rPr>
          <w:rFonts w:cs="Arial"/>
          <w:sz w:val="20"/>
          <w:szCs w:val="20"/>
        </w:rPr>
      </w:pPr>
    </w:p>
    <w:p w:rsidR="00A409E9" w:rsidRPr="001D6606" w:rsidRDefault="00A409E9" w:rsidP="00A409E9">
      <w:pPr>
        <w:jc w:val="center"/>
        <w:rPr>
          <w:rFonts w:cs="Arial"/>
          <w:b/>
          <w:sz w:val="24"/>
          <w:szCs w:val="24"/>
        </w:rPr>
      </w:pPr>
      <w:r w:rsidRPr="001D6606">
        <w:rPr>
          <w:rFonts w:cs="Arial"/>
          <w:b/>
          <w:sz w:val="24"/>
          <w:szCs w:val="24"/>
        </w:rPr>
        <w:t>R5 Market Facing Changes</w:t>
      </w:r>
    </w:p>
    <w:p w:rsidR="00A409E9" w:rsidRPr="001D6606" w:rsidRDefault="00A409E9" w:rsidP="002F2159">
      <w:pPr>
        <w:rPr>
          <w:rFonts w:cs="Arial"/>
          <w:sz w:val="20"/>
          <w:szCs w:val="20"/>
        </w:rPr>
      </w:pPr>
      <w:r w:rsidRPr="001D6606">
        <w:rPr>
          <w:rFonts w:cs="Arial"/>
          <w:sz w:val="20"/>
          <w:szCs w:val="20"/>
        </w:rPr>
        <w:t>NOTE:  This list may not be all inclusive of changes going into the release and could change prior to the release.</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830"/>
      </w:tblGrid>
      <w:tr w:rsidR="00A409E9" w:rsidRPr="001D6606" w:rsidTr="00B605AF">
        <w:trPr>
          <w:trHeight w:val="341"/>
        </w:trPr>
        <w:tc>
          <w:tcPr>
            <w:tcW w:w="1615" w:type="dxa"/>
            <w:shd w:val="clear" w:color="000000" w:fill="D9D9D9"/>
            <w:vAlign w:val="bottom"/>
            <w:hideMark/>
          </w:tcPr>
          <w:p w:rsidR="00A409E9" w:rsidRPr="001D6606" w:rsidRDefault="00A409E9" w:rsidP="00CD1D6F">
            <w:pPr>
              <w:spacing w:after="0" w:line="240" w:lineRule="auto"/>
              <w:jc w:val="center"/>
              <w:rPr>
                <w:rFonts w:eastAsia="Times New Roman" w:cs="Arial"/>
                <w:b/>
                <w:color w:val="000000"/>
                <w:sz w:val="20"/>
                <w:szCs w:val="20"/>
              </w:rPr>
            </w:pPr>
            <w:r w:rsidRPr="001D6606">
              <w:rPr>
                <w:rFonts w:eastAsia="Times New Roman" w:cs="Arial"/>
                <w:b/>
                <w:color w:val="000000"/>
                <w:sz w:val="20"/>
                <w:szCs w:val="20"/>
              </w:rPr>
              <w:t>Change ID</w:t>
            </w:r>
          </w:p>
        </w:tc>
        <w:tc>
          <w:tcPr>
            <w:tcW w:w="7830" w:type="dxa"/>
            <w:shd w:val="clear" w:color="000000" w:fill="D9D9D9"/>
            <w:vAlign w:val="bottom"/>
            <w:hideMark/>
          </w:tcPr>
          <w:p w:rsidR="00A409E9" w:rsidRPr="001D6606" w:rsidRDefault="00A409E9" w:rsidP="00CD1D6F">
            <w:pPr>
              <w:spacing w:after="0" w:line="240" w:lineRule="auto"/>
              <w:jc w:val="center"/>
              <w:rPr>
                <w:rFonts w:eastAsia="Times New Roman" w:cs="Arial"/>
                <w:b/>
                <w:color w:val="000000"/>
                <w:sz w:val="20"/>
                <w:szCs w:val="20"/>
              </w:rPr>
            </w:pPr>
            <w:r w:rsidRPr="001D6606">
              <w:rPr>
                <w:rFonts w:eastAsia="Times New Roman" w:cs="Arial"/>
                <w:b/>
                <w:color w:val="000000"/>
                <w:sz w:val="20"/>
                <w:szCs w:val="20"/>
              </w:rPr>
              <w:t>Market Notice Description</w:t>
            </w:r>
          </w:p>
        </w:tc>
      </w:tr>
      <w:tr w:rsidR="0012330B" w:rsidRPr="001D6606" w:rsidTr="00B6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330B" w:rsidRPr="001D6606" w:rsidRDefault="0012330B" w:rsidP="0012330B">
            <w:pPr>
              <w:spacing w:after="0" w:line="240" w:lineRule="auto"/>
              <w:rPr>
                <w:rFonts w:eastAsia="Times New Roman" w:cs="Arial"/>
                <w:color w:val="000000"/>
                <w:sz w:val="20"/>
                <w:szCs w:val="20"/>
              </w:rPr>
            </w:pPr>
            <w:r w:rsidRPr="001D6606">
              <w:rPr>
                <w:rFonts w:eastAsia="Times New Roman" w:cs="Arial"/>
                <w:color w:val="000000"/>
                <w:sz w:val="20"/>
                <w:szCs w:val="20"/>
              </w:rPr>
              <w:t>ITCM-23757</w:t>
            </w:r>
            <w:r w:rsidRPr="001D6606">
              <w:rPr>
                <w:rFonts w:eastAsia="Times New Roman" w:cs="Arial"/>
                <w:color w:val="000000"/>
                <w:sz w:val="20"/>
                <w:szCs w:val="20"/>
              </w:rPr>
              <w:br/>
              <w:t>PR195-01</w:t>
            </w:r>
          </w:p>
        </w:tc>
        <w:tc>
          <w:tcPr>
            <w:tcW w:w="7830" w:type="dxa"/>
            <w:tcBorders>
              <w:top w:val="single" w:sz="4" w:space="0" w:color="auto"/>
              <w:bottom w:val="single" w:sz="4" w:space="0" w:color="auto"/>
              <w:right w:val="single" w:sz="4" w:space="0" w:color="auto"/>
            </w:tcBorders>
            <w:vAlign w:val="bottom"/>
          </w:tcPr>
          <w:p w:rsidR="0012330B" w:rsidRPr="001D6606" w:rsidRDefault="0012330B" w:rsidP="0012330B">
            <w:pPr>
              <w:spacing w:after="0" w:line="240" w:lineRule="auto"/>
              <w:rPr>
                <w:rFonts w:eastAsia="Times New Roman" w:cs="Arial"/>
                <w:color w:val="000000"/>
                <w:sz w:val="20"/>
                <w:szCs w:val="20"/>
              </w:rPr>
            </w:pPr>
            <w:r w:rsidRPr="001D6606">
              <w:rPr>
                <w:rFonts w:eastAsia="Times New Roman" w:cs="Arial"/>
                <w:color w:val="000000"/>
                <w:sz w:val="20"/>
                <w:szCs w:val="20"/>
              </w:rPr>
              <w:t>Changes to Ancillary Service Capacity Monitor to Satisfy NPRR495/736 Requirements</w:t>
            </w:r>
          </w:p>
        </w:tc>
      </w:tr>
      <w:tr w:rsidR="0012330B" w:rsidRPr="001D6606" w:rsidTr="00B6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615" w:type="dxa"/>
            <w:tcBorders>
              <w:top w:val="nil"/>
              <w:left w:val="single" w:sz="4" w:space="0" w:color="auto"/>
              <w:bottom w:val="single" w:sz="4" w:space="0" w:color="auto"/>
              <w:right w:val="single" w:sz="4" w:space="0" w:color="auto"/>
            </w:tcBorders>
            <w:shd w:val="clear" w:color="auto" w:fill="auto"/>
            <w:vAlign w:val="bottom"/>
            <w:hideMark/>
          </w:tcPr>
          <w:p w:rsidR="0012330B" w:rsidRPr="001D6606" w:rsidRDefault="0012330B" w:rsidP="0012330B">
            <w:pPr>
              <w:spacing w:after="0" w:line="240" w:lineRule="auto"/>
              <w:rPr>
                <w:rFonts w:eastAsia="Times New Roman" w:cs="Arial"/>
                <w:color w:val="000000"/>
                <w:sz w:val="20"/>
                <w:szCs w:val="20"/>
              </w:rPr>
            </w:pPr>
            <w:r w:rsidRPr="001D6606">
              <w:rPr>
                <w:rFonts w:eastAsia="Times New Roman" w:cs="Arial"/>
                <w:color w:val="000000"/>
                <w:sz w:val="20"/>
                <w:szCs w:val="20"/>
              </w:rPr>
              <w:t>ITCM-27484</w:t>
            </w:r>
          </w:p>
        </w:tc>
        <w:tc>
          <w:tcPr>
            <w:tcW w:w="7830" w:type="dxa"/>
            <w:tcBorders>
              <w:top w:val="single" w:sz="4" w:space="0" w:color="auto"/>
              <w:bottom w:val="single" w:sz="4" w:space="0" w:color="auto"/>
              <w:right w:val="single" w:sz="4" w:space="0" w:color="auto"/>
            </w:tcBorders>
            <w:vAlign w:val="bottom"/>
          </w:tcPr>
          <w:p w:rsidR="0012330B" w:rsidRPr="001D6606" w:rsidRDefault="0012330B" w:rsidP="00B605AF">
            <w:pPr>
              <w:spacing w:after="0" w:line="240" w:lineRule="auto"/>
              <w:rPr>
                <w:rFonts w:eastAsia="Times New Roman" w:cs="Arial"/>
                <w:color w:val="000000"/>
                <w:sz w:val="20"/>
                <w:szCs w:val="20"/>
              </w:rPr>
            </w:pPr>
            <w:r w:rsidRPr="001D6606">
              <w:rPr>
                <w:rFonts w:eastAsia="Times New Roman" w:cs="Arial"/>
                <w:color w:val="000000"/>
                <w:sz w:val="20"/>
                <w:szCs w:val="20"/>
              </w:rPr>
              <w:t>New link on MIS on Grid &gt;Resource Integration &gt; Partial Generation Interconnection (INR) Studies</w:t>
            </w:r>
            <w:r w:rsidRPr="001D6606">
              <w:rPr>
                <w:rFonts w:eastAsia="Times New Roman" w:cs="Arial"/>
                <w:color w:val="000000"/>
                <w:sz w:val="20"/>
                <w:szCs w:val="20"/>
              </w:rPr>
              <w:br/>
              <w:t xml:space="preserve">Link Name: 2021 GINR Screening, Steady-State, Short-Circuit and Facilities Reports </w:t>
            </w:r>
            <w:r w:rsidRPr="001D6606">
              <w:rPr>
                <w:rFonts w:eastAsia="Times New Roman" w:cs="Arial"/>
                <w:color w:val="000000"/>
                <w:sz w:val="20"/>
                <w:szCs w:val="20"/>
              </w:rPr>
              <w:br/>
              <w:t xml:space="preserve">Report ID: 13948 </w:t>
            </w:r>
            <w:r w:rsidRPr="001D6606">
              <w:rPr>
                <w:rFonts w:eastAsia="Times New Roman" w:cs="Arial"/>
                <w:color w:val="000000"/>
                <w:sz w:val="20"/>
                <w:szCs w:val="20"/>
              </w:rPr>
              <w:br/>
              <w:t xml:space="preserve">EMIL ID: NP1-344-M </w:t>
            </w:r>
          </w:p>
        </w:tc>
      </w:tr>
      <w:tr w:rsidR="0012330B" w:rsidRPr="001D6606" w:rsidTr="00B6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1"/>
        </w:trPr>
        <w:tc>
          <w:tcPr>
            <w:tcW w:w="1615" w:type="dxa"/>
            <w:tcBorders>
              <w:top w:val="nil"/>
              <w:left w:val="single" w:sz="4" w:space="0" w:color="auto"/>
              <w:bottom w:val="single" w:sz="4" w:space="0" w:color="auto"/>
              <w:right w:val="single" w:sz="4" w:space="0" w:color="auto"/>
            </w:tcBorders>
            <w:shd w:val="clear" w:color="auto" w:fill="auto"/>
            <w:vAlign w:val="bottom"/>
            <w:hideMark/>
          </w:tcPr>
          <w:p w:rsidR="0012330B" w:rsidRPr="001D6606" w:rsidRDefault="0012330B" w:rsidP="0012330B">
            <w:pPr>
              <w:spacing w:after="0" w:line="240" w:lineRule="auto"/>
              <w:rPr>
                <w:rFonts w:eastAsia="Times New Roman" w:cs="Arial"/>
                <w:color w:val="000000"/>
                <w:sz w:val="20"/>
                <w:szCs w:val="20"/>
              </w:rPr>
            </w:pPr>
            <w:r w:rsidRPr="001D6606">
              <w:rPr>
                <w:rFonts w:eastAsia="Times New Roman" w:cs="Arial"/>
                <w:color w:val="000000"/>
                <w:sz w:val="20"/>
                <w:szCs w:val="20"/>
              </w:rPr>
              <w:t>ITCM-27481</w:t>
            </w:r>
          </w:p>
        </w:tc>
        <w:tc>
          <w:tcPr>
            <w:tcW w:w="7830" w:type="dxa"/>
            <w:tcBorders>
              <w:top w:val="single" w:sz="4" w:space="0" w:color="auto"/>
              <w:bottom w:val="single" w:sz="4" w:space="0" w:color="auto"/>
              <w:right w:val="single" w:sz="4" w:space="0" w:color="auto"/>
            </w:tcBorders>
            <w:vAlign w:val="bottom"/>
          </w:tcPr>
          <w:p w:rsidR="0012330B" w:rsidRPr="001D6606" w:rsidRDefault="0012330B" w:rsidP="0012330B">
            <w:pPr>
              <w:spacing w:after="0" w:line="240" w:lineRule="auto"/>
              <w:rPr>
                <w:rFonts w:eastAsia="Times New Roman" w:cs="Arial"/>
                <w:color w:val="000000"/>
                <w:sz w:val="20"/>
                <w:szCs w:val="20"/>
              </w:rPr>
            </w:pPr>
            <w:r w:rsidRPr="001D6606">
              <w:rPr>
                <w:rFonts w:eastAsia="Times New Roman" w:cs="Arial"/>
                <w:color w:val="000000"/>
                <w:sz w:val="20"/>
                <w:szCs w:val="20"/>
              </w:rPr>
              <w:t>New link on MIS on Grid &gt; Resource Integration &gt; TSP Generation Interconnection (INR) Studies</w:t>
            </w:r>
          </w:p>
          <w:p w:rsidR="0012330B" w:rsidRPr="001D6606" w:rsidRDefault="0012330B" w:rsidP="0012330B">
            <w:pPr>
              <w:spacing w:after="0" w:line="240" w:lineRule="auto"/>
              <w:rPr>
                <w:rFonts w:eastAsia="Times New Roman" w:cs="Arial"/>
                <w:color w:val="000000"/>
                <w:sz w:val="20"/>
                <w:szCs w:val="20"/>
              </w:rPr>
            </w:pPr>
            <w:r w:rsidRPr="001D6606">
              <w:rPr>
                <w:rFonts w:eastAsia="Times New Roman" w:cs="Arial"/>
                <w:color w:val="000000"/>
                <w:sz w:val="20"/>
                <w:szCs w:val="20"/>
              </w:rPr>
              <w:t xml:space="preserve">Link Name: 2021 GINR Stability and SSO Reports </w:t>
            </w:r>
            <w:r w:rsidRPr="001D6606">
              <w:rPr>
                <w:rFonts w:eastAsia="Times New Roman" w:cs="Arial"/>
                <w:color w:val="000000"/>
                <w:sz w:val="20"/>
                <w:szCs w:val="20"/>
              </w:rPr>
              <w:br/>
              <w:t xml:space="preserve">Report ID: 13947 </w:t>
            </w:r>
            <w:r w:rsidRPr="001D6606">
              <w:rPr>
                <w:rFonts w:eastAsia="Times New Roman" w:cs="Arial"/>
                <w:color w:val="000000"/>
                <w:sz w:val="20"/>
                <w:szCs w:val="20"/>
              </w:rPr>
              <w:br/>
              <w:t>EMIL ID: NP1-343-M</w:t>
            </w:r>
          </w:p>
        </w:tc>
      </w:tr>
      <w:tr w:rsidR="0012330B" w:rsidRPr="001D6606" w:rsidTr="00B6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8"/>
        </w:trPr>
        <w:tc>
          <w:tcPr>
            <w:tcW w:w="1615" w:type="dxa"/>
            <w:tcBorders>
              <w:top w:val="nil"/>
              <w:left w:val="single" w:sz="4" w:space="0" w:color="auto"/>
              <w:bottom w:val="single" w:sz="4" w:space="0" w:color="auto"/>
              <w:right w:val="single" w:sz="4" w:space="0" w:color="auto"/>
            </w:tcBorders>
            <w:shd w:val="clear" w:color="auto" w:fill="auto"/>
            <w:vAlign w:val="bottom"/>
            <w:hideMark/>
          </w:tcPr>
          <w:p w:rsidR="0012330B" w:rsidRPr="001D6606" w:rsidRDefault="0012330B" w:rsidP="0012330B">
            <w:pPr>
              <w:spacing w:after="0" w:line="240" w:lineRule="auto"/>
              <w:rPr>
                <w:rFonts w:eastAsia="Times New Roman" w:cs="Arial"/>
                <w:color w:val="000000"/>
                <w:sz w:val="20"/>
                <w:szCs w:val="20"/>
              </w:rPr>
            </w:pPr>
            <w:r w:rsidRPr="001D6606">
              <w:rPr>
                <w:rFonts w:eastAsia="Times New Roman" w:cs="Arial"/>
                <w:color w:val="000000"/>
                <w:sz w:val="20"/>
                <w:szCs w:val="20"/>
              </w:rPr>
              <w:t>ITCM-27480</w:t>
            </w:r>
          </w:p>
        </w:tc>
        <w:tc>
          <w:tcPr>
            <w:tcW w:w="7830" w:type="dxa"/>
            <w:tcBorders>
              <w:top w:val="single" w:sz="4" w:space="0" w:color="auto"/>
              <w:bottom w:val="single" w:sz="4" w:space="0" w:color="auto"/>
              <w:right w:val="single" w:sz="4" w:space="0" w:color="auto"/>
            </w:tcBorders>
            <w:vAlign w:val="bottom"/>
          </w:tcPr>
          <w:p w:rsidR="0012330B" w:rsidRPr="001D6606" w:rsidRDefault="0012330B" w:rsidP="00B605AF">
            <w:pPr>
              <w:spacing w:after="0" w:line="240" w:lineRule="auto"/>
              <w:rPr>
                <w:rFonts w:eastAsia="Times New Roman" w:cs="Arial"/>
                <w:color w:val="000000"/>
                <w:sz w:val="20"/>
                <w:szCs w:val="20"/>
              </w:rPr>
            </w:pPr>
            <w:r w:rsidRPr="001D6606">
              <w:rPr>
                <w:rFonts w:eastAsia="Times New Roman" w:cs="Arial"/>
                <w:color w:val="000000"/>
                <w:sz w:val="20"/>
                <w:szCs w:val="20"/>
              </w:rPr>
              <w:t>New link on MIS on Grid &gt; Regional Planning &gt; Regional Transmission Planning (5 year Transmission Plan) portlet</w:t>
            </w:r>
            <w:r w:rsidRPr="001D6606">
              <w:rPr>
                <w:rFonts w:eastAsia="Times New Roman" w:cs="Arial"/>
                <w:color w:val="000000"/>
                <w:sz w:val="20"/>
                <w:szCs w:val="20"/>
              </w:rPr>
              <w:br/>
              <w:t xml:space="preserve">Link Name: 2017 Regional Transmission Plan Postings </w:t>
            </w:r>
            <w:r w:rsidRPr="001D6606">
              <w:rPr>
                <w:rFonts w:eastAsia="Times New Roman" w:cs="Arial"/>
                <w:color w:val="000000"/>
                <w:sz w:val="20"/>
                <w:szCs w:val="20"/>
              </w:rPr>
              <w:br/>
              <w:t xml:space="preserve">Report ID: 13946 </w:t>
            </w:r>
            <w:r w:rsidRPr="001D6606">
              <w:rPr>
                <w:rFonts w:eastAsia="Times New Roman" w:cs="Arial"/>
                <w:color w:val="000000"/>
                <w:sz w:val="20"/>
                <w:szCs w:val="20"/>
              </w:rPr>
              <w:br/>
              <w:t xml:space="preserve">EMIL ID: PG7-159-M </w:t>
            </w:r>
          </w:p>
        </w:tc>
      </w:tr>
      <w:tr w:rsidR="0012330B" w:rsidRPr="001D6606" w:rsidTr="00B6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5"/>
        </w:trPr>
        <w:tc>
          <w:tcPr>
            <w:tcW w:w="1615" w:type="dxa"/>
            <w:tcBorders>
              <w:top w:val="nil"/>
              <w:left w:val="single" w:sz="4" w:space="0" w:color="auto"/>
              <w:bottom w:val="single" w:sz="4" w:space="0" w:color="auto"/>
              <w:right w:val="single" w:sz="4" w:space="0" w:color="auto"/>
            </w:tcBorders>
            <w:shd w:val="clear" w:color="auto" w:fill="auto"/>
            <w:vAlign w:val="bottom"/>
            <w:hideMark/>
          </w:tcPr>
          <w:p w:rsidR="0012330B" w:rsidRPr="001D6606" w:rsidRDefault="0012330B" w:rsidP="0012330B">
            <w:pPr>
              <w:spacing w:after="0" w:line="240" w:lineRule="auto"/>
              <w:rPr>
                <w:rFonts w:eastAsia="Times New Roman" w:cs="Arial"/>
                <w:color w:val="000000"/>
                <w:sz w:val="20"/>
                <w:szCs w:val="20"/>
              </w:rPr>
            </w:pPr>
            <w:r w:rsidRPr="001D6606">
              <w:rPr>
                <w:rFonts w:eastAsia="Times New Roman" w:cs="Arial"/>
                <w:color w:val="000000"/>
                <w:sz w:val="20"/>
                <w:szCs w:val="20"/>
              </w:rPr>
              <w:t>ITCM-27841</w:t>
            </w:r>
          </w:p>
        </w:tc>
        <w:tc>
          <w:tcPr>
            <w:tcW w:w="7830" w:type="dxa"/>
            <w:tcBorders>
              <w:top w:val="single" w:sz="4" w:space="0" w:color="auto"/>
              <w:bottom w:val="single" w:sz="4" w:space="0" w:color="auto"/>
              <w:right w:val="single" w:sz="4" w:space="0" w:color="auto"/>
            </w:tcBorders>
            <w:vAlign w:val="bottom"/>
          </w:tcPr>
          <w:p w:rsidR="0012330B" w:rsidRPr="001D6606" w:rsidRDefault="0012330B" w:rsidP="0012330B">
            <w:pPr>
              <w:spacing w:after="0" w:line="240" w:lineRule="auto"/>
              <w:rPr>
                <w:rFonts w:eastAsia="Times New Roman" w:cs="Arial"/>
                <w:color w:val="000000"/>
                <w:sz w:val="20"/>
                <w:szCs w:val="20"/>
              </w:rPr>
            </w:pPr>
            <w:r w:rsidRPr="001D6606">
              <w:rPr>
                <w:rFonts w:eastAsia="Times New Roman" w:cs="Arial"/>
                <w:color w:val="000000"/>
                <w:sz w:val="20"/>
                <w:szCs w:val="20"/>
              </w:rPr>
              <w:t>New link on MIS on the Grid - Long-Term Planning page in the Network Operations Model portlet</w:t>
            </w:r>
          </w:p>
          <w:p w:rsidR="0012330B" w:rsidRPr="001D6606" w:rsidRDefault="0012330B" w:rsidP="0012330B">
            <w:pPr>
              <w:spacing w:after="0" w:line="240" w:lineRule="auto"/>
              <w:rPr>
                <w:rFonts w:eastAsia="Times New Roman" w:cs="Arial"/>
                <w:color w:val="000000"/>
                <w:sz w:val="20"/>
                <w:szCs w:val="20"/>
              </w:rPr>
            </w:pPr>
            <w:r w:rsidRPr="001D6606">
              <w:rPr>
                <w:rFonts w:eastAsia="Times New Roman" w:cs="Arial"/>
                <w:color w:val="000000"/>
                <w:sz w:val="20"/>
                <w:szCs w:val="20"/>
              </w:rPr>
              <w:t>Link Name:  Outage Scheduler Equipment List MOTE</w:t>
            </w:r>
            <w:r w:rsidRPr="001D6606">
              <w:rPr>
                <w:rFonts w:eastAsia="Times New Roman" w:cs="Arial"/>
                <w:color w:val="000000"/>
                <w:sz w:val="20"/>
                <w:szCs w:val="20"/>
              </w:rPr>
              <w:br/>
              <w:t>EMIL ID:  NP3-141-M</w:t>
            </w:r>
            <w:r w:rsidRPr="001D6606">
              <w:rPr>
                <w:rFonts w:eastAsia="Times New Roman" w:cs="Arial"/>
                <w:color w:val="000000"/>
                <w:sz w:val="20"/>
                <w:szCs w:val="20"/>
              </w:rPr>
              <w:br/>
              <w:t>Report Type ID: 14346</w:t>
            </w:r>
          </w:p>
        </w:tc>
      </w:tr>
    </w:tbl>
    <w:p w:rsidR="00A409E9" w:rsidRPr="001D6606" w:rsidRDefault="00A409E9" w:rsidP="0012330B">
      <w:pPr>
        <w:rPr>
          <w:rFonts w:cs="Arial"/>
          <w:sz w:val="20"/>
          <w:szCs w:val="20"/>
        </w:rPr>
      </w:pPr>
    </w:p>
    <w:sectPr w:rsidR="00A409E9" w:rsidRPr="001D6606" w:rsidSect="00562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28"/>
    <w:rsid w:val="0012330B"/>
    <w:rsid w:val="001D6606"/>
    <w:rsid w:val="002F2159"/>
    <w:rsid w:val="004F2CBB"/>
    <w:rsid w:val="005624D3"/>
    <w:rsid w:val="006B656B"/>
    <w:rsid w:val="006E333B"/>
    <w:rsid w:val="009336A6"/>
    <w:rsid w:val="00A409E9"/>
    <w:rsid w:val="00B605AF"/>
    <w:rsid w:val="00B66134"/>
    <w:rsid w:val="00B80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69577-3910-4B54-8B91-6AB923E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5458">
      <w:bodyDiv w:val="1"/>
      <w:marLeft w:val="0"/>
      <w:marRight w:val="0"/>
      <w:marTop w:val="0"/>
      <w:marBottom w:val="0"/>
      <w:divBdr>
        <w:top w:val="none" w:sz="0" w:space="0" w:color="auto"/>
        <w:left w:val="none" w:sz="0" w:space="0" w:color="auto"/>
        <w:bottom w:val="none" w:sz="0" w:space="0" w:color="auto"/>
        <w:right w:val="none" w:sz="0" w:space="0" w:color="auto"/>
      </w:divBdr>
    </w:div>
    <w:div w:id="345596709">
      <w:bodyDiv w:val="1"/>
      <w:marLeft w:val="0"/>
      <w:marRight w:val="0"/>
      <w:marTop w:val="0"/>
      <w:marBottom w:val="0"/>
      <w:divBdr>
        <w:top w:val="none" w:sz="0" w:space="0" w:color="auto"/>
        <w:left w:val="none" w:sz="0" w:space="0" w:color="auto"/>
        <w:bottom w:val="none" w:sz="0" w:space="0" w:color="auto"/>
        <w:right w:val="none" w:sz="0" w:space="0" w:color="auto"/>
      </w:divBdr>
    </w:div>
    <w:div w:id="391465304">
      <w:bodyDiv w:val="1"/>
      <w:marLeft w:val="0"/>
      <w:marRight w:val="0"/>
      <w:marTop w:val="0"/>
      <w:marBottom w:val="0"/>
      <w:divBdr>
        <w:top w:val="none" w:sz="0" w:space="0" w:color="auto"/>
        <w:left w:val="none" w:sz="0" w:space="0" w:color="auto"/>
        <w:bottom w:val="none" w:sz="0" w:space="0" w:color="auto"/>
        <w:right w:val="none" w:sz="0" w:space="0" w:color="auto"/>
      </w:divBdr>
    </w:div>
    <w:div w:id="429735638">
      <w:bodyDiv w:val="1"/>
      <w:marLeft w:val="0"/>
      <w:marRight w:val="0"/>
      <w:marTop w:val="0"/>
      <w:marBottom w:val="0"/>
      <w:divBdr>
        <w:top w:val="none" w:sz="0" w:space="0" w:color="auto"/>
        <w:left w:val="none" w:sz="0" w:space="0" w:color="auto"/>
        <w:bottom w:val="none" w:sz="0" w:space="0" w:color="auto"/>
        <w:right w:val="none" w:sz="0" w:space="0" w:color="auto"/>
      </w:divBdr>
    </w:div>
    <w:div w:id="443421912">
      <w:bodyDiv w:val="1"/>
      <w:marLeft w:val="0"/>
      <w:marRight w:val="0"/>
      <w:marTop w:val="0"/>
      <w:marBottom w:val="0"/>
      <w:divBdr>
        <w:top w:val="none" w:sz="0" w:space="0" w:color="auto"/>
        <w:left w:val="none" w:sz="0" w:space="0" w:color="auto"/>
        <w:bottom w:val="none" w:sz="0" w:space="0" w:color="auto"/>
        <w:right w:val="none" w:sz="0" w:space="0" w:color="auto"/>
      </w:divBdr>
    </w:div>
    <w:div w:id="939752824">
      <w:bodyDiv w:val="1"/>
      <w:marLeft w:val="0"/>
      <w:marRight w:val="0"/>
      <w:marTop w:val="0"/>
      <w:marBottom w:val="0"/>
      <w:divBdr>
        <w:top w:val="none" w:sz="0" w:space="0" w:color="auto"/>
        <w:left w:val="none" w:sz="0" w:space="0" w:color="auto"/>
        <w:bottom w:val="none" w:sz="0" w:space="0" w:color="auto"/>
        <w:right w:val="none" w:sz="0" w:space="0" w:color="auto"/>
      </w:divBdr>
    </w:div>
    <w:div w:id="1164785329">
      <w:bodyDiv w:val="1"/>
      <w:marLeft w:val="0"/>
      <w:marRight w:val="0"/>
      <w:marTop w:val="0"/>
      <w:marBottom w:val="0"/>
      <w:divBdr>
        <w:top w:val="none" w:sz="0" w:space="0" w:color="auto"/>
        <w:left w:val="none" w:sz="0" w:space="0" w:color="auto"/>
        <w:bottom w:val="none" w:sz="0" w:space="0" w:color="auto"/>
        <w:right w:val="none" w:sz="0" w:space="0" w:color="auto"/>
      </w:divBdr>
    </w:div>
    <w:div w:id="1458597615">
      <w:bodyDiv w:val="1"/>
      <w:marLeft w:val="0"/>
      <w:marRight w:val="0"/>
      <w:marTop w:val="0"/>
      <w:marBottom w:val="0"/>
      <w:divBdr>
        <w:top w:val="none" w:sz="0" w:space="0" w:color="auto"/>
        <w:left w:val="none" w:sz="0" w:space="0" w:color="auto"/>
        <w:bottom w:val="none" w:sz="0" w:space="0" w:color="auto"/>
        <w:right w:val="none" w:sz="0" w:space="0" w:color="auto"/>
      </w:divBdr>
    </w:div>
    <w:div w:id="1776174286">
      <w:bodyDiv w:val="1"/>
      <w:marLeft w:val="0"/>
      <w:marRight w:val="0"/>
      <w:marTop w:val="0"/>
      <w:marBottom w:val="0"/>
      <w:divBdr>
        <w:top w:val="none" w:sz="0" w:space="0" w:color="auto"/>
        <w:left w:val="none" w:sz="0" w:space="0" w:color="auto"/>
        <w:bottom w:val="none" w:sz="0" w:space="0" w:color="auto"/>
        <w:right w:val="none" w:sz="0" w:space="0" w:color="auto"/>
      </w:divBdr>
    </w:div>
    <w:div w:id="178546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Tracy</dc:creator>
  <cp:keywords/>
  <dc:description/>
  <cp:lastModifiedBy>Richter, Tracy</cp:lastModifiedBy>
  <cp:revision>9</cp:revision>
  <dcterms:created xsi:type="dcterms:W3CDTF">2016-08-15T20:34:00Z</dcterms:created>
  <dcterms:modified xsi:type="dcterms:W3CDTF">2016-08-15T21:59:00Z</dcterms:modified>
</cp:coreProperties>
</file>