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A6" w:rsidRPr="001D6606" w:rsidRDefault="00B80128" w:rsidP="006B656B">
      <w:pPr>
        <w:jc w:val="center"/>
        <w:rPr>
          <w:rFonts w:cs="Arial"/>
          <w:b/>
          <w:sz w:val="24"/>
          <w:szCs w:val="24"/>
        </w:rPr>
      </w:pPr>
      <w:bookmarkStart w:id="0" w:name="_GoBack"/>
      <w:bookmarkEnd w:id="0"/>
      <w:r w:rsidRPr="001D6606">
        <w:rPr>
          <w:rFonts w:cs="Arial"/>
          <w:b/>
          <w:sz w:val="24"/>
          <w:szCs w:val="24"/>
        </w:rPr>
        <w:t>R4 Market Facing Changes</w:t>
      </w:r>
    </w:p>
    <w:p w:rsidR="006B656B" w:rsidRPr="001D6606" w:rsidRDefault="006B656B" w:rsidP="00B80128">
      <w:pPr>
        <w:rPr>
          <w:rFonts w:cs="Arial"/>
          <w:sz w:val="20"/>
          <w:szCs w:val="20"/>
        </w:rPr>
      </w:pPr>
      <w:r w:rsidRPr="001D6606">
        <w:rPr>
          <w:rFonts w:cs="Arial"/>
          <w:sz w:val="20"/>
          <w:szCs w:val="20"/>
        </w:rPr>
        <w:t xml:space="preserve">From Market Notice </w:t>
      </w:r>
      <w:r w:rsidRPr="001D6606">
        <w:rPr>
          <w:rFonts w:cs="Arial"/>
          <w:sz w:val="20"/>
          <w:szCs w:val="20"/>
        </w:rPr>
        <w:t>M-C072916-01 Release – Retail/Wholesale</w:t>
      </w:r>
      <w:r w:rsidRPr="001D6606">
        <w:rPr>
          <w:rFonts w:cs="Arial"/>
          <w:sz w:val="20"/>
          <w:szCs w:val="20"/>
        </w:rPr>
        <w:t>:  Market-Facing Changes – R4</w:t>
      </w:r>
      <w:r w:rsidR="001D6606">
        <w:rPr>
          <w:rFonts w:cs="Arial"/>
          <w:sz w:val="20"/>
          <w:szCs w:val="20"/>
        </w:rPr>
        <w:t xml:space="preserve"> August_</w:t>
      </w:r>
      <w:r w:rsidRPr="001D6606">
        <w:rPr>
          <w:rFonts w:cs="Arial"/>
          <w:sz w:val="20"/>
          <w:szCs w:val="20"/>
        </w:rPr>
        <w:t>September 2016</w:t>
      </w:r>
    </w:p>
    <w:tbl>
      <w:tblPr>
        <w:tblW w:w="9445" w:type="dxa"/>
        <w:tblLook w:val="04A0" w:firstRow="1" w:lastRow="0" w:firstColumn="1" w:lastColumn="0" w:noHBand="0" w:noVBand="1"/>
      </w:tblPr>
      <w:tblGrid>
        <w:gridCol w:w="1540"/>
        <w:gridCol w:w="7905"/>
      </w:tblGrid>
      <w:tr w:rsidR="006B656B" w:rsidRPr="006B656B" w:rsidTr="006E333B">
        <w:trPr>
          <w:trHeight w:val="341"/>
        </w:trPr>
        <w:tc>
          <w:tcPr>
            <w:tcW w:w="154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6B656B" w:rsidRPr="006B656B" w:rsidRDefault="006B656B" w:rsidP="006B656B">
            <w:pPr>
              <w:spacing w:after="0" w:line="240" w:lineRule="auto"/>
              <w:jc w:val="center"/>
              <w:rPr>
                <w:rFonts w:eastAsia="Times New Roman" w:cs="Arial"/>
                <w:b/>
                <w:color w:val="000000"/>
                <w:sz w:val="20"/>
                <w:szCs w:val="20"/>
              </w:rPr>
            </w:pPr>
            <w:r w:rsidRPr="006B656B">
              <w:rPr>
                <w:rFonts w:eastAsia="Times New Roman" w:cs="Arial"/>
                <w:b/>
                <w:color w:val="000000"/>
                <w:sz w:val="20"/>
                <w:szCs w:val="20"/>
              </w:rPr>
              <w:t>Change ID</w:t>
            </w:r>
          </w:p>
        </w:tc>
        <w:tc>
          <w:tcPr>
            <w:tcW w:w="7905" w:type="dxa"/>
            <w:tcBorders>
              <w:top w:val="single" w:sz="4" w:space="0" w:color="auto"/>
              <w:left w:val="nil"/>
              <w:bottom w:val="single" w:sz="4" w:space="0" w:color="auto"/>
              <w:right w:val="single" w:sz="4" w:space="0" w:color="auto"/>
            </w:tcBorders>
            <w:shd w:val="clear" w:color="000000" w:fill="D9D9D9"/>
            <w:vAlign w:val="bottom"/>
            <w:hideMark/>
          </w:tcPr>
          <w:p w:rsidR="006B656B" w:rsidRPr="006B656B" w:rsidRDefault="006B656B" w:rsidP="006B656B">
            <w:pPr>
              <w:spacing w:after="0" w:line="240" w:lineRule="auto"/>
              <w:jc w:val="center"/>
              <w:rPr>
                <w:rFonts w:eastAsia="Times New Roman" w:cs="Arial"/>
                <w:b/>
                <w:bCs/>
                <w:color w:val="000000"/>
                <w:sz w:val="20"/>
                <w:szCs w:val="20"/>
              </w:rPr>
            </w:pPr>
            <w:r w:rsidRPr="006B656B">
              <w:rPr>
                <w:rFonts w:eastAsia="Times New Roman" w:cs="Arial"/>
                <w:b/>
                <w:bCs/>
                <w:color w:val="000000"/>
                <w:sz w:val="20"/>
                <w:szCs w:val="20"/>
              </w:rPr>
              <w:t>Market Notice Description</w:t>
            </w:r>
          </w:p>
        </w:tc>
      </w:tr>
      <w:tr w:rsidR="006B656B" w:rsidRPr="006B656B" w:rsidTr="001D6606">
        <w:trPr>
          <w:trHeight w:val="2447"/>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ITCM-27091</w:t>
            </w:r>
            <w:r w:rsidRPr="006B656B">
              <w:rPr>
                <w:rFonts w:eastAsia="Times New Roman" w:cs="Arial"/>
                <w:color w:val="000000"/>
                <w:sz w:val="20"/>
                <w:szCs w:val="20"/>
              </w:rPr>
              <w:br/>
              <w:t>ITCM-22815</w:t>
            </w:r>
            <w:r w:rsidRPr="006B656B">
              <w:rPr>
                <w:rFonts w:eastAsia="Times New Roman" w:cs="Arial"/>
                <w:color w:val="000000"/>
                <w:sz w:val="20"/>
                <w:szCs w:val="20"/>
              </w:rPr>
              <w:br/>
              <w:t>NPRR662</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 xml:space="preserve">This Nodal Protocol Revision Request (NPRR) addresses proxy Energy Offer Curves generated by ERCOT for a Resource that does not submit an Energy Offer Curve or submits an incomplete Energy Offer Curve. For a Resource without an Energy Offer Curve, a monotonically increasing proxy Energy Offer Curve will be created such that the last point on the curve is extended. For a Resource with an incomplete Energy Offer Curve (typically cogeneration facilities that update their HSL, but not their offer curve), a proxy Energy Offer Curve will be created to extend the offer price from last point on the submitted Energy Offer Curve up to the Resource's HSL.  For a Controllable Load Resource with an energy bid that does not cover the full range of the Resource's capability, a proxy energy bid will be created that uses the price associated with lowest MW in the submitted energy bid curve. </w:t>
            </w:r>
          </w:p>
        </w:tc>
      </w:tr>
      <w:tr w:rsidR="006B656B" w:rsidRPr="006B656B" w:rsidTr="006E333B">
        <w:trPr>
          <w:trHeight w:val="701"/>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ITCM-26289</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 xml:space="preserve">Current link name: Non-Registered DG Installed Capacity Quarterly Report (NP16-533-M, Rpt ID 13544) being changed to: Unregistered DG Installed Capacity Quarterly Report (Unregistered replaces Non-Registered) </w:t>
            </w:r>
          </w:p>
        </w:tc>
      </w:tr>
      <w:tr w:rsidR="006B656B" w:rsidRPr="006B656B" w:rsidTr="001D6606">
        <w:trPr>
          <w:trHeight w:val="503"/>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ITCM-26076</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With this fix, related SCED reports with energy curves will have nulls representing price/quantity pairs that were not submitted by the Market participants or extended by SCED.</w:t>
            </w:r>
          </w:p>
        </w:tc>
      </w:tr>
      <w:tr w:rsidR="006B656B" w:rsidRPr="006B656B" w:rsidTr="006E333B">
        <w:trPr>
          <w:trHeight w:val="45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ITCM-24331</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Email notifications regarding the resources due for testing will be sent to Resource entities every 2 weeks rather than the current frequency of once a month.</w:t>
            </w:r>
          </w:p>
        </w:tc>
      </w:tr>
      <w:tr w:rsidR="006B656B" w:rsidRPr="006B656B" w:rsidTr="006E333B">
        <w:trPr>
          <w:trHeight w:val="1106"/>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ITCM-24018</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To correct MIS link name to be consistent with Protocols, the following link name changes are being made:  1) Link name for Estimate Aggregate Liability (EAL) Detail Report (Report ID 11179) should be Estimated Aggregate Liability (EAL) Detail Report, and 2) Link name for Estimate Aggregate Liability (EAL) Summary Report (13003) should be Estimated Aggregate Liability (EAL) Summary Report.</w:t>
            </w:r>
          </w:p>
        </w:tc>
      </w:tr>
      <w:tr w:rsidR="006B656B" w:rsidRPr="006B656B" w:rsidTr="001D6606">
        <w:trPr>
          <w:trHeight w:val="413"/>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ITCM-23039</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 xml:space="preserve">On the Market Manager, at times the Energy Offer Curve Only button is not displayed. If an update is performed at this point, it removed the Startup and Minimum Energy Offer values.  </w:t>
            </w:r>
          </w:p>
        </w:tc>
      </w:tr>
      <w:tr w:rsidR="006B656B" w:rsidRPr="006B656B" w:rsidTr="006E333B">
        <w:trPr>
          <w:trHeight w:val="3167"/>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ITCM-21568</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sz w:val="20"/>
                <w:szCs w:val="20"/>
              </w:rPr>
            </w:pPr>
            <w:r w:rsidRPr="006B656B">
              <w:rPr>
                <w:rFonts w:eastAsia="Times New Roman" w:cs="Arial"/>
                <w:sz w:val="20"/>
                <w:szCs w:val="20"/>
              </w:rPr>
              <w:t xml:space="preserve">The following link changes are being made on the MIS: 1) Create a new link in the Grid &gt; Forecasts &gt; Short-Term System Adequacy portlet for Hourly Resource Outage Capacity (NP3-233-CD, 13103), 2) Create 2 new links in the Grid &gt; Forecasts &gt; Short-Term System Adequacy portlet for the following: </w:t>
            </w:r>
            <w:r w:rsidRPr="006B656B">
              <w:rPr>
                <w:rFonts w:eastAsia="Times New Roman" w:cs="Arial"/>
                <w:sz w:val="20"/>
                <w:szCs w:val="20"/>
              </w:rPr>
              <w:br/>
              <w:t xml:space="preserve"> * Seven-Day Load Forecast by Forecast Zone (NP3-560-CD, 12311) </w:t>
            </w:r>
            <w:r w:rsidRPr="006B656B">
              <w:rPr>
                <w:rFonts w:eastAsia="Times New Roman" w:cs="Arial"/>
                <w:sz w:val="20"/>
                <w:szCs w:val="20"/>
              </w:rPr>
              <w:br/>
              <w:t xml:space="preserve"> * Seven-Day Load Forecast by Weather Zone (NP3-561-CD, 12312) </w:t>
            </w:r>
            <w:r w:rsidRPr="006B656B">
              <w:rPr>
                <w:rFonts w:eastAsia="Times New Roman" w:cs="Arial"/>
                <w:sz w:val="20"/>
                <w:szCs w:val="20"/>
              </w:rPr>
              <w:br/>
              <w:t xml:space="preserve">3) Remove the following links from Grid &gt; Forecasts &gt; Significant System Conditions portlet: </w:t>
            </w:r>
            <w:r w:rsidRPr="006B656B">
              <w:rPr>
                <w:rFonts w:eastAsia="Times New Roman" w:cs="Arial"/>
                <w:sz w:val="20"/>
                <w:szCs w:val="20"/>
              </w:rPr>
              <w:br/>
              <w:t>* Seven-Day Load Forecast by Forecast Zone (NP3-560-CD, 12311)</w:t>
            </w:r>
            <w:r w:rsidRPr="006B656B">
              <w:rPr>
                <w:rFonts w:eastAsia="Times New Roman" w:cs="Arial"/>
                <w:sz w:val="20"/>
                <w:szCs w:val="20"/>
              </w:rPr>
              <w:br/>
              <w:t>* Seven-Day Load Forecast by Weather Zone (NP3-561-CD, 12312)</w:t>
            </w:r>
            <w:r w:rsidRPr="006B656B">
              <w:rPr>
                <w:rFonts w:eastAsia="Times New Roman" w:cs="Arial"/>
                <w:sz w:val="20"/>
                <w:szCs w:val="20"/>
              </w:rPr>
              <w:br/>
              <w:t>4) Create a new link in the Grid &gt; Forecasts &gt; Short-Term System Adequacy portlet for Weekly RUC Active and Binding Transmission Constraints (NP5-753-CD, 12337)</w:t>
            </w:r>
            <w:r w:rsidRPr="006B656B">
              <w:rPr>
                <w:rFonts w:eastAsia="Times New Roman" w:cs="Arial"/>
                <w:sz w:val="20"/>
                <w:szCs w:val="20"/>
              </w:rPr>
              <w:br/>
              <w:t xml:space="preserve"> 5) Remove the link to Hourly RUC Active and Binding Transmission Constraints (NP5-755-CD, 12336) from the Grid &gt; Forecasts &gt; Short-Term System Adequacy portlet. </w:t>
            </w:r>
          </w:p>
        </w:tc>
      </w:tr>
      <w:tr w:rsidR="006B656B" w:rsidRPr="006B656B" w:rsidTr="001D6606">
        <w:trPr>
          <w:trHeight w:val="602"/>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ITCM-21116</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For consistency with other displays that have a disclaimer, add a period at the end of the disclaimer on the Real-Time LMPs for Latest SCED Run Display. Disclaimer should be: LMP values do not include the Real-Time price adders.</w:t>
            </w:r>
          </w:p>
        </w:tc>
      </w:tr>
      <w:tr w:rsidR="006B656B" w:rsidRPr="006B656B" w:rsidTr="006E333B">
        <w:trPr>
          <w:trHeight w:val="71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ITCM-21115</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For consistency with other displays that have a disclaimer, add a period at the end of the disclaimer on the Real-Time LMPs for Load Zones and Trading Hubs Display. Disclaimer should be: LMP values do not include the Real-Time price adders.</w:t>
            </w:r>
          </w:p>
        </w:tc>
      </w:tr>
      <w:tr w:rsidR="006B656B" w:rsidRPr="006B656B" w:rsidTr="006E333B">
        <w:trPr>
          <w:trHeight w:val="62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ITCM-16090</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Ensure all baseload CRR's are sent to the engine to solve for Simultaneous Feasibility prior to running the optimization algorithm.  No auctions have been affected by this defect as it was discovered by ERCOT, and appropriate work-arounds have been employed.</w:t>
            </w:r>
          </w:p>
        </w:tc>
      </w:tr>
      <w:tr w:rsidR="006B656B" w:rsidRPr="006B656B" w:rsidTr="001D6606">
        <w:trPr>
          <w:trHeight w:val="17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lastRenderedPageBreak/>
              <w:t>ITCM-16089</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Improve the CRRAH and CP Credit Limit Editors to accurately show locked credit for any auction with currently locked credit.</w:t>
            </w:r>
          </w:p>
        </w:tc>
      </w:tr>
      <w:tr w:rsidR="006B656B" w:rsidRPr="006B656B" w:rsidTr="006E333B">
        <w:trPr>
          <w:trHeight w:val="458"/>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sz w:val="20"/>
                <w:szCs w:val="20"/>
              </w:rPr>
            </w:pPr>
            <w:r w:rsidRPr="006B656B">
              <w:rPr>
                <w:rFonts w:eastAsia="Times New Roman" w:cs="Arial"/>
                <w:sz w:val="20"/>
                <w:szCs w:val="20"/>
              </w:rPr>
              <w:t>ITCM-27931</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sz w:val="20"/>
                <w:szCs w:val="20"/>
              </w:rPr>
            </w:pPr>
            <w:r w:rsidRPr="006B656B">
              <w:rPr>
                <w:rFonts w:eastAsia="Times New Roman" w:cs="Arial"/>
                <w:sz w:val="20"/>
                <w:szCs w:val="20"/>
              </w:rPr>
              <w:t>New link on MIS on the Grid - Regional Planning page, in the Current Regional Planning Group Projects portlet:  LCRA TSC Cooks Point Project (PG3-317-M, 14146)</w:t>
            </w:r>
          </w:p>
        </w:tc>
      </w:tr>
      <w:tr w:rsidR="006B656B" w:rsidRPr="006B656B" w:rsidTr="006E333B">
        <w:trPr>
          <w:trHeight w:val="125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ITCM-27492</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 xml:space="preserve">Fixes the issue noted in Market Notice W-X071516-01 Extracts: DAM Aggregate Credit Exposure report (EMIL ID NP4-411-CD) issue with the calculation for combined cycle resources as part of the Three-Part Offer (TPO) exposure. In certain cases, the report was underrepresenting the credit that TPOs provide to overall credit exposure when two combined-cycled resource offers yielded the same credit exposure calculation. </w:t>
            </w:r>
          </w:p>
        </w:tc>
      </w:tr>
      <w:tr w:rsidR="006B656B" w:rsidRPr="006B656B" w:rsidTr="006E333B">
        <w:trPr>
          <w:trHeight w:val="440"/>
        </w:trPr>
        <w:tc>
          <w:tcPr>
            <w:tcW w:w="1540" w:type="dxa"/>
            <w:tcBorders>
              <w:top w:val="nil"/>
              <w:left w:val="single" w:sz="4" w:space="0" w:color="auto"/>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ITCM-17229</w:t>
            </w:r>
          </w:p>
        </w:tc>
        <w:tc>
          <w:tcPr>
            <w:tcW w:w="7905" w:type="dxa"/>
            <w:tcBorders>
              <w:top w:val="nil"/>
              <w:left w:val="nil"/>
              <w:bottom w:val="single" w:sz="4" w:space="0" w:color="auto"/>
              <w:right w:val="single" w:sz="4" w:space="0" w:color="auto"/>
            </w:tcBorders>
            <w:shd w:val="clear" w:color="auto" w:fill="auto"/>
            <w:vAlign w:val="bottom"/>
            <w:hideMark/>
          </w:tcPr>
          <w:p w:rsidR="006B656B" w:rsidRPr="006B656B" w:rsidRDefault="006B656B" w:rsidP="006B656B">
            <w:pPr>
              <w:spacing w:after="0" w:line="240" w:lineRule="auto"/>
              <w:rPr>
                <w:rFonts w:eastAsia="Times New Roman" w:cs="Arial"/>
                <w:color w:val="000000"/>
                <w:sz w:val="20"/>
                <w:szCs w:val="20"/>
              </w:rPr>
            </w:pPr>
            <w:r w:rsidRPr="006B656B">
              <w:rPr>
                <w:rFonts w:eastAsia="Times New Roman" w:cs="Arial"/>
                <w:color w:val="000000"/>
                <w:sz w:val="20"/>
                <w:szCs w:val="20"/>
              </w:rPr>
              <w:t>Adds a validation rule to reject submissions that are both multi-hour block and Curve type. Currently, the multi-hour block is removed during DAM clearing. With this change, QSEs will need to use Fixed or Variable type when submitting curves.</w:t>
            </w:r>
          </w:p>
        </w:tc>
      </w:tr>
    </w:tbl>
    <w:p w:rsidR="005624D3" w:rsidRPr="001D6606" w:rsidRDefault="005624D3">
      <w:pPr>
        <w:rPr>
          <w:rFonts w:cs="Arial"/>
          <w:sz w:val="20"/>
          <w:szCs w:val="20"/>
        </w:rPr>
      </w:pPr>
    </w:p>
    <w:p w:rsidR="00A409E9" w:rsidRPr="001D6606" w:rsidRDefault="00A409E9" w:rsidP="00A409E9">
      <w:pPr>
        <w:jc w:val="center"/>
        <w:rPr>
          <w:rFonts w:cs="Arial"/>
          <w:b/>
          <w:sz w:val="24"/>
          <w:szCs w:val="24"/>
        </w:rPr>
      </w:pPr>
      <w:r w:rsidRPr="001D6606">
        <w:rPr>
          <w:rFonts w:cs="Arial"/>
          <w:b/>
          <w:sz w:val="24"/>
          <w:szCs w:val="24"/>
        </w:rPr>
        <w:t>R5 Market Facing Changes</w:t>
      </w:r>
    </w:p>
    <w:p w:rsidR="00A409E9" w:rsidRPr="001D6606" w:rsidRDefault="00A409E9" w:rsidP="002F2159">
      <w:pPr>
        <w:rPr>
          <w:rFonts w:cs="Arial"/>
          <w:sz w:val="20"/>
          <w:szCs w:val="20"/>
        </w:rPr>
      </w:pPr>
      <w:r w:rsidRPr="001D6606">
        <w:rPr>
          <w:rFonts w:cs="Arial"/>
          <w:sz w:val="20"/>
          <w:szCs w:val="20"/>
        </w:rPr>
        <w:t>NOTE:  This list may not be all inclusive of changes going into the release and could change prior to the release.</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830"/>
      </w:tblGrid>
      <w:tr w:rsidR="00A409E9" w:rsidRPr="001D6606" w:rsidTr="00B605AF">
        <w:trPr>
          <w:trHeight w:val="341"/>
        </w:trPr>
        <w:tc>
          <w:tcPr>
            <w:tcW w:w="1615" w:type="dxa"/>
            <w:shd w:val="clear" w:color="000000" w:fill="D9D9D9"/>
            <w:vAlign w:val="bottom"/>
            <w:hideMark/>
          </w:tcPr>
          <w:p w:rsidR="00A409E9" w:rsidRPr="001D6606" w:rsidRDefault="00A409E9" w:rsidP="00CD1D6F">
            <w:pPr>
              <w:spacing w:after="0" w:line="240" w:lineRule="auto"/>
              <w:jc w:val="center"/>
              <w:rPr>
                <w:rFonts w:eastAsia="Times New Roman" w:cs="Arial"/>
                <w:b/>
                <w:color w:val="000000"/>
                <w:sz w:val="20"/>
                <w:szCs w:val="20"/>
              </w:rPr>
            </w:pPr>
            <w:r w:rsidRPr="001D6606">
              <w:rPr>
                <w:rFonts w:eastAsia="Times New Roman" w:cs="Arial"/>
                <w:b/>
                <w:color w:val="000000"/>
                <w:sz w:val="20"/>
                <w:szCs w:val="20"/>
              </w:rPr>
              <w:t>Change ID</w:t>
            </w:r>
          </w:p>
        </w:tc>
        <w:tc>
          <w:tcPr>
            <w:tcW w:w="7830" w:type="dxa"/>
            <w:shd w:val="clear" w:color="000000" w:fill="D9D9D9"/>
            <w:vAlign w:val="bottom"/>
            <w:hideMark/>
          </w:tcPr>
          <w:p w:rsidR="00A409E9" w:rsidRPr="001D6606" w:rsidRDefault="00A409E9" w:rsidP="00CD1D6F">
            <w:pPr>
              <w:spacing w:after="0" w:line="240" w:lineRule="auto"/>
              <w:jc w:val="center"/>
              <w:rPr>
                <w:rFonts w:eastAsia="Times New Roman" w:cs="Arial"/>
                <w:b/>
                <w:color w:val="000000"/>
                <w:sz w:val="20"/>
                <w:szCs w:val="20"/>
              </w:rPr>
            </w:pPr>
            <w:r w:rsidRPr="001D6606">
              <w:rPr>
                <w:rFonts w:eastAsia="Times New Roman" w:cs="Arial"/>
                <w:b/>
                <w:color w:val="000000"/>
                <w:sz w:val="20"/>
                <w:szCs w:val="20"/>
              </w:rPr>
              <w:t>Market Notice Description</w:t>
            </w:r>
          </w:p>
        </w:tc>
      </w:tr>
      <w:tr w:rsidR="0012330B" w:rsidRPr="001D6606" w:rsidTr="00B6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1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ITCM-23757</w:t>
            </w:r>
            <w:r w:rsidRPr="001D6606">
              <w:rPr>
                <w:rFonts w:eastAsia="Times New Roman" w:cs="Arial"/>
                <w:color w:val="000000"/>
                <w:sz w:val="20"/>
                <w:szCs w:val="20"/>
              </w:rPr>
              <w:br/>
              <w:t>PR195-01</w:t>
            </w:r>
          </w:p>
        </w:tc>
        <w:tc>
          <w:tcPr>
            <w:tcW w:w="7830" w:type="dxa"/>
            <w:tcBorders>
              <w:top w:val="single" w:sz="4" w:space="0" w:color="auto"/>
              <w:bottom w:val="single" w:sz="4" w:space="0" w:color="auto"/>
              <w:right w:val="single" w:sz="4" w:space="0" w:color="auto"/>
            </w:tcBorders>
            <w:vAlign w:val="bottom"/>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Changes to Ancillary Service Capacity Monitor to Satisfy NPRR495/736 Requirements</w:t>
            </w:r>
          </w:p>
        </w:tc>
      </w:tr>
      <w:tr w:rsidR="0012330B" w:rsidRPr="001D6606" w:rsidTr="00B6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4"/>
        </w:trPr>
        <w:tc>
          <w:tcPr>
            <w:tcW w:w="1615" w:type="dxa"/>
            <w:tcBorders>
              <w:top w:val="nil"/>
              <w:left w:val="single" w:sz="4" w:space="0" w:color="auto"/>
              <w:bottom w:val="single" w:sz="4" w:space="0" w:color="auto"/>
              <w:right w:val="single" w:sz="4" w:space="0" w:color="auto"/>
            </w:tcBorders>
            <w:shd w:val="clear" w:color="auto" w:fill="auto"/>
            <w:vAlign w:val="bottom"/>
            <w:hideMark/>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ITCM-27484</w:t>
            </w:r>
          </w:p>
        </w:tc>
        <w:tc>
          <w:tcPr>
            <w:tcW w:w="7830" w:type="dxa"/>
            <w:tcBorders>
              <w:top w:val="single" w:sz="4" w:space="0" w:color="auto"/>
              <w:bottom w:val="single" w:sz="4" w:space="0" w:color="auto"/>
              <w:right w:val="single" w:sz="4" w:space="0" w:color="auto"/>
            </w:tcBorders>
            <w:vAlign w:val="bottom"/>
          </w:tcPr>
          <w:p w:rsidR="0012330B" w:rsidRPr="001D6606" w:rsidRDefault="0012330B" w:rsidP="00B605AF">
            <w:pPr>
              <w:spacing w:after="0" w:line="240" w:lineRule="auto"/>
              <w:rPr>
                <w:rFonts w:eastAsia="Times New Roman" w:cs="Arial"/>
                <w:color w:val="000000"/>
                <w:sz w:val="20"/>
                <w:szCs w:val="20"/>
              </w:rPr>
            </w:pPr>
            <w:r w:rsidRPr="001D6606">
              <w:rPr>
                <w:rFonts w:eastAsia="Times New Roman" w:cs="Arial"/>
                <w:color w:val="000000"/>
                <w:sz w:val="20"/>
                <w:szCs w:val="20"/>
              </w:rPr>
              <w:t>New link on MIS on Grid &gt;Resource Integration &gt; Partial Generation Interconnection (INR) Studies</w:t>
            </w:r>
            <w:r w:rsidRPr="001D6606">
              <w:rPr>
                <w:rFonts w:eastAsia="Times New Roman" w:cs="Arial"/>
                <w:color w:val="000000"/>
                <w:sz w:val="20"/>
                <w:szCs w:val="20"/>
              </w:rPr>
              <w:br/>
              <w:t xml:space="preserve">Link Name: 2021 GINR Screening, Steady-State, Short-Circuit and Facilities Reports </w:t>
            </w:r>
            <w:r w:rsidRPr="001D6606">
              <w:rPr>
                <w:rFonts w:eastAsia="Times New Roman" w:cs="Arial"/>
                <w:color w:val="000000"/>
                <w:sz w:val="20"/>
                <w:szCs w:val="20"/>
              </w:rPr>
              <w:br/>
              <w:t xml:space="preserve">Report ID: 13948 </w:t>
            </w:r>
            <w:r w:rsidRPr="001D6606">
              <w:rPr>
                <w:rFonts w:eastAsia="Times New Roman" w:cs="Arial"/>
                <w:color w:val="000000"/>
                <w:sz w:val="20"/>
                <w:szCs w:val="20"/>
              </w:rPr>
              <w:br/>
              <w:t xml:space="preserve">EMIL ID: NP1-344-M </w:t>
            </w:r>
          </w:p>
        </w:tc>
      </w:tr>
      <w:tr w:rsidR="0012330B" w:rsidRPr="001D6606" w:rsidTr="00B6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1"/>
        </w:trPr>
        <w:tc>
          <w:tcPr>
            <w:tcW w:w="1615" w:type="dxa"/>
            <w:tcBorders>
              <w:top w:val="nil"/>
              <w:left w:val="single" w:sz="4" w:space="0" w:color="auto"/>
              <w:bottom w:val="single" w:sz="4" w:space="0" w:color="auto"/>
              <w:right w:val="single" w:sz="4" w:space="0" w:color="auto"/>
            </w:tcBorders>
            <w:shd w:val="clear" w:color="auto" w:fill="auto"/>
            <w:vAlign w:val="bottom"/>
            <w:hideMark/>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ITCM-27481</w:t>
            </w:r>
          </w:p>
        </w:tc>
        <w:tc>
          <w:tcPr>
            <w:tcW w:w="7830" w:type="dxa"/>
            <w:tcBorders>
              <w:top w:val="single" w:sz="4" w:space="0" w:color="auto"/>
              <w:bottom w:val="single" w:sz="4" w:space="0" w:color="auto"/>
              <w:right w:val="single" w:sz="4" w:space="0" w:color="auto"/>
            </w:tcBorders>
            <w:vAlign w:val="bottom"/>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New link on MIS on Grid &gt; Resource Integration &gt; TSP Generation Interconnection (INR) Studies</w:t>
            </w:r>
          </w:p>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 xml:space="preserve">Link Name: 2021 GINR Stability and SSO Reports </w:t>
            </w:r>
            <w:r w:rsidRPr="001D6606">
              <w:rPr>
                <w:rFonts w:eastAsia="Times New Roman" w:cs="Arial"/>
                <w:color w:val="000000"/>
                <w:sz w:val="20"/>
                <w:szCs w:val="20"/>
              </w:rPr>
              <w:br/>
              <w:t xml:space="preserve">Report ID: 13947 </w:t>
            </w:r>
            <w:r w:rsidRPr="001D6606">
              <w:rPr>
                <w:rFonts w:eastAsia="Times New Roman" w:cs="Arial"/>
                <w:color w:val="000000"/>
                <w:sz w:val="20"/>
                <w:szCs w:val="20"/>
              </w:rPr>
              <w:br/>
              <w:t>EMIL ID: NP1-343-M</w:t>
            </w:r>
          </w:p>
        </w:tc>
      </w:tr>
      <w:tr w:rsidR="0012330B" w:rsidRPr="001D6606" w:rsidTr="00B6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8"/>
        </w:trPr>
        <w:tc>
          <w:tcPr>
            <w:tcW w:w="1615" w:type="dxa"/>
            <w:tcBorders>
              <w:top w:val="nil"/>
              <w:left w:val="single" w:sz="4" w:space="0" w:color="auto"/>
              <w:bottom w:val="single" w:sz="4" w:space="0" w:color="auto"/>
              <w:right w:val="single" w:sz="4" w:space="0" w:color="auto"/>
            </w:tcBorders>
            <w:shd w:val="clear" w:color="auto" w:fill="auto"/>
            <w:vAlign w:val="bottom"/>
            <w:hideMark/>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ITCM-27480</w:t>
            </w:r>
          </w:p>
        </w:tc>
        <w:tc>
          <w:tcPr>
            <w:tcW w:w="7830" w:type="dxa"/>
            <w:tcBorders>
              <w:top w:val="single" w:sz="4" w:space="0" w:color="auto"/>
              <w:bottom w:val="single" w:sz="4" w:space="0" w:color="auto"/>
              <w:right w:val="single" w:sz="4" w:space="0" w:color="auto"/>
            </w:tcBorders>
            <w:vAlign w:val="bottom"/>
          </w:tcPr>
          <w:p w:rsidR="0012330B" w:rsidRPr="001D6606" w:rsidRDefault="0012330B" w:rsidP="00B605AF">
            <w:pPr>
              <w:spacing w:after="0" w:line="240" w:lineRule="auto"/>
              <w:rPr>
                <w:rFonts w:eastAsia="Times New Roman" w:cs="Arial"/>
                <w:color w:val="000000"/>
                <w:sz w:val="20"/>
                <w:szCs w:val="20"/>
              </w:rPr>
            </w:pPr>
            <w:r w:rsidRPr="001D6606">
              <w:rPr>
                <w:rFonts w:eastAsia="Times New Roman" w:cs="Arial"/>
                <w:color w:val="000000"/>
                <w:sz w:val="20"/>
                <w:szCs w:val="20"/>
              </w:rPr>
              <w:t>New link on MIS on Grid &gt; Regional Planning &gt; Regional Transmission Planning (5 year Transmission Plan) portlet</w:t>
            </w:r>
            <w:r w:rsidRPr="001D6606">
              <w:rPr>
                <w:rFonts w:eastAsia="Times New Roman" w:cs="Arial"/>
                <w:color w:val="000000"/>
                <w:sz w:val="20"/>
                <w:szCs w:val="20"/>
              </w:rPr>
              <w:br/>
              <w:t xml:space="preserve">Link Name: 2017 Regional Transmission Plan Postings </w:t>
            </w:r>
            <w:r w:rsidRPr="001D6606">
              <w:rPr>
                <w:rFonts w:eastAsia="Times New Roman" w:cs="Arial"/>
                <w:color w:val="000000"/>
                <w:sz w:val="20"/>
                <w:szCs w:val="20"/>
              </w:rPr>
              <w:br/>
              <w:t xml:space="preserve">Report ID: 13946 </w:t>
            </w:r>
            <w:r w:rsidRPr="001D6606">
              <w:rPr>
                <w:rFonts w:eastAsia="Times New Roman" w:cs="Arial"/>
                <w:color w:val="000000"/>
                <w:sz w:val="20"/>
                <w:szCs w:val="20"/>
              </w:rPr>
              <w:br/>
              <w:t xml:space="preserve">EMIL ID: PG7-159-M </w:t>
            </w:r>
          </w:p>
        </w:tc>
      </w:tr>
      <w:tr w:rsidR="0012330B" w:rsidRPr="001D6606" w:rsidTr="00B605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5"/>
        </w:trPr>
        <w:tc>
          <w:tcPr>
            <w:tcW w:w="1615" w:type="dxa"/>
            <w:tcBorders>
              <w:top w:val="nil"/>
              <w:left w:val="single" w:sz="4" w:space="0" w:color="auto"/>
              <w:bottom w:val="single" w:sz="4" w:space="0" w:color="auto"/>
              <w:right w:val="single" w:sz="4" w:space="0" w:color="auto"/>
            </w:tcBorders>
            <w:shd w:val="clear" w:color="auto" w:fill="auto"/>
            <w:vAlign w:val="bottom"/>
            <w:hideMark/>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ITCM-27841</w:t>
            </w:r>
          </w:p>
        </w:tc>
        <w:tc>
          <w:tcPr>
            <w:tcW w:w="7830" w:type="dxa"/>
            <w:tcBorders>
              <w:top w:val="single" w:sz="4" w:space="0" w:color="auto"/>
              <w:bottom w:val="single" w:sz="4" w:space="0" w:color="auto"/>
              <w:right w:val="single" w:sz="4" w:space="0" w:color="auto"/>
            </w:tcBorders>
            <w:vAlign w:val="bottom"/>
          </w:tcPr>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New link on MIS on the Grid - Long-Term Planning page in the Network Operations Model portlet</w:t>
            </w:r>
          </w:p>
          <w:p w:rsidR="0012330B" w:rsidRPr="001D6606" w:rsidRDefault="0012330B" w:rsidP="0012330B">
            <w:pPr>
              <w:spacing w:after="0" w:line="240" w:lineRule="auto"/>
              <w:rPr>
                <w:rFonts w:eastAsia="Times New Roman" w:cs="Arial"/>
                <w:color w:val="000000"/>
                <w:sz w:val="20"/>
                <w:szCs w:val="20"/>
              </w:rPr>
            </w:pPr>
            <w:r w:rsidRPr="001D6606">
              <w:rPr>
                <w:rFonts w:eastAsia="Times New Roman" w:cs="Arial"/>
                <w:color w:val="000000"/>
                <w:sz w:val="20"/>
                <w:szCs w:val="20"/>
              </w:rPr>
              <w:t>Link Name:  Outage Scheduler Equipment List MOTE</w:t>
            </w:r>
            <w:r w:rsidRPr="001D6606">
              <w:rPr>
                <w:rFonts w:eastAsia="Times New Roman" w:cs="Arial"/>
                <w:color w:val="000000"/>
                <w:sz w:val="20"/>
                <w:szCs w:val="20"/>
              </w:rPr>
              <w:br/>
              <w:t>EMIL ID:  NP3-141-M</w:t>
            </w:r>
            <w:r w:rsidRPr="001D6606">
              <w:rPr>
                <w:rFonts w:eastAsia="Times New Roman" w:cs="Arial"/>
                <w:color w:val="000000"/>
                <w:sz w:val="20"/>
                <w:szCs w:val="20"/>
              </w:rPr>
              <w:br/>
              <w:t>Report Type ID: 14346</w:t>
            </w:r>
          </w:p>
        </w:tc>
      </w:tr>
    </w:tbl>
    <w:p w:rsidR="00A409E9" w:rsidRPr="001D6606" w:rsidRDefault="00A409E9" w:rsidP="0012330B">
      <w:pPr>
        <w:rPr>
          <w:rFonts w:cs="Arial"/>
          <w:sz w:val="20"/>
          <w:szCs w:val="20"/>
        </w:rPr>
      </w:pPr>
    </w:p>
    <w:sectPr w:rsidR="00A409E9" w:rsidRPr="001D6606" w:rsidSect="00562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28"/>
    <w:rsid w:val="0012330B"/>
    <w:rsid w:val="001D6606"/>
    <w:rsid w:val="002F2159"/>
    <w:rsid w:val="004F2CBB"/>
    <w:rsid w:val="005624D3"/>
    <w:rsid w:val="006B656B"/>
    <w:rsid w:val="006E333B"/>
    <w:rsid w:val="009336A6"/>
    <w:rsid w:val="00A409E9"/>
    <w:rsid w:val="00B605AF"/>
    <w:rsid w:val="00B66134"/>
    <w:rsid w:val="00B8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9577-3910-4B54-8B91-6AB923E5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75458">
      <w:bodyDiv w:val="1"/>
      <w:marLeft w:val="0"/>
      <w:marRight w:val="0"/>
      <w:marTop w:val="0"/>
      <w:marBottom w:val="0"/>
      <w:divBdr>
        <w:top w:val="none" w:sz="0" w:space="0" w:color="auto"/>
        <w:left w:val="none" w:sz="0" w:space="0" w:color="auto"/>
        <w:bottom w:val="none" w:sz="0" w:space="0" w:color="auto"/>
        <w:right w:val="none" w:sz="0" w:space="0" w:color="auto"/>
      </w:divBdr>
    </w:div>
    <w:div w:id="345596709">
      <w:bodyDiv w:val="1"/>
      <w:marLeft w:val="0"/>
      <w:marRight w:val="0"/>
      <w:marTop w:val="0"/>
      <w:marBottom w:val="0"/>
      <w:divBdr>
        <w:top w:val="none" w:sz="0" w:space="0" w:color="auto"/>
        <w:left w:val="none" w:sz="0" w:space="0" w:color="auto"/>
        <w:bottom w:val="none" w:sz="0" w:space="0" w:color="auto"/>
        <w:right w:val="none" w:sz="0" w:space="0" w:color="auto"/>
      </w:divBdr>
    </w:div>
    <w:div w:id="391465304">
      <w:bodyDiv w:val="1"/>
      <w:marLeft w:val="0"/>
      <w:marRight w:val="0"/>
      <w:marTop w:val="0"/>
      <w:marBottom w:val="0"/>
      <w:divBdr>
        <w:top w:val="none" w:sz="0" w:space="0" w:color="auto"/>
        <w:left w:val="none" w:sz="0" w:space="0" w:color="auto"/>
        <w:bottom w:val="none" w:sz="0" w:space="0" w:color="auto"/>
        <w:right w:val="none" w:sz="0" w:space="0" w:color="auto"/>
      </w:divBdr>
    </w:div>
    <w:div w:id="429735638">
      <w:bodyDiv w:val="1"/>
      <w:marLeft w:val="0"/>
      <w:marRight w:val="0"/>
      <w:marTop w:val="0"/>
      <w:marBottom w:val="0"/>
      <w:divBdr>
        <w:top w:val="none" w:sz="0" w:space="0" w:color="auto"/>
        <w:left w:val="none" w:sz="0" w:space="0" w:color="auto"/>
        <w:bottom w:val="none" w:sz="0" w:space="0" w:color="auto"/>
        <w:right w:val="none" w:sz="0" w:space="0" w:color="auto"/>
      </w:divBdr>
    </w:div>
    <w:div w:id="443421912">
      <w:bodyDiv w:val="1"/>
      <w:marLeft w:val="0"/>
      <w:marRight w:val="0"/>
      <w:marTop w:val="0"/>
      <w:marBottom w:val="0"/>
      <w:divBdr>
        <w:top w:val="none" w:sz="0" w:space="0" w:color="auto"/>
        <w:left w:val="none" w:sz="0" w:space="0" w:color="auto"/>
        <w:bottom w:val="none" w:sz="0" w:space="0" w:color="auto"/>
        <w:right w:val="none" w:sz="0" w:space="0" w:color="auto"/>
      </w:divBdr>
    </w:div>
    <w:div w:id="939752824">
      <w:bodyDiv w:val="1"/>
      <w:marLeft w:val="0"/>
      <w:marRight w:val="0"/>
      <w:marTop w:val="0"/>
      <w:marBottom w:val="0"/>
      <w:divBdr>
        <w:top w:val="none" w:sz="0" w:space="0" w:color="auto"/>
        <w:left w:val="none" w:sz="0" w:space="0" w:color="auto"/>
        <w:bottom w:val="none" w:sz="0" w:space="0" w:color="auto"/>
        <w:right w:val="none" w:sz="0" w:space="0" w:color="auto"/>
      </w:divBdr>
    </w:div>
    <w:div w:id="1164785329">
      <w:bodyDiv w:val="1"/>
      <w:marLeft w:val="0"/>
      <w:marRight w:val="0"/>
      <w:marTop w:val="0"/>
      <w:marBottom w:val="0"/>
      <w:divBdr>
        <w:top w:val="none" w:sz="0" w:space="0" w:color="auto"/>
        <w:left w:val="none" w:sz="0" w:space="0" w:color="auto"/>
        <w:bottom w:val="none" w:sz="0" w:space="0" w:color="auto"/>
        <w:right w:val="none" w:sz="0" w:space="0" w:color="auto"/>
      </w:divBdr>
    </w:div>
    <w:div w:id="1458597615">
      <w:bodyDiv w:val="1"/>
      <w:marLeft w:val="0"/>
      <w:marRight w:val="0"/>
      <w:marTop w:val="0"/>
      <w:marBottom w:val="0"/>
      <w:divBdr>
        <w:top w:val="none" w:sz="0" w:space="0" w:color="auto"/>
        <w:left w:val="none" w:sz="0" w:space="0" w:color="auto"/>
        <w:bottom w:val="none" w:sz="0" w:space="0" w:color="auto"/>
        <w:right w:val="none" w:sz="0" w:space="0" w:color="auto"/>
      </w:divBdr>
    </w:div>
    <w:div w:id="1776174286">
      <w:bodyDiv w:val="1"/>
      <w:marLeft w:val="0"/>
      <w:marRight w:val="0"/>
      <w:marTop w:val="0"/>
      <w:marBottom w:val="0"/>
      <w:divBdr>
        <w:top w:val="none" w:sz="0" w:space="0" w:color="auto"/>
        <w:left w:val="none" w:sz="0" w:space="0" w:color="auto"/>
        <w:bottom w:val="none" w:sz="0" w:space="0" w:color="auto"/>
        <w:right w:val="none" w:sz="0" w:space="0" w:color="auto"/>
      </w:divBdr>
    </w:div>
    <w:div w:id="178546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 Tracy</dc:creator>
  <cp:keywords/>
  <dc:description/>
  <cp:lastModifiedBy>Richter, Tracy</cp:lastModifiedBy>
  <cp:revision>9</cp:revision>
  <dcterms:created xsi:type="dcterms:W3CDTF">2016-08-15T20:34:00Z</dcterms:created>
  <dcterms:modified xsi:type="dcterms:W3CDTF">2016-08-15T21:59:00Z</dcterms:modified>
</cp:coreProperties>
</file>