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043" w:type="dxa"/>
        <w:tblInd w:w="-3" w:type="dxa"/>
        <w:tblCellMar>
          <w:left w:w="0" w:type="dxa"/>
          <w:right w:w="0" w:type="dxa"/>
        </w:tblCellMar>
        <w:tblLook w:val="04A0" w:firstRow="1" w:lastRow="0" w:firstColumn="1" w:lastColumn="0" w:noHBand="0" w:noVBand="1"/>
      </w:tblPr>
      <w:tblGrid>
        <w:gridCol w:w="1204"/>
        <w:gridCol w:w="9049"/>
        <w:gridCol w:w="2790"/>
      </w:tblGrid>
      <w:tr w:rsidR="00983441" w:rsidTr="00D93040">
        <w:trPr>
          <w:trHeight w:val="508"/>
        </w:trPr>
        <w:tc>
          <w:tcPr>
            <w:tcW w:w="1204" w:type="dxa"/>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983441" w:rsidRDefault="00983441">
            <w:pPr>
              <w:spacing w:line="252" w:lineRule="auto"/>
              <w:rPr>
                <w:b/>
                <w:bCs/>
                <w:color w:val="FFFFFF"/>
                <w:sz w:val="20"/>
                <w:szCs w:val="20"/>
              </w:rPr>
            </w:pPr>
            <w:r>
              <w:rPr>
                <w:b/>
                <w:bCs/>
                <w:color w:val="FFFFFF"/>
                <w:sz w:val="20"/>
                <w:szCs w:val="20"/>
              </w:rPr>
              <w:t>REV REQ NO.</w:t>
            </w:r>
          </w:p>
        </w:tc>
        <w:tc>
          <w:tcPr>
            <w:tcW w:w="9049"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983441" w:rsidRDefault="00983441">
            <w:pPr>
              <w:spacing w:line="252" w:lineRule="auto"/>
              <w:rPr>
                <w:b/>
                <w:bCs/>
                <w:color w:val="FFFFFF"/>
                <w:sz w:val="20"/>
                <w:szCs w:val="20"/>
              </w:rPr>
            </w:pPr>
            <w:r>
              <w:rPr>
                <w:b/>
                <w:bCs/>
                <w:color w:val="FFFFFF"/>
                <w:sz w:val="20"/>
                <w:szCs w:val="20"/>
              </w:rPr>
              <w:t>DESCRIPTION</w:t>
            </w:r>
          </w:p>
        </w:tc>
        <w:tc>
          <w:tcPr>
            <w:tcW w:w="279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983441" w:rsidRDefault="00983441">
            <w:pPr>
              <w:spacing w:line="252" w:lineRule="auto"/>
              <w:rPr>
                <w:b/>
                <w:bCs/>
                <w:color w:val="FFFFFF"/>
                <w:sz w:val="20"/>
                <w:szCs w:val="20"/>
              </w:rPr>
            </w:pPr>
            <w:r>
              <w:rPr>
                <w:b/>
                <w:bCs/>
                <w:color w:val="FFFFFF"/>
                <w:sz w:val="20"/>
                <w:szCs w:val="20"/>
              </w:rPr>
              <w:t>ERCOT Opinion</w:t>
            </w:r>
          </w:p>
        </w:tc>
      </w:tr>
      <w:tr w:rsidR="00983441" w:rsidTr="00D93040">
        <w:trPr>
          <w:trHeight w:val="1017"/>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047PGRR</w:t>
            </w:r>
          </w:p>
        </w:tc>
        <w:tc>
          <w:tcPr>
            <w:tcW w:w="9049" w:type="dxa"/>
            <w:tcBorders>
              <w:top w:val="nil"/>
              <w:left w:val="nil"/>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 xml:space="preserve">FIS Department of Defense Declaration. </w:t>
            </w:r>
            <w:r>
              <w:rPr>
                <w:sz w:val="20"/>
                <w:szCs w:val="20"/>
              </w:rPr>
              <w:t> This Planning Guide Revision Request (PGRR) requires Interconnecting Entitie</w:t>
            </w:r>
            <w:bookmarkStart w:id="0" w:name="_GoBack"/>
            <w:r>
              <w:rPr>
                <w:sz w:val="20"/>
                <w:szCs w:val="20"/>
              </w:rPr>
              <w:t>s</w:t>
            </w:r>
            <w:bookmarkEnd w:id="0"/>
            <w:r>
              <w:rPr>
                <w:sz w:val="20"/>
                <w:szCs w:val="20"/>
              </w:rPr>
              <w:t xml:space="preserve"> (IEs) seeking a Full Interconnection Study (FIS) to submit a declaration to ERCOT concerning the applicability and status of reviews by the Department of Defense (DOD) and/or the Federal Aviation Administration (FAA) for the proposed Generation Resource. [ERCOT]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sz w:val="20"/>
                <w:szCs w:val="20"/>
              </w:rPr>
            </w:pPr>
            <w:r>
              <w:rPr>
                <w:sz w:val="20"/>
                <w:szCs w:val="20"/>
              </w:rPr>
              <w:t>ERCOT supports approval of PGRR047.  (ERCOT sponsored)</w:t>
            </w:r>
          </w:p>
        </w:tc>
      </w:tr>
      <w:tr w:rsidR="00983441" w:rsidTr="00D93040">
        <w:trPr>
          <w:trHeight w:val="763"/>
        </w:trPr>
        <w:tc>
          <w:tcPr>
            <w:tcW w:w="1204"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048PGRR</w:t>
            </w:r>
          </w:p>
        </w:tc>
        <w:tc>
          <w:tcPr>
            <w:tcW w:w="9049" w:type="dxa"/>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 xml:space="preserve">Alignment with NPRR779, Clarifies References to Texas Reliability Entity and Independent Market Monitor.  </w:t>
            </w:r>
            <w:r>
              <w:rPr>
                <w:sz w:val="20"/>
                <w:szCs w:val="20"/>
              </w:rPr>
              <w:t>This Planning Guide Revision Request (PGRR) clarifies references to the Texas Reliability Entity (Texas RE) and the Independent Market Monitor (IMM). [ERCOT]</w:t>
            </w:r>
          </w:p>
        </w:tc>
        <w:tc>
          <w:tcPr>
            <w:tcW w:w="2790" w:type="dxa"/>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color w:val="000000"/>
                <w:sz w:val="20"/>
                <w:szCs w:val="20"/>
              </w:rPr>
            </w:pPr>
            <w:r>
              <w:rPr>
                <w:sz w:val="20"/>
                <w:szCs w:val="20"/>
              </w:rPr>
              <w:t>ERCOT supports approval of PGRR048.  (ERCOT sponsored)</w:t>
            </w:r>
          </w:p>
        </w:tc>
      </w:tr>
      <w:tr w:rsidR="00983441" w:rsidTr="00D93040">
        <w:trPr>
          <w:trHeight w:val="1017"/>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049PGRR</w:t>
            </w:r>
          </w:p>
        </w:tc>
        <w:tc>
          <w:tcPr>
            <w:tcW w:w="9049" w:type="dxa"/>
            <w:tcBorders>
              <w:top w:val="nil"/>
              <w:left w:val="nil"/>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 xml:space="preserve">GINR Application and Fee Submittal.  </w:t>
            </w:r>
            <w:r>
              <w:rPr>
                <w:sz w:val="20"/>
                <w:szCs w:val="20"/>
              </w:rPr>
              <w:t>This Planning Guide Revision Request (PGRR) removes the option to submit Generation Interconnection or Change Request (GINR) applications via standard mail and facsimile, and also updates the mailing address for GINR payments to be sent directly to ERCOT Treasury instead of the ERCOT System Planning department.  [ERCOT]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color w:val="000000"/>
                <w:sz w:val="20"/>
                <w:szCs w:val="20"/>
              </w:rPr>
            </w:pPr>
            <w:r>
              <w:rPr>
                <w:sz w:val="20"/>
                <w:szCs w:val="20"/>
              </w:rPr>
              <w:t>ERCOT supports approval of PGRR049.  (ERCOT sponsored)</w:t>
            </w:r>
          </w:p>
        </w:tc>
      </w:tr>
      <w:tr w:rsidR="00983441" w:rsidTr="00D93040">
        <w:trPr>
          <w:trHeight w:val="1272"/>
        </w:trPr>
        <w:tc>
          <w:tcPr>
            <w:tcW w:w="1204"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134RMGRR</w:t>
            </w:r>
          </w:p>
        </w:tc>
        <w:tc>
          <w:tcPr>
            <w:tcW w:w="9049" w:type="dxa"/>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 xml:space="preserve">Allow AMS Data Submittal Process for TDSP-Read Non-Modeled Generators. </w:t>
            </w:r>
            <w:r>
              <w:rPr>
                <w:sz w:val="20"/>
                <w:szCs w:val="20"/>
              </w:rPr>
              <w:t>This Retail Market Guide Revision Request (RMGRR) allows the option of using the Advanced Metering System (AMS) data submittal process for all Transmission and/or Distribution Service Provider (TDSP)-read Non-Modeled Generators, and reorganizes Section 7.14 and its subsections to clarify processes for unregistered Distributed Generation (DG) versus registered Non-Modeled Generators. [ERCOT]</w:t>
            </w:r>
          </w:p>
        </w:tc>
        <w:tc>
          <w:tcPr>
            <w:tcW w:w="2790" w:type="dxa"/>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sz w:val="20"/>
                <w:szCs w:val="20"/>
              </w:rPr>
            </w:pPr>
            <w:r>
              <w:rPr>
                <w:sz w:val="20"/>
                <w:szCs w:val="20"/>
              </w:rPr>
              <w:t>ERCOT supports approval of RMGRR134.  (ERCOT sponsored)</w:t>
            </w:r>
          </w:p>
        </w:tc>
      </w:tr>
      <w:tr w:rsidR="00983441" w:rsidTr="00D93040">
        <w:trPr>
          <w:trHeight w:val="1272"/>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753NPRR</w:t>
            </w:r>
          </w:p>
        </w:tc>
        <w:tc>
          <w:tcPr>
            <w:tcW w:w="9049" w:type="dxa"/>
            <w:tcBorders>
              <w:top w:val="nil"/>
              <w:left w:val="nil"/>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 xml:space="preserve">Allow AMS Data Submittal Process for TDSP-Read Non-Modeled Generators. </w:t>
            </w:r>
            <w:r>
              <w:rPr>
                <w:sz w:val="20"/>
                <w:szCs w:val="20"/>
              </w:rPr>
              <w:t>This Nodal Protocol Revision Request (NPRR) allows the option of using the Advanced Metering System (AMS) data submittal process for all Transmission and/or Distribution Provider (TDSP)-read Non-Modeled Generators; and requires an Interval Data Recorder (IDR) Meter for Block Load Transfer (BLT) metering points registered for Settlements in accordance with Section 6.5.9.5.1, Registration and Posting of BLT Points. [ERCOT]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sz w:val="20"/>
                <w:szCs w:val="20"/>
              </w:rPr>
            </w:pPr>
            <w:r>
              <w:rPr>
                <w:sz w:val="20"/>
                <w:szCs w:val="20"/>
              </w:rPr>
              <w:t>ERCOT supports approval of NPRR753.  (ERCOT sponsored)</w:t>
            </w:r>
          </w:p>
        </w:tc>
      </w:tr>
      <w:tr w:rsidR="00983441" w:rsidTr="00D93040">
        <w:trPr>
          <w:trHeight w:val="1903"/>
        </w:trPr>
        <w:tc>
          <w:tcPr>
            <w:tcW w:w="1204"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760NPRR</w:t>
            </w:r>
          </w:p>
        </w:tc>
        <w:tc>
          <w:tcPr>
            <w:tcW w:w="9049" w:type="dxa"/>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 xml:space="preserve">Calculation of Exposure Variables For Days With No Activity.  </w:t>
            </w:r>
            <w:r>
              <w:rPr>
                <w:sz w:val="20"/>
                <w:szCs w:val="20"/>
              </w:rPr>
              <w:t>Today, the Real-Time Liability Extrapolated (RTLE), the Unbilled Real-Time Amount (URTA), and Day-Ahead Liability Extrapolated (DALE) variables are based on the 14 (RTLE and URTA) or 7 (DALE) most recent calendar days divided by the number of Real-Time Market (RTM) Initial Statements generated for the Counter-Party in the same period. Operating Days with zero activity are not captured in the above calculations since RTM Initial Statements are not generated for those Operating Days. This Nodal Protocol Revision Request (NPRR) would correct this by capturing the Operating Days with zero activity in the denominator of the RTLE, URTA, and DALE calculations. [DC Energy]</w:t>
            </w:r>
          </w:p>
        </w:tc>
        <w:tc>
          <w:tcPr>
            <w:tcW w:w="2790" w:type="dxa"/>
            <w:tcBorders>
              <w:top w:val="nil"/>
              <w:left w:val="nil"/>
              <w:bottom w:val="single" w:sz="8" w:space="0" w:color="auto"/>
              <w:right w:val="single" w:sz="8" w:space="0" w:color="auto"/>
            </w:tcBorders>
            <w:shd w:val="clear" w:color="auto" w:fill="DCE6F1"/>
            <w:tcMar>
              <w:top w:w="0" w:type="dxa"/>
              <w:left w:w="108" w:type="dxa"/>
              <w:bottom w:w="0" w:type="dxa"/>
              <w:right w:w="108" w:type="dxa"/>
            </w:tcMar>
          </w:tcPr>
          <w:p w:rsidR="00983441" w:rsidRDefault="00983441">
            <w:pPr>
              <w:spacing w:line="252" w:lineRule="auto"/>
              <w:rPr>
                <w:sz w:val="20"/>
                <w:szCs w:val="20"/>
              </w:rPr>
            </w:pPr>
            <w:r>
              <w:rPr>
                <w:sz w:val="20"/>
                <w:szCs w:val="20"/>
              </w:rPr>
              <w:t>ERCOT supports approval of NPRR760 as it helps clarify collateral requirements by specifying the treatment of days with no activity by a Counter-Party in the calculation of the RTLE, URTA, and DALE credit variables.</w:t>
            </w:r>
          </w:p>
          <w:p w:rsidR="00983441" w:rsidRDefault="00983441">
            <w:pPr>
              <w:spacing w:line="252" w:lineRule="auto"/>
              <w:rPr>
                <w:sz w:val="20"/>
                <w:szCs w:val="20"/>
              </w:rPr>
            </w:pPr>
          </w:p>
        </w:tc>
      </w:tr>
      <w:tr w:rsidR="00983441" w:rsidTr="00D93040">
        <w:trPr>
          <w:trHeight w:val="763"/>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773NPRR</w:t>
            </w:r>
          </w:p>
        </w:tc>
        <w:tc>
          <w:tcPr>
            <w:tcW w:w="9049" w:type="dxa"/>
            <w:tcBorders>
              <w:top w:val="nil"/>
              <w:left w:val="nil"/>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Broadening Scope of Acceptable Letter of Credit Issuers.</w:t>
            </w:r>
            <w:r>
              <w:rPr>
                <w:sz w:val="20"/>
                <w:szCs w:val="20"/>
              </w:rPr>
              <w:t>  This Nodal Protocol Revision Request (NPRR) broadens the scope of acceptable letter of credit issuers to include other financial institutions.  [ACES]</w:t>
            </w: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rsidR="00983441" w:rsidRDefault="00983441">
            <w:pPr>
              <w:spacing w:line="252" w:lineRule="auto"/>
              <w:rPr>
                <w:sz w:val="20"/>
                <w:szCs w:val="20"/>
              </w:rPr>
            </w:pPr>
            <w:r>
              <w:rPr>
                <w:sz w:val="20"/>
                <w:szCs w:val="20"/>
              </w:rPr>
              <w:t xml:space="preserve">ERCOT supports approval of NPRR773 as it assists Counter-Parties by broadening the </w:t>
            </w:r>
            <w:r>
              <w:rPr>
                <w:sz w:val="20"/>
                <w:szCs w:val="20"/>
              </w:rPr>
              <w:lastRenderedPageBreak/>
              <w:t>range of allowable letter of credit issuers.</w:t>
            </w:r>
          </w:p>
          <w:p w:rsidR="00983441" w:rsidRDefault="00983441">
            <w:pPr>
              <w:spacing w:line="252" w:lineRule="auto"/>
              <w:rPr>
                <w:sz w:val="20"/>
                <w:szCs w:val="20"/>
              </w:rPr>
            </w:pPr>
          </w:p>
        </w:tc>
      </w:tr>
      <w:tr w:rsidR="00983441" w:rsidTr="00D93040">
        <w:trPr>
          <w:trHeight w:val="1645"/>
        </w:trPr>
        <w:tc>
          <w:tcPr>
            <w:tcW w:w="1204"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lastRenderedPageBreak/>
              <w:t>778NPRR</w:t>
            </w:r>
          </w:p>
        </w:tc>
        <w:tc>
          <w:tcPr>
            <w:tcW w:w="9049" w:type="dxa"/>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 xml:space="preserve">Modifications to Date Change and Cancellation Evaluation Window. </w:t>
            </w:r>
            <w:r>
              <w:rPr>
                <w:sz w:val="20"/>
                <w:szCs w:val="20"/>
              </w:rPr>
              <w:t> This Nodal Protocol Revision Request (NPRR) modifies the evaluation window for date changes and cancellations currently performed by ERCOT systems; and removes the one Retail Business Day evaluation window for date changes and cancellations in order to replace manual processes with transactional solutions.  [TX SET]</w:t>
            </w:r>
          </w:p>
        </w:tc>
        <w:tc>
          <w:tcPr>
            <w:tcW w:w="2790" w:type="dxa"/>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sz w:val="20"/>
                <w:szCs w:val="20"/>
              </w:rPr>
            </w:pPr>
            <w:r>
              <w:rPr>
                <w:sz w:val="20"/>
                <w:szCs w:val="20"/>
              </w:rPr>
              <w:t>ERCOT supports approval of NPRR778 because it facilitates the reduction of manual processes by leveraging improved capabilities and functionality of existing retail systems.</w:t>
            </w:r>
          </w:p>
        </w:tc>
      </w:tr>
      <w:tr w:rsidR="00983441" w:rsidTr="00D93040">
        <w:trPr>
          <w:trHeight w:val="1017"/>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779NPRR</w:t>
            </w:r>
          </w:p>
        </w:tc>
        <w:tc>
          <w:tcPr>
            <w:tcW w:w="9049" w:type="dxa"/>
            <w:tcBorders>
              <w:top w:val="nil"/>
              <w:left w:val="nil"/>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Clarifies References to Texas Reliability Entity and Independent Market Monitor.</w:t>
            </w:r>
            <w:r>
              <w:rPr>
                <w:sz w:val="20"/>
                <w:szCs w:val="20"/>
              </w:rPr>
              <w:t>  This Nodal Protocol Revision Request (NPRR) clarifies references to the Texas Reliability Entity (Texas RE) and the Independent Market Monitor (IMM). [ERCOT]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color w:val="000000"/>
                <w:sz w:val="20"/>
                <w:szCs w:val="20"/>
              </w:rPr>
            </w:pPr>
            <w:r>
              <w:rPr>
                <w:sz w:val="20"/>
                <w:szCs w:val="20"/>
              </w:rPr>
              <w:t>ERCOT supports approval of NPRR779.  (ERCOT sponsored)</w:t>
            </w:r>
          </w:p>
        </w:tc>
      </w:tr>
      <w:tr w:rsidR="00983441" w:rsidTr="00D93040">
        <w:trPr>
          <w:trHeight w:val="1229"/>
        </w:trPr>
        <w:tc>
          <w:tcPr>
            <w:tcW w:w="1204"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781NPRR</w:t>
            </w:r>
          </w:p>
        </w:tc>
        <w:tc>
          <w:tcPr>
            <w:tcW w:w="9049" w:type="dxa"/>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Updates to Nodal Protocol Section 18, Load Profiling, to Align with Current Market Processes.</w:t>
            </w:r>
            <w:r>
              <w:rPr>
                <w:sz w:val="20"/>
                <w:szCs w:val="20"/>
              </w:rPr>
              <w:t>  With the proliferation of Advanced Metering Systems (AMS) in the ERCOT Market, this Nodal Protocol Revision Request (NPRR) updates Protocol language related to Load Profiling to clarify purpose and definitions, update current processes and methodologies, and remove outdated processes and practices.  [PWG]</w:t>
            </w:r>
          </w:p>
        </w:tc>
        <w:tc>
          <w:tcPr>
            <w:tcW w:w="2790" w:type="dxa"/>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sz w:val="20"/>
                <w:szCs w:val="20"/>
              </w:rPr>
            </w:pPr>
            <w:r>
              <w:rPr>
                <w:sz w:val="20"/>
                <w:szCs w:val="20"/>
              </w:rPr>
              <w:t>ERCOT supports approval of NPRR781 because it updates Protocol language to reflect current Market processes and practices related to Load Profiling and the responsibilities of the PWG.</w:t>
            </w:r>
          </w:p>
        </w:tc>
      </w:tr>
      <w:tr w:rsidR="00983441" w:rsidTr="00D93040">
        <w:trPr>
          <w:trHeight w:val="1781"/>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782NPRR</w:t>
            </w:r>
          </w:p>
        </w:tc>
        <w:tc>
          <w:tcPr>
            <w:tcW w:w="9049" w:type="dxa"/>
            <w:tcBorders>
              <w:top w:val="nil"/>
              <w:left w:val="nil"/>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 xml:space="preserve">Settlement of Infeasible Ancillary Services Due to Transmission Constraints.  </w:t>
            </w:r>
            <w:r>
              <w:rPr>
                <w:sz w:val="20"/>
                <w:szCs w:val="20"/>
              </w:rPr>
              <w:t>This Nodal Protocol Revision Request (NPRR) removes inconsistencies in Protocol language with a proposed change to the equations governing the Settlement of Ancillary Services for Resources that are not able to deliver on their Ancillary Service responsibilities due to transmission constraints.  ERCOT collaborated with members of the Wholesale Market Subcommittee (WMS) and Qualified Scheduling Entity (QSE) Managers Working Group (QMWG) to address the inconsistencies in the Protocols and develop a proposal for the Settlement of infeasible Ancillary Services due to transmission constraints. [ERCOT]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color w:val="000000"/>
                <w:sz w:val="20"/>
                <w:szCs w:val="20"/>
              </w:rPr>
            </w:pPr>
            <w:r>
              <w:rPr>
                <w:sz w:val="20"/>
                <w:szCs w:val="20"/>
              </w:rPr>
              <w:t>ERCOT supports approval of NPRR782.  (ERCOT sponsored)</w:t>
            </w:r>
          </w:p>
        </w:tc>
      </w:tr>
      <w:tr w:rsidR="00983441" w:rsidTr="00D93040">
        <w:trPr>
          <w:trHeight w:val="1519"/>
        </w:trPr>
        <w:tc>
          <w:tcPr>
            <w:tcW w:w="1204"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785NPRR</w:t>
            </w:r>
          </w:p>
        </w:tc>
        <w:tc>
          <w:tcPr>
            <w:tcW w:w="9049" w:type="dxa"/>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 xml:space="preserve">Synchronizing WGR and PVGR COPs with the Short Term Wind and </w:t>
            </w:r>
            <w:proofErr w:type="spellStart"/>
            <w:r>
              <w:rPr>
                <w:b/>
                <w:bCs/>
                <w:sz w:val="20"/>
                <w:szCs w:val="20"/>
              </w:rPr>
              <w:t>PhotoVoltaic</w:t>
            </w:r>
            <w:proofErr w:type="spellEnd"/>
            <w:r>
              <w:rPr>
                <w:b/>
                <w:bCs/>
                <w:sz w:val="20"/>
                <w:szCs w:val="20"/>
              </w:rPr>
              <w:t xml:space="preserve"> Forecasts.</w:t>
            </w:r>
            <w:r>
              <w:rPr>
                <w:sz w:val="20"/>
                <w:szCs w:val="20"/>
              </w:rPr>
              <w:t>  This Nodal Protocol Revision Request (NPRR) enables ERCOT to automatically prepopulate COPs for the WGRs and PVGRs with most recent forecast for the next 168 hours. ERCOT would continue to require QSEs representing WGRs or PVGRs to either submit the prepopulated forecast as COP by default or submit a lower number as applicable.  [ERCOT]</w:t>
            </w:r>
          </w:p>
        </w:tc>
        <w:tc>
          <w:tcPr>
            <w:tcW w:w="2790" w:type="dxa"/>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color w:val="000000"/>
                <w:sz w:val="20"/>
                <w:szCs w:val="20"/>
              </w:rPr>
            </w:pPr>
            <w:r>
              <w:rPr>
                <w:sz w:val="20"/>
                <w:szCs w:val="20"/>
              </w:rPr>
              <w:t>ERCOT supports approval of NPRR785.  (ERCOT sponsored)</w:t>
            </w:r>
          </w:p>
        </w:tc>
      </w:tr>
      <w:tr w:rsidR="00983441" w:rsidTr="00D93040">
        <w:trPr>
          <w:trHeight w:val="825"/>
        </w:trPr>
        <w:tc>
          <w:tcPr>
            <w:tcW w:w="12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lastRenderedPageBreak/>
              <w:t>786NPRR</w:t>
            </w:r>
          </w:p>
        </w:tc>
        <w:tc>
          <w:tcPr>
            <w:tcW w:w="9049" w:type="dxa"/>
            <w:tcBorders>
              <w:top w:val="nil"/>
              <w:left w:val="nil"/>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Consumption Data Adjustments for Negative Load.</w:t>
            </w:r>
            <w:r>
              <w:rPr>
                <w:sz w:val="20"/>
                <w:szCs w:val="20"/>
              </w:rPr>
              <w:t>  This Nodal Protocol Revision Request (NPRR) corrects the allocation of Transmission Losses, Distribution Losses and Unaccounted for Energy (UFE) so that instances of negative Load do not result in loss or UFE allocations. [ERCOT]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983441" w:rsidRDefault="00983441">
            <w:pPr>
              <w:spacing w:line="252" w:lineRule="auto"/>
              <w:rPr>
                <w:color w:val="000000"/>
                <w:sz w:val="20"/>
                <w:szCs w:val="20"/>
              </w:rPr>
            </w:pPr>
            <w:r>
              <w:rPr>
                <w:sz w:val="20"/>
                <w:szCs w:val="20"/>
              </w:rPr>
              <w:t>ERCOT supports approval of NPRR786.  (ERCOT sponsored)</w:t>
            </w:r>
          </w:p>
        </w:tc>
      </w:tr>
      <w:tr w:rsidR="00983441" w:rsidTr="00D93040">
        <w:trPr>
          <w:trHeight w:val="1247"/>
        </w:trPr>
        <w:tc>
          <w:tcPr>
            <w:tcW w:w="1204" w:type="dxa"/>
            <w:tcBorders>
              <w:top w:val="nil"/>
              <w:left w:val="single" w:sz="8" w:space="0" w:color="auto"/>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787NPRR</w:t>
            </w:r>
          </w:p>
        </w:tc>
        <w:tc>
          <w:tcPr>
            <w:tcW w:w="9049" w:type="dxa"/>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b/>
                <w:bCs/>
                <w:sz w:val="20"/>
                <w:szCs w:val="20"/>
              </w:rPr>
            </w:pPr>
            <w:r>
              <w:rPr>
                <w:b/>
                <w:bCs/>
                <w:sz w:val="20"/>
                <w:szCs w:val="20"/>
              </w:rPr>
              <w:t xml:space="preserve">Removal of Recipient Name Requirement for VDI Confirmations. </w:t>
            </w:r>
            <w:r>
              <w:rPr>
                <w:sz w:val="20"/>
                <w:szCs w:val="20"/>
              </w:rPr>
              <w:t> This Nodal Protocol Revision Request (NPRR) removes the requirement for the Qualified Scheduling Entity (QSE) recipient of a Verbal Dispatch Instruction (VDI) confirmation to include the name of the individual that received the VDI confirmation within the electronic acknowledgement.  The current systems utilized for the VDI confirmations do not support this requirement. [ERCOT]</w:t>
            </w:r>
          </w:p>
        </w:tc>
        <w:tc>
          <w:tcPr>
            <w:tcW w:w="2790" w:type="dxa"/>
            <w:tcBorders>
              <w:top w:val="nil"/>
              <w:left w:val="nil"/>
              <w:bottom w:val="single" w:sz="8" w:space="0" w:color="auto"/>
              <w:right w:val="single" w:sz="8" w:space="0" w:color="auto"/>
            </w:tcBorders>
            <w:shd w:val="clear" w:color="auto" w:fill="DCE6F1"/>
            <w:tcMar>
              <w:top w:w="0" w:type="dxa"/>
              <w:left w:w="108" w:type="dxa"/>
              <w:bottom w:w="0" w:type="dxa"/>
              <w:right w:w="108" w:type="dxa"/>
            </w:tcMar>
            <w:hideMark/>
          </w:tcPr>
          <w:p w:rsidR="00983441" w:rsidRDefault="00983441">
            <w:pPr>
              <w:spacing w:line="252" w:lineRule="auto"/>
              <w:rPr>
                <w:color w:val="000000"/>
                <w:sz w:val="20"/>
                <w:szCs w:val="20"/>
              </w:rPr>
            </w:pPr>
            <w:r>
              <w:rPr>
                <w:sz w:val="20"/>
                <w:szCs w:val="20"/>
              </w:rPr>
              <w:t>ERCOT supports approval of NPRR787.  (ERCOT sponsored)</w:t>
            </w:r>
          </w:p>
        </w:tc>
      </w:tr>
    </w:tbl>
    <w:p w:rsidR="00E46BAC" w:rsidRDefault="00D93040"/>
    <w:sectPr w:rsidR="00E46BAC" w:rsidSect="00D93040">
      <w:head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040" w:rsidRDefault="00D93040" w:rsidP="00D93040">
      <w:r>
        <w:separator/>
      </w:r>
    </w:p>
  </w:endnote>
  <w:endnote w:type="continuationSeparator" w:id="0">
    <w:p w:rsidR="00D93040" w:rsidRDefault="00D93040" w:rsidP="00D9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040" w:rsidRDefault="00D93040" w:rsidP="00D93040">
      <w:r>
        <w:separator/>
      </w:r>
    </w:p>
  </w:footnote>
  <w:footnote w:type="continuationSeparator" w:id="0">
    <w:p w:rsidR="00D93040" w:rsidRDefault="00D93040" w:rsidP="00D93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040" w:rsidRDefault="00D93040">
    <w:pPr>
      <w:pStyle w:val="Header"/>
    </w:pPr>
    <w:r>
      <w:t>ERCOT Opinions – August 25, 2016 TAC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41"/>
    <w:rsid w:val="004D402C"/>
    <w:rsid w:val="00983441"/>
    <w:rsid w:val="00D37EBA"/>
    <w:rsid w:val="00D93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0CE3E-400C-4626-BCE4-EAEADA8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44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040"/>
    <w:pPr>
      <w:tabs>
        <w:tab w:val="center" w:pos="4680"/>
        <w:tab w:val="right" w:pos="9360"/>
      </w:tabs>
    </w:pPr>
  </w:style>
  <w:style w:type="character" w:customStyle="1" w:styleId="HeaderChar">
    <w:name w:val="Header Char"/>
    <w:basedOn w:val="DefaultParagraphFont"/>
    <w:link w:val="Header"/>
    <w:uiPriority w:val="99"/>
    <w:rsid w:val="00D93040"/>
    <w:rPr>
      <w:rFonts w:ascii="Calibri" w:hAnsi="Calibri" w:cs="Times New Roman"/>
    </w:rPr>
  </w:style>
  <w:style w:type="paragraph" w:styleId="Footer">
    <w:name w:val="footer"/>
    <w:basedOn w:val="Normal"/>
    <w:link w:val="FooterChar"/>
    <w:uiPriority w:val="99"/>
    <w:unhideWhenUsed/>
    <w:rsid w:val="00D93040"/>
    <w:pPr>
      <w:tabs>
        <w:tab w:val="center" w:pos="4680"/>
        <w:tab w:val="right" w:pos="9360"/>
      </w:tabs>
    </w:pPr>
  </w:style>
  <w:style w:type="character" w:customStyle="1" w:styleId="FooterChar">
    <w:name w:val="Footer Char"/>
    <w:basedOn w:val="DefaultParagraphFont"/>
    <w:link w:val="Footer"/>
    <w:uiPriority w:val="99"/>
    <w:rsid w:val="00D9304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5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dc:creator>
  <cp:keywords/>
  <dc:description/>
  <cp:lastModifiedBy>ERCOT</cp:lastModifiedBy>
  <cp:revision>2</cp:revision>
  <dcterms:created xsi:type="dcterms:W3CDTF">2016-08-25T13:39:00Z</dcterms:created>
  <dcterms:modified xsi:type="dcterms:W3CDTF">2016-08-25T13:41:00Z</dcterms:modified>
</cp:coreProperties>
</file>