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3" w:rsidRPr="00E80376" w:rsidRDefault="009326AC">
      <w:pPr>
        <w:rPr>
          <w:sz w:val="20"/>
          <w:szCs w:val="20"/>
        </w:rPr>
      </w:pPr>
      <w:r w:rsidRPr="00E80376">
        <w:rPr>
          <w:sz w:val="20"/>
          <w:szCs w:val="20"/>
        </w:rPr>
        <w:t>May 24, 2016 RMR Workshop</w:t>
      </w:r>
    </w:p>
    <w:p w:rsidR="00BA7383" w:rsidRPr="00E80376" w:rsidRDefault="00BA7383">
      <w:pPr>
        <w:rPr>
          <w:sz w:val="20"/>
          <w:szCs w:val="20"/>
        </w:rPr>
      </w:pPr>
      <w:r w:rsidRPr="00E80376">
        <w:rPr>
          <w:sz w:val="20"/>
          <w:szCs w:val="20"/>
        </w:rPr>
        <w:t>Issues List:</w:t>
      </w:r>
    </w:p>
    <w:p w:rsidR="00BA7383" w:rsidRPr="00780BE3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0BE3">
        <w:rPr>
          <w:sz w:val="20"/>
          <w:szCs w:val="20"/>
        </w:rPr>
        <w:t>NSO Notification Timeline</w:t>
      </w:r>
      <w:r w:rsidR="00D45283" w:rsidRPr="00780BE3">
        <w:rPr>
          <w:sz w:val="20"/>
          <w:szCs w:val="20"/>
        </w:rPr>
        <w:t xml:space="preserve"> (in 25.502 Substantive Rule?)</w:t>
      </w:r>
    </w:p>
    <w:p w:rsidR="00E80376" w:rsidRPr="00780BE3" w:rsidRDefault="00E80376" w:rsidP="00E80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80BE3">
        <w:rPr>
          <w:sz w:val="20"/>
          <w:szCs w:val="20"/>
        </w:rPr>
        <w:t>Is 90 day notice enough?</w:t>
      </w:r>
    </w:p>
    <w:p w:rsidR="00E80376" w:rsidRPr="0004387A" w:rsidRDefault="00E80376" w:rsidP="00E80376">
      <w:pPr>
        <w:pStyle w:val="ListParagraph"/>
        <w:ind w:left="1440"/>
        <w:rPr>
          <w:sz w:val="20"/>
          <w:szCs w:val="20"/>
        </w:rPr>
      </w:pP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Obligation or Incentive For Early Notification</w:t>
      </w:r>
      <w:r w:rsidR="00A722F0" w:rsidRPr="0004387A">
        <w:rPr>
          <w:sz w:val="20"/>
          <w:szCs w:val="20"/>
        </w:rPr>
        <w:t xml:space="preserve"> </w:t>
      </w:r>
      <w:r w:rsidR="00E80376" w:rsidRPr="0004387A">
        <w:rPr>
          <w:color w:val="0000FF"/>
          <w:sz w:val="20"/>
          <w:szCs w:val="20"/>
        </w:rPr>
        <w:t xml:space="preserve">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Transmission Planning Assumptions – should ERCOT forecast retirements?</w:t>
      </w:r>
    </w:p>
    <w:p w:rsidR="00D45283" w:rsidRPr="0004387A" w:rsidRDefault="00D45283" w:rsidP="00D45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Develop potential alternatives to potential retirements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Get rid of transmission exit strategy for RMRs?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RMR Study case assumptions and Risk Analysis (less conservative for RMR than for transmission planning studies?); RMR for transmission constraint criteria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RMR for capacity criteria?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Remove Output Schedule Option?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RMR RUC Criteria transparency</w:t>
      </w:r>
      <w:r w:rsidR="00780BE3" w:rsidRPr="0004387A">
        <w:rPr>
          <w:sz w:val="20"/>
          <w:szCs w:val="20"/>
        </w:rPr>
        <w:t xml:space="preserve">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SCED dispatch for transmission constraint issues</w:t>
      </w:r>
    </w:p>
    <w:p w:rsidR="00BA7383" w:rsidRPr="0004387A" w:rsidRDefault="00BA7383" w:rsidP="00BA73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Mitigation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Capital Contribution </w:t>
      </w:r>
      <w:r w:rsidR="002D4D6E" w:rsidRPr="0004387A">
        <w:rPr>
          <w:sz w:val="20"/>
          <w:szCs w:val="20"/>
        </w:rPr>
        <w:t>Claw back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Capital Contribution definition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Can a PUN be an MRA?</w:t>
      </w:r>
    </w:p>
    <w:p w:rsidR="00E80376" w:rsidRPr="0004387A" w:rsidRDefault="00E80376" w:rsidP="00E80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MRA process needs clarification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Are there perverse incentives in the MRA language today?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Contract length</w:t>
      </w:r>
    </w:p>
    <w:p w:rsidR="00D45283" w:rsidRPr="0004387A" w:rsidRDefault="00D45283" w:rsidP="00D45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“significant investment” language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Pre-RMR execution MRA process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Contract language clean up</w:t>
      </w:r>
    </w:p>
    <w:p w:rsidR="00B20720" w:rsidRDefault="00B20720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Does MRA have to solve the reliability issue or just provide equivalent mitigation?</w:t>
      </w:r>
    </w:p>
    <w:p w:rsidR="004B6955" w:rsidRDefault="004B6955" w:rsidP="004B6955">
      <w:pPr>
        <w:pStyle w:val="ListParagraph"/>
        <w:rPr>
          <w:sz w:val="20"/>
          <w:szCs w:val="20"/>
        </w:rPr>
      </w:pPr>
    </w:p>
    <w:p w:rsidR="004B6955" w:rsidRPr="004B6955" w:rsidRDefault="004B6955" w:rsidP="004B6955">
      <w:pPr>
        <w:pStyle w:val="ListParagraph"/>
        <w:rPr>
          <w:b/>
          <w:sz w:val="20"/>
          <w:szCs w:val="20"/>
        </w:rPr>
      </w:pPr>
      <w:r w:rsidRPr="004B6955">
        <w:rPr>
          <w:b/>
          <w:sz w:val="20"/>
          <w:szCs w:val="20"/>
        </w:rPr>
        <w:t>June 10, 2016 Prioritized List</w:t>
      </w:r>
    </w:p>
    <w:p w:rsidR="00780BE3" w:rsidRPr="00780BE3" w:rsidRDefault="00780BE3" w:rsidP="00780BE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9"/>
        <w:gridCol w:w="3836"/>
        <w:gridCol w:w="3060"/>
      </w:tblGrid>
      <w:tr w:rsidR="006C7996" w:rsidTr="006C7996">
        <w:tc>
          <w:tcPr>
            <w:tcW w:w="1379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Issues List Number</w:t>
            </w:r>
          </w:p>
        </w:tc>
        <w:tc>
          <w:tcPr>
            <w:tcW w:w="3836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60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Comment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36" w:type="dxa"/>
          </w:tcPr>
          <w:p w:rsidR="006C7996" w:rsidRDefault="006C7996" w:rsidP="006C7996">
            <w:p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SCED dispatch for transmission constraint issues</w:t>
            </w:r>
          </w:p>
          <w:p w:rsidR="006C7996" w:rsidRPr="00780BE3" w:rsidRDefault="006C7996" w:rsidP="006C7996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Mitigation</w:t>
            </w:r>
          </w:p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NPRR 784 to address this issue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6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Capital Contribution Claw back</w:t>
            </w: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36" w:type="dxa"/>
          </w:tcPr>
          <w:p w:rsidR="006C7996" w:rsidRPr="00780BE3" w:rsidRDefault="006C7996" w:rsidP="006C7996">
            <w:p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Capital Contribution definition</w:t>
            </w:r>
          </w:p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36" w:type="dxa"/>
          </w:tcPr>
          <w:p w:rsidR="006C7996" w:rsidRPr="00780BE3" w:rsidRDefault="006C7996" w:rsidP="006C7996">
            <w:pPr>
              <w:jc w:val="center"/>
              <w:rPr>
                <w:sz w:val="20"/>
                <w:szCs w:val="20"/>
              </w:rPr>
            </w:pPr>
            <w:r w:rsidRPr="0009138E">
              <w:rPr>
                <w:sz w:val="20"/>
                <w:szCs w:val="20"/>
              </w:rPr>
              <w:t>Contract language clean up</w:t>
            </w: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</w:p>
        </w:tc>
      </w:tr>
    </w:tbl>
    <w:p w:rsidR="00E80376" w:rsidRDefault="00E80376" w:rsidP="006C7996">
      <w:pPr>
        <w:pStyle w:val="ListParagraph"/>
        <w:jc w:val="center"/>
        <w:rPr>
          <w:sz w:val="20"/>
          <w:szCs w:val="20"/>
        </w:rPr>
      </w:pPr>
      <w:bookmarkStart w:id="0" w:name="_GoBack"/>
      <w:bookmarkEnd w:id="0"/>
    </w:p>
    <w:p w:rsidR="00780BE3" w:rsidRDefault="00780BE3" w:rsidP="00E80376">
      <w:pPr>
        <w:pStyle w:val="ListParagraph"/>
        <w:rPr>
          <w:sz w:val="20"/>
          <w:szCs w:val="20"/>
        </w:rPr>
      </w:pPr>
    </w:p>
    <w:p w:rsidR="00A722F0" w:rsidRDefault="00A722F0" w:rsidP="00E80376">
      <w:pPr>
        <w:pStyle w:val="ListParagraph"/>
        <w:rPr>
          <w:sz w:val="20"/>
          <w:szCs w:val="20"/>
        </w:rPr>
      </w:pPr>
    </w:p>
    <w:p w:rsidR="00A722F0" w:rsidRDefault="00A722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22F0" w:rsidRDefault="00A722F0" w:rsidP="00E80376">
      <w:pPr>
        <w:pStyle w:val="ListParagraph"/>
        <w:rPr>
          <w:sz w:val="20"/>
          <w:szCs w:val="20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795"/>
        <w:gridCol w:w="5040"/>
        <w:gridCol w:w="1800"/>
      </w:tblGrid>
      <w:tr w:rsidR="00B9228D" w:rsidTr="0004387A">
        <w:tc>
          <w:tcPr>
            <w:tcW w:w="1795" w:type="dxa"/>
          </w:tcPr>
          <w:p w:rsidR="00B9228D" w:rsidRPr="00780BE3" w:rsidRDefault="00B9228D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Issues List Number</w:t>
            </w:r>
          </w:p>
        </w:tc>
        <w:tc>
          <w:tcPr>
            <w:tcW w:w="5040" w:type="dxa"/>
          </w:tcPr>
          <w:p w:rsidR="00B9228D" w:rsidRPr="00780BE3" w:rsidRDefault="00B9228D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:rsidR="00B9228D" w:rsidRPr="00780BE3" w:rsidRDefault="00B9228D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A722F0" w:rsidRPr="00A722F0" w:rsidRDefault="00A722F0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>NSO Notification Timeline (in 25.502 Substantive Rule?)</w:t>
            </w:r>
          </w:p>
          <w:p w:rsidR="00A722F0" w:rsidRPr="00780BE3" w:rsidRDefault="00A722F0" w:rsidP="00A722F0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Is 90 day notice enough?</w:t>
            </w:r>
          </w:p>
          <w:p w:rsidR="00B9228D" w:rsidRDefault="00B9228D" w:rsidP="008247F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B9228D" w:rsidRDefault="00A722F0" w:rsidP="008247FF">
            <w:pPr>
              <w:pStyle w:val="ListParagraph"/>
              <w:ind w:left="0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Obligation or Incentive For Early Notification</w:t>
            </w: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A722F0" w:rsidRPr="00A722F0" w:rsidRDefault="00A722F0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>Transmission Planning Assumptions – should ERCOT forecast retirements?</w:t>
            </w:r>
          </w:p>
          <w:p w:rsidR="00A722F0" w:rsidRPr="00780BE3" w:rsidRDefault="00A722F0" w:rsidP="00A722F0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Develop potential alternatives to potential retirements</w:t>
            </w:r>
          </w:p>
          <w:p w:rsidR="00B9228D" w:rsidRDefault="00B9228D" w:rsidP="008247F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A722F0" w:rsidRPr="00E80376" w:rsidRDefault="00A722F0" w:rsidP="00A722F0">
            <w:pPr>
              <w:rPr>
                <w:sz w:val="20"/>
                <w:szCs w:val="20"/>
              </w:rPr>
            </w:pPr>
            <w:r w:rsidRPr="00E80376">
              <w:rPr>
                <w:sz w:val="20"/>
                <w:szCs w:val="20"/>
              </w:rPr>
              <w:t>RMR Study case assumptions and Risk Analysis (less conservative for RMR than for transmission planning studies?); RMR for transmission constraint criteria</w:t>
            </w:r>
          </w:p>
          <w:p w:rsidR="00B9228D" w:rsidRPr="00780BE3" w:rsidRDefault="00B9228D" w:rsidP="008247F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2F0" w:rsidTr="0004387A">
        <w:tc>
          <w:tcPr>
            <w:tcW w:w="1795" w:type="dxa"/>
          </w:tcPr>
          <w:p w:rsidR="00A722F0" w:rsidRDefault="00A722F0" w:rsidP="0004387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12/13/15/17</w:t>
            </w:r>
          </w:p>
        </w:tc>
        <w:tc>
          <w:tcPr>
            <w:tcW w:w="5040" w:type="dxa"/>
          </w:tcPr>
          <w:p w:rsidR="00A722F0" w:rsidRPr="00780BE3" w:rsidRDefault="00A722F0" w:rsidP="00824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Issues</w:t>
            </w:r>
          </w:p>
        </w:tc>
        <w:tc>
          <w:tcPr>
            <w:tcW w:w="1800" w:type="dxa"/>
          </w:tcPr>
          <w:p w:rsidR="00A722F0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22F0" w:rsidTr="0004387A">
        <w:tc>
          <w:tcPr>
            <w:tcW w:w="1795" w:type="dxa"/>
          </w:tcPr>
          <w:p w:rsidR="00A722F0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A722F0" w:rsidRPr="00A722F0" w:rsidRDefault="00A722F0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 xml:space="preserve">RMR RUC Criteria transparency </w:t>
            </w:r>
          </w:p>
          <w:p w:rsidR="00A722F0" w:rsidRPr="00780BE3" w:rsidRDefault="00A722F0" w:rsidP="008247F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2F0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387A" w:rsidTr="0004387A">
        <w:tc>
          <w:tcPr>
            <w:tcW w:w="1795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Get rid of transmission exit strategy for RMRs?</w:t>
            </w:r>
          </w:p>
          <w:p w:rsidR="0004387A" w:rsidRPr="00A722F0" w:rsidRDefault="0004387A" w:rsidP="00A722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4387A" w:rsidTr="0004387A">
        <w:tc>
          <w:tcPr>
            <w:tcW w:w="1795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 xml:space="preserve">RMR for capacity criteria? </w:t>
            </w:r>
          </w:p>
          <w:p w:rsidR="0004387A" w:rsidRPr="0004387A" w:rsidRDefault="0004387A" w:rsidP="000438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4387A" w:rsidTr="0004387A">
        <w:tc>
          <w:tcPr>
            <w:tcW w:w="1795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Contract length</w:t>
            </w:r>
          </w:p>
          <w:p w:rsidR="0004387A" w:rsidRPr="0009138E" w:rsidRDefault="0004387A" w:rsidP="0004387A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9138E">
              <w:rPr>
                <w:sz w:val="20"/>
                <w:szCs w:val="20"/>
              </w:rPr>
              <w:t>“significant investment” language</w:t>
            </w:r>
          </w:p>
          <w:p w:rsidR="0004387A" w:rsidRPr="0004387A" w:rsidRDefault="0004387A" w:rsidP="000438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4387A" w:rsidTr="0004387A">
        <w:tc>
          <w:tcPr>
            <w:tcW w:w="1795" w:type="dxa"/>
          </w:tcPr>
          <w:p w:rsidR="0004387A" w:rsidRP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Remove Output Schedule Option?</w:t>
            </w:r>
          </w:p>
          <w:p w:rsidR="0004387A" w:rsidRPr="0004387A" w:rsidRDefault="0004387A" w:rsidP="000438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80BE3" w:rsidRDefault="00780BE3" w:rsidP="00E80376">
      <w:pPr>
        <w:pStyle w:val="ListParagraph"/>
        <w:rPr>
          <w:sz w:val="20"/>
          <w:szCs w:val="20"/>
        </w:rPr>
      </w:pPr>
    </w:p>
    <w:p w:rsidR="00780BE3" w:rsidRDefault="00780BE3" w:rsidP="00E80376">
      <w:pPr>
        <w:pStyle w:val="ListParagraph"/>
        <w:rPr>
          <w:sz w:val="20"/>
          <w:szCs w:val="20"/>
        </w:rPr>
      </w:pPr>
    </w:p>
    <w:p w:rsidR="00E80376" w:rsidRDefault="0004387A" w:rsidP="00E803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Priority scale:  1 - highest</w:t>
      </w:r>
    </w:p>
    <w:p w:rsidR="00811254" w:rsidRDefault="00811254" w:rsidP="00E80376">
      <w:pPr>
        <w:pStyle w:val="ListParagraph"/>
        <w:rPr>
          <w:sz w:val="20"/>
          <w:szCs w:val="20"/>
        </w:rPr>
      </w:pPr>
    </w:p>
    <w:p w:rsidR="00811254" w:rsidRPr="00E80376" w:rsidRDefault="00811254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sectPr w:rsidR="00E80376" w:rsidRPr="00E8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293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2FF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E1F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608"/>
    <w:multiLevelType w:val="hybridMultilevel"/>
    <w:tmpl w:val="8168ED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34F8"/>
    <w:multiLevelType w:val="hybridMultilevel"/>
    <w:tmpl w:val="E1AE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44EB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015F"/>
    <w:multiLevelType w:val="hybridMultilevel"/>
    <w:tmpl w:val="1ECAA1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4491"/>
    <w:multiLevelType w:val="hybridMultilevel"/>
    <w:tmpl w:val="C41869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B0CA6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191"/>
    <w:multiLevelType w:val="hybridMultilevel"/>
    <w:tmpl w:val="CB9251BA"/>
    <w:lvl w:ilvl="0" w:tplc="1A8CC5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434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4BB2"/>
    <w:multiLevelType w:val="hybridMultilevel"/>
    <w:tmpl w:val="21B2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226D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3877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9C3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2016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2E5A"/>
    <w:multiLevelType w:val="hybridMultilevel"/>
    <w:tmpl w:val="356E0D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754C"/>
    <w:multiLevelType w:val="hybridMultilevel"/>
    <w:tmpl w:val="21B2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3"/>
  </w:num>
  <w:num w:numId="7">
    <w:abstractNumId w:val="6"/>
  </w:num>
  <w:num w:numId="8">
    <w:abstractNumId w:val="11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1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F"/>
    <w:rsid w:val="0004387A"/>
    <w:rsid w:val="0009138E"/>
    <w:rsid w:val="002D4D6E"/>
    <w:rsid w:val="004B6955"/>
    <w:rsid w:val="005A57C6"/>
    <w:rsid w:val="005F1CD0"/>
    <w:rsid w:val="0067512F"/>
    <w:rsid w:val="006C7996"/>
    <w:rsid w:val="00780BE3"/>
    <w:rsid w:val="00811254"/>
    <w:rsid w:val="009326AC"/>
    <w:rsid w:val="00A2033D"/>
    <w:rsid w:val="00A722F0"/>
    <w:rsid w:val="00B20720"/>
    <w:rsid w:val="00B46834"/>
    <w:rsid w:val="00B9228D"/>
    <w:rsid w:val="00BA7383"/>
    <w:rsid w:val="00D45283"/>
    <w:rsid w:val="00DA1023"/>
    <w:rsid w:val="00E65453"/>
    <w:rsid w:val="00E80376"/>
    <w:rsid w:val="00E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CCCE-4B90-4338-9141-CD2A0F9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83"/>
    <w:pPr>
      <w:ind w:left="720"/>
      <w:contextualSpacing/>
    </w:pPr>
  </w:style>
  <w:style w:type="table" w:styleId="TableGrid">
    <w:name w:val="Table Grid"/>
    <w:basedOn w:val="TableNormal"/>
    <w:uiPriority w:val="39"/>
    <w:rsid w:val="00E8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PLWG 20160518</dc:creator>
  <cp:keywords/>
  <dc:description/>
  <cp:lastModifiedBy>Gonzalez, Ino</cp:lastModifiedBy>
  <cp:revision>5</cp:revision>
  <dcterms:created xsi:type="dcterms:W3CDTF">2016-06-10T16:59:00Z</dcterms:created>
  <dcterms:modified xsi:type="dcterms:W3CDTF">2016-06-10T17:17:00Z</dcterms:modified>
</cp:coreProperties>
</file>