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53" w:rsidRDefault="009326AC">
      <w:pPr>
        <w:rPr>
          <w:sz w:val="56"/>
          <w:szCs w:val="56"/>
        </w:rPr>
      </w:pPr>
      <w:r>
        <w:rPr>
          <w:sz w:val="56"/>
          <w:szCs w:val="56"/>
        </w:rPr>
        <w:t>May 24, 2016 RMR Workshop</w:t>
      </w:r>
    </w:p>
    <w:p w:rsidR="00BA7383" w:rsidRDefault="00BA7383">
      <w:pPr>
        <w:rPr>
          <w:sz w:val="28"/>
          <w:szCs w:val="56"/>
        </w:rPr>
      </w:pPr>
      <w:r>
        <w:rPr>
          <w:sz w:val="28"/>
          <w:szCs w:val="56"/>
        </w:rPr>
        <w:t>Issues List: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NSO Notification Timeline</w:t>
      </w:r>
      <w:r w:rsidR="00D45283">
        <w:rPr>
          <w:sz w:val="28"/>
          <w:szCs w:val="56"/>
        </w:rPr>
        <w:t xml:space="preserve"> (in 25.502 Substantive Rule?)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Obligation or Incentive For Early Notification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Transmission Planning Assumptions – should ERCOT forecast retirements?</w:t>
      </w:r>
    </w:p>
    <w:p w:rsidR="00D45283" w:rsidRDefault="00D45283" w:rsidP="00D45283">
      <w:pPr>
        <w:pStyle w:val="ListParagraph"/>
        <w:numPr>
          <w:ilvl w:val="1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Develop potential alternatives to potential retirements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Get rid of transmission exit strategy for RMRs?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RMR Study case assumptions and Risk Analysis (less conservative for RMR than for transmission planning studies?); RMR for transmission constraint criteria</w:t>
      </w:r>
      <w:bookmarkStart w:id="0" w:name="_GoBack"/>
      <w:bookmarkEnd w:id="0"/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RMR for capacity criteria? </w:t>
      </w:r>
    </w:p>
    <w:p w:rsidR="00BA7383" w:rsidRPr="00D452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Remove Output Schedule Option?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RMR RUC Criteria transparency</w:t>
      </w:r>
    </w:p>
    <w:p w:rsidR="00BA7383" w:rsidRPr="00D452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SCED dispatch for transmission constraint issues</w:t>
      </w:r>
    </w:p>
    <w:p w:rsidR="00BA7383" w:rsidRPr="00D45283" w:rsidRDefault="00BA7383" w:rsidP="00BA7383">
      <w:pPr>
        <w:pStyle w:val="ListParagraph"/>
        <w:numPr>
          <w:ilvl w:val="1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Mitigation</w:t>
      </w:r>
    </w:p>
    <w:p w:rsidR="005A57C6" w:rsidRPr="00D45283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 xml:space="preserve">Capital Contribution </w:t>
      </w:r>
      <w:r w:rsidR="002D4D6E" w:rsidRPr="00D45283">
        <w:rPr>
          <w:sz w:val="28"/>
          <w:szCs w:val="56"/>
          <w:highlight w:val="yellow"/>
        </w:rPr>
        <w:t>Claw back</w:t>
      </w:r>
    </w:p>
    <w:p w:rsidR="00D45283" w:rsidRP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>Capital Contribution definition</w:t>
      </w:r>
    </w:p>
    <w:p w:rsidR="005A57C6" w:rsidRPr="00D45283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>Can a PUN be an MRA?</w:t>
      </w:r>
    </w:p>
    <w:p w:rsidR="005A57C6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Are there perverse incentives in the MRA language today?</w:t>
      </w:r>
    </w:p>
    <w:p w:rsidR="005A57C6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Contract length</w:t>
      </w:r>
    </w:p>
    <w:p w:rsidR="00D45283" w:rsidRDefault="00D45283" w:rsidP="00D45283">
      <w:pPr>
        <w:pStyle w:val="ListParagraph"/>
        <w:numPr>
          <w:ilvl w:val="1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“significant investment” language</w:t>
      </w:r>
    </w:p>
    <w:p w:rsid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Pre-RMR execution MRA process</w:t>
      </w:r>
    </w:p>
    <w:p w:rsid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Contract language clean up</w:t>
      </w:r>
    </w:p>
    <w:p w:rsidR="00B20720" w:rsidRPr="00BA7383" w:rsidRDefault="00B20720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Does MRA have to solve the reliability issue or just provide equivalent mitigation?</w:t>
      </w:r>
    </w:p>
    <w:sectPr w:rsidR="00B20720" w:rsidRPr="00BA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C44EB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2F"/>
    <w:rsid w:val="002D4D6E"/>
    <w:rsid w:val="005A57C6"/>
    <w:rsid w:val="005F1CD0"/>
    <w:rsid w:val="0067512F"/>
    <w:rsid w:val="009326AC"/>
    <w:rsid w:val="00B20720"/>
    <w:rsid w:val="00BA7383"/>
    <w:rsid w:val="00D45283"/>
    <w:rsid w:val="00E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9CCCE-4B90-4338-9141-CD2A0F9E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PLWG 20160518</dc:creator>
  <cp:keywords/>
  <dc:description/>
  <cp:lastModifiedBy>ERCOT</cp:lastModifiedBy>
  <cp:revision>2</cp:revision>
  <dcterms:created xsi:type="dcterms:W3CDTF">2016-06-02T17:25:00Z</dcterms:created>
  <dcterms:modified xsi:type="dcterms:W3CDTF">2016-06-02T17:25:00Z</dcterms:modified>
</cp:coreProperties>
</file>