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2C48B" w14:textId="77777777" w:rsidR="00387971" w:rsidRDefault="00B22EA7" w:rsidP="00002163">
      <w:pPr>
        <w:jc w:val="right"/>
      </w:pPr>
      <w:bookmarkStart w:id="0" w:name="_GoBack"/>
      <w:bookmarkEnd w:id="0"/>
      <w:r>
        <w:rPr>
          <w:noProof/>
        </w:rPr>
        <w:drawing>
          <wp:inline distT="0" distB="0" distL="0" distR="0" wp14:anchorId="6642C4C6" wp14:editId="6642C4C7">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6642C48C" w14:textId="19302F06" w:rsidR="00387971" w:rsidRPr="00646598" w:rsidRDefault="009C3E59" w:rsidP="00EA2B1F">
      <w:pPr>
        <w:pStyle w:val="StyleStylespacerRightBefore400pt9pt"/>
      </w:pPr>
      <w:r>
        <w:t>2016</w:t>
      </w:r>
      <w:r w:rsidR="009F0179" w:rsidRPr="00646598">
        <w:br/>
      </w:r>
    </w:p>
    <w:p w14:paraId="6642C48D" w14:textId="305E08CB" w:rsidR="00AE70F7" w:rsidRPr="00646598" w:rsidRDefault="009C3E59" w:rsidP="00EA2B1F">
      <w:pPr>
        <w:pStyle w:val="StyleArial18ptBoldText2Right"/>
      </w:pPr>
      <w:r>
        <w:t>Black Start Training Summary</w:t>
      </w:r>
    </w:p>
    <w:p w14:paraId="6642C48E" w14:textId="77777777" w:rsidR="00AE70F7" w:rsidRPr="00646598" w:rsidRDefault="002129A3" w:rsidP="00AE70F7">
      <w:pPr>
        <w:pStyle w:val="spacer"/>
        <w:widowControl w:val="0"/>
        <w:spacing w:before="240"/>
        <w:jc w:val="right"/>
        <w:rPr>
          <w:b/>
          <w:sz w:val="24"/>
          <w:szCs w:val="24"/>
        </w:rPr>
      </w:pPr>
      <w:r w:rsidRPr="00646598">
        <w:rPr>
          <w:b/>
          <w:sz w:val="24"/>
          <w:szCs w:val="24"/>
        </w:rPr>
        <w:t>Version</w:t>
      </w:r>
      <w:r w:rsidR="001F36CA" w:rsidRPr="00646598">
        <w:rPr>
          <w:b/>
          <w:sz w:val="24"/>
          <w:szCs w:val="24"/>
        </w:rPr>
        <w:t xml:space="preserve"> 1.</w:t>
      </w:r>
      <w:r w:rsidR="005C0BD0" w:rsidRPr="00646598">
        <w:rPr>
          <w:b/>
          <w:sz w:val="24"/>
          <w:szCs w:val="24"/>
        </w:rPr>
        <w:t>0</w:t>
      </w:r>
    </w:p>
    <w:p w14:paraId="6642C48F" w14:textId="77777777" w:rsidR="00AE70F7" w:rsidRPr="00AE70F7" w:rsidRDefault="00AE70F7" w:rsidP="00AE70F7">
      <w:pPr>
        <w:pStyle w:val="spacer"/>
        <w:widowControl w:val="0"/>
        <w:spacing w:before="240"/>
        <w:jc w:val="right"/>
        <w:rPr>
          <w:sz w:val="24"/>
          <w:szCs w:val="24"/>
        </w:rPr>
      </w:pPr>
    </w:p>
    <w:p w14:paraId="6642C490"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6642C491"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17100B" w14:paraId="6642C496" w14:textId="77777777" w:rsidTr="0080518D">
        <w:tc>
          <w:tcPr>
            <w:tcW w:w="1800" w:type="dxa"/>
            <w:tcBorders>
              <w:top w:val="nil"/>
              <w:left w:val="nil"/>
              <w:bottom w:val="single" w:sz="4" w:space="0" w:color="auto"/>
              <w:right w:val="nil"/>
            </w:tcBorders>
            <w:shd w:val="clear" w:color="auto" w:fill="auto"/>
          </w:tcPr>
          <w:p w14:paraId="6642C492" w14:textId="77777777" w:rsidR="0017100B" w:rsidRPr="00FA1221" w:rsidRDefault="0017100B" w:rsidP="00D055CC">
            <w:pPr>
              <w:pStyle w:val="tablehead"/>
            </w:pPr>
            <w:r w:rsidRPr="00FA1221">
              <w:t>Date</w:t>
            </w:r>
          </w:p>
        </w:tc>
        <w:tc>
          <w:tcPr>
            <w:tcW w:w="1134" w:type="dxa"/>
            <w:tcBorders>
              <w:top w:val="nil"/>
              <w:left w:val="nil"/>
              <w:bottom w:val="single" w:sz="4" w:space="0" w:color="auto"/>
              <w:right w:val="nil"/>
            </w:tcBorders>
            <w:shd w:val="clear" w:color="auto" w:fill="auto"/>
          </w:tcPr>
          <w:p w14:paraId="6642C493" w14:textId="77777777" w:rsidR="0017100B" w:rsidRPr="00FA1221" w:rsidRDefault="0017100B" w:rsidP="00D055CC">
            <w:pPr>
              <w:pStyle w:val="tablehead"/>
            </w:pPr>
            <w:r w:rsidRPr="00FA1221">
              <w:t>Version</w:t>
            </w:r>
          </w:p>
        </w:tc>
        <w:tc>
          <w:tcPr>
            <w:tcW w:w="3726" w:type="dxa"/>
            <w:tcBorders>
              <w:top w:val="nil"/>
              <w:left w:val="nil"/>
              <w:bottom w:val="single" w:sz="4" w:space="0" w:color="auto"/>
              <w:right w:val="nil"/>
            </w:tcBorders>
            <w:shd w:val="clear" w:color="auto" w:fill="auto"/>
          </w:tcPr>
          <w:p w14:paraId="6642C494" w14:textId="77777777" w:rsidR="0017100B" w:rsidRPr="00FA1221" w:rsidRDefault="0017100B" w:rsidP="00D055CC">
            <w:pPr>
              <w:pStyle w:val="tablehead"/>
            </w:pPr>
            <w:r w:rsidRPr="00FA1221">
              <w:t>Description</w:t>
            </w:r>
          </w:p>
        </w:tc>
        <w:tc>
          <w:tcPr>
            <w:tcW w:w="1980" w:type="dxa"/>
            <w:tcBorders>
              <w:top w:val="nil"/>
              <w:left w:val="nil"/>
              <w:bottom w:val="single" w:sz="4" w:space="0" w:color="auto"/>
              <w:right w:val="nil"/>
            </w:tcBorders>
            <w:shd w:val="clear" w:color="auto" w:fill="auto"/>
          </w:tcPr>
          <w:p w14:paraId="6642C495" w14:textId="77777777" w:rsidR="0017100B" w:rsidRPr="00FA1221" w:rsidRDefault="0017100B" w:rsidP="00D055CC">
            <w:pPr>
              <w:pStyle w:val="tablehead"/>
            </w:pPr>
            <w:r w:rsidRPr="00FA1221">
              <w:t>Author(s)</w:t>
            </w:r>
          </w:p>
        </w:tc>
      </w:tr>
      <w:tr w:rsidR="0017100B" w14:paraId="6642C49B" w14:textId="77777777" w:rsidTr="0080518D">
        <w:tc>
          <w:tcPr>
            <w:tcW w:w="1800" w:type="dxa"/>
            <w:tcBorders>
              <w:top w:val="single" w:sz="4" w:space="0" w:color="auto"/>
              <w:left w:val="nil"/>
              <w:bottom w:val="single" w:sz="4" w:space="0" w:color="auto"/>
              <w:right w:val="single" w:sz="4" w:space="0" w:color="auto"/>
            </w:tcBorders>
          </w:tcPr>
          <w:p w14:paraId="6642C497" w14:textId="77777777" w:rsidR="0017100B" w:rsidRDefault="0017100B" w:rsidP="00D055CC">
            <w:pPr>
              <w:pStyle w:val="table"/>
            </w:pPr>
          </w:p>
        </w:tc>
        <w:tc>
          <w:tcPr>
            <w:tcW w:w="1134" w:type="dxa"/>
            <w:tcBorders>
              <w:top w:val="single" w:sz="4" w:space="0" w:color="auto"/>
              <w:left w:val="single" w:sz="4" w:space="0" w:color="auto"/>
              <w:bottom w:val="single" w:sz="4" w:space="0" w:color="auto"/>
              <w:right w:val="single" w:sz="4" w:space="0" w:color="auto"/>
            </w:tcBorders>
          </w:tcPr>
          <w:p w14:paraId="6642C498" w14:textId="77777777" w:rsidR="0017100B" w:rsidRDefault="006E489C" w:rsidP="00D055CC">
            <w:pPr>
              <w:pStyle w:val="table"/>
            </w:pPr>
            <w:r>
              <w:t>1.0</w:t>
            </w:r>
          </w:p>
        </w:tc>
        <w:tc>
          <w:tcPr>
            <w:tcW w:w="3726" w:type="dxa"/>
            <w:tcBorders>
              <w:top w:val="single" w:sz="4" w:space="0" w:color="auto"/>
              <w:left w:val="single" w:sz="4" w:space="0" w:color="auto"/>
              <w:bottom w:val="single" w:sz="4" w:space="0" w:color="auto"/>
              <w:right w:val="single" w:sz="4" w:space="0" w:color="auto"/>
            </w:tcBorders>
          </w:tcPr>
          <w:p w14:paraId="6642C499" w14:textId="77777777" w:rsidR="0017100B" w:rsidRDefault="006E489C" w:rsidP="00D055CC">
            <w:pPr>
              <w:pStyle w:val="table"/>
            </w:pPr>
            <w:r>
              <w:t>First draft</w:t>
            </w:r>
          </w:p>
        </w:tc>
        <w:tc>
          <w:tcPr>
            <w:tcW w:w="1980" w:type="dxa"/>
            <w:tcBorders>
              <w:top w:val="single" w:sz="4" w:space="0" w:color="auto"/>
              <w:left w:val="single" w:sz="4" w:space="0" w:color="auto"/>
              <w:bottom w:val="single" w:sz="4" w:space="0" w:color="auto"/>
              <w:right w:val="nil"/>
            </w:tcBorders>
          </w:tcPr>
          <w:p w14:paraId="6642C49A" w14:textId="77777777" w:rsidR="0017100B" w:rsidRDefault="0017100B" w:rsidP="00D055CC">
            <w:pPr>
              <w:pStyle w:val="table"/>
            </w:pPr>
          </w:p>
        </w:tc>
      </w:tr>
    </w:tbl>
    <w:p w14:paraId="6642C49C" w14:textId="77777777" w:rsidR="00B0784A" w:rsidRDefault="00B0784A"/>
    <w:p w14:paraId="6642C49D" w14:textId="77777777" w:rsidR="00400806" w:rsidRDefault="00400806">
      <w:pPr>
        <w:pStyle w:val="BodyText"/>
        <w:sectPr w:rsidR="00400806" w:rsidSect="003C5767">
          <w:pgSz w:w="12240" w:h="15840"/>
          <w:pgMar w:top="1440" w:right="1440" w:bottom="1440" w:left="1440" w:header="720" w:footer="720" w:gutter="0"/>
          <w:pgNumType w:start="1"/>
          <w:cols w:space="720"/>
          <w:docGrid w:linePitch="360"/>
        </w:sectPr>
      </w:pPr>
    </w:p>
    <w:p w14:paraId="6642C49E" w14:textId="77777777" w:rsidR="00400806" w:rsidRPr="00F923C7" w:rsidRDefault="00F923C7" w:rsidP="00EA2B1F">
      <w:pPr>
        <w:pStyle w:val="StyleTOCHeadAccent1"/>
      </w:pPr>
      <w:r>
        <w:lastRenderedPageBreak/>
        <w:t>Sign-Off</w:t>
      </w:r>
    </w:p>
    <w:p w14:paraId="6642C49F" w14:textId="77777777" w:rsidR="00ED126F" w:rsidRDefault="003B23AC" w:rsidP="001E376F">
      <w:pPr>
        <w:pStyle w:val="Title1"/>
      </w:pPr>
      <w:r>
        <w:t>Title</w:t>
      </w:r>
    </w:p>
    <w:p w14:paraId="6642C4A0" w14:textId="77777777" w:rsidR="00ED126F" w:rsidRDefault="00ED126F" w:rsidP="00CF5CF3">
      <w:pPr>
        <w:pStyle w:val="Stylecutline8pt"/>
      </w:pPr>
      <w:r w:rsidRPr="00031636">
        <w:t>Name</w:t>
      </w:r>
      <w:r>
        <w:tab/>
      </w:r>
      <w:r w:rsidRPr="00CF5CF3">
        <w:t>Date</w:t>
      </w:r>
      <w:r>
        <w:tab/>
      </w:r>
      <w:r>
        <w:tab/>
      </w:r>
    </w:p>
    <w:p w14:paraId="6642C4A1" w14:textId="77777777" w:rsidR="00ED126F" w:rsidRDefault="003B23AC" w:rsidP="001E376F">
      <w:pPr>
        <w:pStyle w:val="Title1"/>
      </w:pPr>
      <w:r>
        <w:t>Title</w:t>
      </w:r>
    </w:p>
    <w:p w14:paraId="6642C4A2" w14:textId="77777777" w:rsidR="00ED126F" w:rsidRDefault="00ED126F" w:rsidP="00CF5CF3">
      <w:pPr>
        <w:pStyle w:val="Stylecutline8pt"/>
      </w:pPr>
      <w:r w:rsidRPr="00031636">
        <w:t>Name</w:t>
      </w:r>
      <w:r>
        <w:tab/>
      </w:r>
      <w:r w:rsidRPr="00CF5CF3">
        <w:t>Date</w:t>
      </w:r>
      <w:r>
        <w:tab/>
      </w:r>
      <w:r>
        <w:tab/>
      </w:r>
    </w:p>
    <w:p w14:paraId="6642C4A3" w14:textId="77777777" w:rsidR="00400806" w:rsidRDefault="00400806" w:rsidP="00400806">
      <w:pPr>
        <w:pStyle w:val="BodyText"/>
      </w:pPr>
    </w:p>
    <w:p w14:paraId="6642C4A4" w14:textId="77777777" w:rsidR="00400806" w:rsidRDefault="00400806" w:rsidP="00B86072">
      <w:pPr>
        <w:pStyle w:val="TOCHead"/>
        <w:sectPr w:rsidR="00400806" w:rsidSect="00302001">
          <w:pgSz w:w="12240" w:h="15840"/>
          <w:pgMar w:top="1440" w:right="1440" w:bottom="1440" w:left="1440" w:header="720" w:footer="720" w:gutter="0"/>
          <w:pgNumType w:start="1"/>
          <w:cols w:space="720"/>
          <w:docGrid w:linePitch="360"/>
        </w:sectPr>
      </w:pPr>
    </w:p>
    <w:p w14:paraId="6642C4A5" w14:textId="77777777" w:rsidR="00C14165" w:rsidRPr="00F923C7" w:rsidRDefault="00B0784A" w:rsidP="00EA2B1F">
      <w:pPr>
        <w:pStyle w:val="StyleTOCHeadAccent1"/>
      </w:pPr>
      <w:bookmarkStart w:id="1" w:name="_Toc85269770"/>
      <w:r w:rsidRPr="00F923C7">
        <w:t>Table of Contents</w:t>
      </w:r>
      <w:bookmarkEnd w:id="1"/>
    </w:p>
    <w:p w14:paraId="237F3103" w14:textId="77777777" w:rsidR="00E63264" w:rsidRDefault="00AC4F79">
      <w:pPr>
        <w:pStyle w:val="TOC1"/>
        <w:rPr>
          <w:rFonts w:asciiTheme="minorHAnsi" w:eastAsiaTheme="minorEastAsia" w:hAnsiTheme="minorHAnsi" w:cstheme="minorBidi"/>
          <w:noProof/>
          <w:color w:val="auto"/>
          <w:sz w:val="22"/>
          <w:szCs w:val="22"/>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448385975" w:history="1">
        <w:r w:rsidR="00E63264" w:rsidRPr="00341D50">
          <w:rPr>
            <w:rStyle w:val="Hyperlink"/>
            <w:noProof/>
          </w:rPr>
          <w:t>1.</w:t>
        </w:r>
        <w:r w:rsidR="00E63264">
          <w:rPr>
            <w:rFonts w:asciiTheme="minorHAnsi" w:eastAsiaTheme="minorEastAsia" w:hAnsiTheme="minorHAnsi" w:cstheme="minorBidi"/>
            <w:noProof/>
            <w:color w:val="auto"/>
            <w:sz w:val="22"/>
            <w:szCs w:val="22"/>
          </w:rPr>
          <w:tab/>
        </w:r>
        <w:r w:rsidR="00E63264" w:rsidRPr="00341D50">
          <w:rPr>
            <w:rStyle w:val="Hyperlink"/>
            <w:noProof/>
          </w:rPr>
          <w:t>Executive Summary</w:t>
        </w:r>
        <w:r w:rsidR="00E63264">
          <w:rPr>
            <w:noProof/>
            <w:webHidden/>
          </w:rPr>
          <w:tab/>
        </w:r>
        <w:r w:rsidR="00E63264">
          <w:rPr>
            <w:noProof/>
            <w:webHidden/>
          </w:rPr>
          <w:fldChar w:fldCharType="begin"/>
        </w:r>
        <w:r w:rsidR="00E63264">
          <w:rPr>
            <w:noProof/>
            <w:webHidden/>
          </w:rPr>
          <w:instrText xml:space="preserve"> PAGEREF _Toc448385975 \h </w:instrText>
        </w:r>
        <w:r w:rsidR="00E63264">
          <w:rPr>
            <w:noProof/>
            <w:webHidden/>
          </w:rPr>
        </w:r>
        <w:r w:rsidR="00E63264">
          <w:rPr>
            <w:noProof/>
            <w:webHidden/>
          </w:rPr>
          <w:fldChar w:fldCharType="separate"/>
        </w:r>
        <w:r w:rsidR="00E63264">
          <w:rPr>
            <w:noProof/>
            <w:webHidden/>
          </w:rPr>
          <w:t>1</w:t>
        </w:r>
        <w:r w:rsidR="00E63264">
          <w:rPr>
            <w:noProof/>
            <w:webHidden/>
          </w:rPr>
          <w:fldChar w:fldCharType="end"/>
        </w:r>
      </w:hyperlink>
    </w:p>
    <w:p w14:paraId="6187FC55" w14:textId="77777777" w:rsidR="00E63264" w:rsidRDefault="00C066B8">
      <w:pPr>
        <w:pStyle w:val="TOC1"/>
        <w:rPr>
          <w:rFonts w:asciiTheme="minorHAnsi" w:eastAsiaTheme="minorEastAsia" w:hAnsiTheme="minorHAnsi" w:cstheme="minorBidi"/>
          <w:noProof/>
          <w:color w:val="auto"/>
          <w:sz w:val="22"/>
          <w:szCs w:val="22"/>
        </w:rPr>
      </w:pPr>
      <w:hyperlink w:anchor="_Toc448385976" w:history="1">
        <w:r w:rsidR="00E63264" w:rsidRPr="00341D50">
          <w:rPr>
            <w:rStyle w:val="Hyperlink"/>
            <w:noProof/>
          </w:rPr>
          <w:t>2.</w:t>
        </w:r>
        <w:r w:rsidR="00E63264">
          <w:rPr>
            <w:rFonts w:asciiTheme="minorHAnsi" w:eastAsiaTheme="minorEastAsia" w:hAnsiTheme="minorHAnsi" w:cstheme="minorBidi"/>
            <w:noProof/>
            <w:color w:val="auto"/>
            <w:sz w:val="22"/>
            <w:szCs w:val="22"/>
          </w:rPr>
          <w:tab/>
        </w:r>
        <w:r w:rsidR="00E63264" w:rsidRPr="00341D50">
          <w:rPr>
            <w:rStyle w:val="Hyperlink"/>
            <w:noProof/>
          </w:rPr>
          <w:t>Detailed Description</w:t>
        </w:r>
        <w:r w:rsidR="00E63264">
          <w:rPr>
            <w:noProof/>
            <w:webHidden/>
          </w:rPr>
          <w:tab/>
        </w:r>
        <w:r w:rsidR="00E63264">
          <w:rPr>
            <w:noProof/>
            <w:webHidden/>
          </w:rPr>
          <w:fldChar w:fldCharType="begin"/>
        </w:r>
        <w:r w:rsidR="00E63264">
          <w:rPr>
            <w:noProof/>
            <w:webHidden/>
          </w:rPr>
          <w:instrText xml:space="preserve"> PAGEREF _Toc448385976 \h </w:instrText>
        </w:r>
        <w:r w:rsidR="00E63264">
          <w:rPr>
            <w:noProof/>
            <w:webHidden/>
          </w:rPr>
        </w:r>
        <w:r w:rsidR="00E63264">
          <w:rPr>
            <w:noProof/>
            <w:webHidden/>
          </w:rPr>
          <w:fldChar w:fldCharType="separate"/>
        </w:r>
        <w:r w:rsidR="00E63264">
          <w:rPr>
            <w:noProof/>
            <w:webHidden/>
          </w:rPr>
          <w:t>1</w:t>
        </w:r>
        <w:r w:rsidR="00E63264">
          <w:rPr>
            <w:noProof/>
            <w:webHidden/>
          </w:rPr>
          <w:fldChar w:fldCharType="end"/>
        </w:r>
      </w:hyperlink>
    </w:p>
    <w:p w14:paraId="38E82438" w14:textId="77777777" w:rsidR="00E63264" w:rsidRDefault="00C066B8">
      <w:pPr>
        <w:pStyle w:val="TOC1"/>
        <w:rPr>
          <w:rFonts w:asciiTheme="minorHAnsi" w:eastAsiaTheme="minorEastAsia" w:hAnsiTheme="minorHAnsi" w:cstheme="minorBidi"/>
          <w:noProof/>
          <w:color w:val="auto"/>
          <w:sz w:val="22"/>
          <w:szCs w:val="22"/>
        </w:rPr>
      </w:pPr>
      <w:hyperlink w:anchor="_Toc448385977" w:history="1">
        <w:r w:rsidR="00E63264" w:rsidRPr="00341D50">
          <w:rPr>
            <w:rStyle w:val="Hyperlink"/>
            <w:noProof/>
          </w:rPr>
          <w:t>3.</w:t>
        </w:r>
        <w:r w:rsidR="00E63264">
          <w:rPr>
            <w:rFonts w:asciiTheme="minorHAnsi" w:eastAsiaTheme="minorEastAsia" w:hAnsiTheme="minorHAnsi" w:cstheme="minorBidi"/>
            <w:noProof/>
            <w:color w:val="auto"/>
            <w:sz w:val="22"/>
            <w:szCs w:val="22"/>
          </w:rPr>
          <w:tab/>
        </w:r>
        <w:r w:rsidR="00E63264" w:rsidRPr="00341D50">
          <w:rPr>
            <w:rStyle w:val="Hyperlink"/>
            <w:noProof/>
          </w:rPr>
          <w:t>Blackstart Regular Training Sessions Details (Weeks 1-6)</w:t>
        </w:r>
        <w:r w:rsidR="00E63264">
          <w:rPr>
            <w:noProof/>
            <w:webHidden/>
          </w:rPr>
          <w:tab/>
        </w:r>
        <w:r w:rsidR="00E63264">
          <w:rPr>
            <w:noProof/>
            <w:webHidden/>
          </w:rPr>
          <w:fldChar w:fldCharType="begin"/>
        </w:r>
        <w:r w:rsidR="00E63264">
          <w:rPr>
            <w:noProof/>
            <w:webHidden/>
          </w:rPr>
          <w:instrText xml:space="preserve"> PAGEREF _Toc448385977 \h </w:instrText>
        </w:r>
        <w:r w:rsidR="00E63264">
          <w:rPr>
            <w:noProof/>
            <w:webHidden/>
          </w:rPr>
        </w:r>
        <w:r w:rsidR="00E63264">
          <w:rPr>
            <w:noProof/>
            <w:webHidden/>
          </w:rPr>
          <w:fldChar w:fldCharType="separate"/>
        </w:r>
        <w:r w:rsidR="00E63264">
          <w:rPr>
            <w:noProof/>
            <w:webHidden/>
          </w:rPr>
          <w:t>2</w:t>
        </w:r>
        <w:r w:rsidR="00E63264">
          <w:rPr>
            <w:noProof/>
            <w:webHidden/>
          </w:rPr>
          <w:fldChar w:fldCharType="end"/>
        </w:r>
      </w:hyperlink>
    </w:p>
    <w:p w14:paraId="3CC23BEE" w14:textId="77777777" w:rsidR="00E63264" w:rsidRDefault="00C066B8">
      <w:pPr>
        <w:pStyle w:val="TOC2"/>
        <w:rPr>
          <w:rFonts w:asciiTheme="minorHAnsi" w:eastAsiaTheme="minorEastAsia" w:hAnsiTheme="minorHAnsi" w:cstheme="minorBidi"/>
          <w:noProof/>
          <w:color w:val="auto"/>
          <w:sz w:val="22"/>
          <w:szCs w:val="22"/>
        </w:rPr>
      </w:pPr>
      <w:hyperlink w:anchor="_Toc448385978" w:history="1">
        <w:r w:rsidR="00E63264" w:rsidRPr="00341D50">
          <w:rPr>
            <w:rStyle w:val="Hyperlink"/>
            <w:noProof/>
          </w:rPr>
          <w:t>3.1</w:t>
        </w:r>
        <w:r w:rsidR="00E63264">
          <w:rPr>
            <w:rFonts w:asciiTheme="minorHAnsi" w:eastAsiaTheme="minorEastAsia" w:hAnsiTheme="minorHAnsi" w:cstheme="minorBidi"/>
            <w:noProof/>
            <w:color w:val="auto"/>
            <w:sz w:val="22"/>
            <w:szCs w:val="22"/>
          </w:rPr>
          <w:tab/>
        </w:r>
        <w:r w:rsidR="00E63264" w:rsidRPr="00341D50">
          <w:rPr>
            <w:rStyle w:val="Hyperlink"/>
            <w:noProof/>
          </w:rPr>
          <w:t>Weekly Results</w:t>
        </w:r>
        <w:r w:rsidR="00E63264">
          <w:rPr>
            <w:noProof/>
            <w:webHidden/>
          </w:rPr>
          <w:tab/>
        </w:r>
        <w:r w:rsidR="00E63264">
          <w:rPr>
            <w:noProof/>
            <w:webHidden/>
          </w:rPr>
          <w:fldChar w:fldCharType="begin"/>
        </w:r>
        <w:r w:rsidR="00E63264">
          <w:rPr>
            <w:noProof/>
            <w:webHidden/>
          </w:rPr>
          <w:instrText xml:space="preserve"> PAGEREF _Toc448385978 \h </w:instrText>
        </w:r>
        <w:r w:rsidR="00E63264">
          <w:rPr>
            <w:noProof/>
            <w:webHidden/>
          </w:rPr>
        </w:r>
        <w:r w:rsidR="00E63264">
          <w:rPr>
            <w:noProof/>
            <w:webHidden/>
          </w:rPr>
          <w:fldChar w:fldCharType="separate"/>
        </w:r>
        <w:r w:rsidR="00E63264">
          <w:rPr>
            <w:noProof/>
            <w:webHidden/>
          </w:rPr>
          <w:t>3</w:t>
        </w:r>
        <w:r w:rsidR="00E63264">
          <w:rPr>
            <w:noProof/>
            <w:webHidden/>
          </w:rPr>
          <w:fldChar w:fldCharType="end"/>
        </w:r>
      </w:hyperlink>
    </w:p>
    <w:p w14:paraId="0281ED29" w14:textId="77777777" w:rsidR="00E63264" w:rsidRDefault="00C066B8">
      <w:pPr>
        <w:pStyle w:val="TOC1"/>
        <w:rPr>
          <w:rFonts w:asciiTheme="minorHAnsi" w:eastAsiaTheme="minorEastAsia" w:hAnsiTheme="minorHAnsi" w:cstheme="minorBidi"/>
          <w:noProof/>
          <w:color w:val="auto"/>
          <w:sz w:val="22"/>
          <w:szCs w:val="22"/>
        </w:rPr>
      </w:pPr>
      <w:hyperlink w:anchor="_Toc448385979" w:history="1">
        <w:r w:rsidR="00E63264" w:rsidRPr="00341D50">
          <w:rPr>
            <w:rStyle w:val="Hyperlink"/>
            <w:noProof/>
          </w:rPr>
          <w:t>4.</w:t>
        </w:r>
        <w:r w:rsidR="00E63264">
          <w:rPr>
            <w:rFonts w:asciiTheme="minorHAnsi" w:eastAsiaTheme="minorEastAsia" w:hAnsiTheme="minorHAnsi" w:cstheme="minorBidi"/>
            <w:noProof/>
            <w:color w:val="auto"/>
            <w:sz w:val="22"/>
            <w:szCs w:val="22"/>
          </w:rPr>
          <w:tab/>
        </w:r>
        <w:r w:rsidR="00E63264" w:rsidRPr="00341D50">
          <w:rPr>
            <w:rStyle w:val="Hyperlink"/>
            <w:noProof/>
          </w:rPr>
          <w:t>Blackstart Special Training Session</w:t>
        </w:r>
        <w:r w:rsidR="00E63264">
          <w:rPr>
            <w:noProof/>
            <w:webHidden/>
          </w:rPr>
          <w:tab/>
        </w:r>
        <w:r w:rsidR="00E63264">
          <w:rPr>
            <w:noProof/>
            <w:webHidden/>
          </w:rPr>
          <w:fldChar w:fldCharType="begin"/>
        </w:r>
        <w:r w:rsidR="00E63264">
          <w:rPr>
            <w:noProof/>
            <w:webHidden/>
          </w:rPr>
          <w:instrText xml:space="preserve"> PAGEREF _Toc448385979 \h </w:instrText>
        </w:r>
        <w:r w:rsidR="00E63264">
          <w:rPr>
            <w:noProof/>
            <w:webHidden/>
          </w:rPr>
        </w:r>
        <w:r w:rsidR="00E63264">
          <w:rPr>
            <w:noProof/>
            <w:webHidden/>
          </w:rPr>
          <w:fldChar w:fldCharType="separate"/>
        </w:r>
        <w:r w:rsidR="00E63264">
          <w:rPr>
            <w:noProof/>
            <w:webHidden/>
          </w:rPr>
          <w:t>6</w:t>
        </w:r>
        <w:r w:rsidR="00E63264">
          <w:rPr>
            <w:noProof/>
            <w:webHidden/>
          </w:rPr>
          <w:fldChar w:fldCharType="end"/>
        </w:r>
      </w:hyperlink>
    </w:p>
    <w:p w14:paraId="4D73ED40" w14:textId="77777777" w:rsidR="00E63264" w:rsidRDefault="00C066B8">
      <w:pPr>
        <w:pStyle w:val="TOC2"/>
        <w:rPr>
          <w:rFonts w:asciiTheme="minorHAnsi" w:eastAsiaTheme="minorEastAsia" w:hAnsiTheme="minorHAnsi" w:cstheme="minorBidi"/>
          <w:noProof/>
          <w:color w:val="auto"/>
          <w:sz w:val="22"/>
          <w:szCs w:val="22"/>
        </w:rPr>
      </w:pPr>
      <w:hyperlink w:anchor="_Toc448385980" w:history="1">
        <w:r w:rsidR="00E63264" w:rsidRPr="00341D50">
          <w:rPr>
            <w:rStyle w:val="Hyperlink"/>
            <w:noProof/>
          </w:rPr>
          <w:t>4.1.</w:t>
        </w:r>
        <w:r w:rsidR="00E63264">
          <w:rPr>
            <w:rFonts w:asciiTheme="minorHAnsi" w:eastAsiaTheme="minorEastAsia" w:hAnsiTheme="minorHAnsi" w:cstheme="minorBidi"/>
            <w:noProof/>
            <w:color w:val="auto"/>
            <w:sz w:val="22"/>
            <w:szCs w:val="22"/>
          </w:rPr>
          <w:tab/>
        </w:r>
        <w:r w:rsidR="00E63264" w:rsidRPr="00341D50">
          <w:rPr>
            <w:rStyle w:val="Hyperlink"/>
            <w:noProof/>
          </w:rPr>
          <w:t>Special Session Results</w:t>
        </w:r>
        <w:r w:rsidR="00E63264">
          <w:rPr>
            <w:noProof/>
            <w:webHidden/>
          </w:rPr>
          <w:tab/>
        </w:r>
        <w:r w:rsidR="00E63264">
          <w:rPr>
            <w:noProof/>
            <w:webHidden/>
          </w:rPr>
          <w:fldChar w:fldCharType="begin"/>
        </w:r>
        <w:r w:rsidR="00E63264">
          <w:rPr>
            <w:noProof/>
            <w:webHidden/>
          </w:rPr>
          <w:instrText xml:space="preserve"> PAGEREF _Toc448385980 \h </w:instrText>
        </w:r>
        <w:r w:rsidR="00E63264">
          <w:rPr>
            <w:noProof/>
            <w:webHidden/>
          </w:rPr>
        </w:r>
        <w:r w:rsidR="00E63264">
          <w:rPr>
            <w:noProof/>
            <w:webHidden/>
          </w:rPr>
          <w:fldChar w:fldCharType="separate"/>
        </w:r>
        <w:r w:rsidR="00E63264">
          <w:rPr>
            <w:noProof/>
            <w:webHidden/>
          </w:rPr>
          <w:t>7</w:t>
        </w:r>
        <w:r w:rsidR="00E63264">
          <w:rPr>
            <w:noProof/>
            <w:webHidden/>
          </w:rPr>
          <w:fldChar w:fldCharType="end"/>
        </w:r>
      </w:hyperlink>
    </w:p>
    <w:p w14:paraId="7361824C" w14:textId="77777777" w:rsidR="00E63264" w:rsidRDefault="00C066B8">
      <w:pPr>
        <w:pStyle w:val="TOC1"/>
        <w:rPr>
          <w:rFonts w:asciiTheme="minorHAnsi" w:eastAsiaTheme="minorEastAsia" w:hAnsiTheme="minorHAnsi" w:cstheme="minorBidi"/>
          <w:noProof/>
          <w:color w:val="auto"/>
          <w:sz w:val="22"/>
          <w:szCs w:val="22"/>
        </w:rPr>
      </w:pPr>
      <w:hyperlink w:anchor="_Toc448385981" w:history="1">
        <w:r w:rsidR="00E63264" w:rsidRPr="00341D50">
          <w:rPr>
            <w:rStyle w:val="Hyperlink"/>
            <w:noProof/>
          </w:rPr>
          <w:t>5.</w:t>
        </w:r>
        <w:r w:rsidR="00E63264">
          <w:rPr>
            <w:rFonts w:asciiTheme="minorHAnsi" w:eastAsiaTheme="minorEastAsia" w:hAnsiTheme="minorHAnsi" w:cstheme="minorBidi"/>
            <w:noProof/>
            <w:color w:val="auto"/>
            <w:sz w:val="22"/>
            <w:szCs w:val="22"/>
          </w:rPr>
          <w:tab/>
        </w:r>
        <w:r w:rsidR="00E63264" w:rsidRPr="00341D50">
          <w:rPr>
            <w:rStyle w:val="Hyperlink"/>
            <w:noProof/>
          </w:rPr>
          <w:t>Participant Feedback</w:t>
        </w:r>
        <w:r w:rsidR="00E63264">
          <w:rPr>
            <w:noProof/>
            <w:webHidden/>
          </w:rPr>
          <w:tab/>
        </w:r>
        <w:r w:rsidR="00E63264">
          <w:rPr>
            <w:noProof/>
            <w:webHidden/>
          </w:rPr>
          <w:fldChar w:fldCharType="begin"/>
        </w:r>
        <w:r w:rsidR="00E63264">
          <w:rPr>
            <w:noProof/>
            <w:webHidden/>
          </w:rPr>
          <w:instrText xml:space="preserve"> PAGEREF _Toc448385981 \h </w:instrText>
        </w:r>
        <w:r w:rsidR="00E63264">
          <w:rPr>
            <w:noProof/>
            <w:webHidden/>
          </w:rPr>
        </w:r>
        <w:r w:rsidR="00E63264">
          <w:rPr>
            <w:noProof/>
            <w:webHidden/>
          </w:rPr>
          <w:fldChar w:fldCharType="separate"/>
        </w:r>
        <w:r w:rsidR="00E63264">
          <w:rPr>
            <w:noProof/>
            <w:webHidden/>
          </w:rPr>
          <w:t>8</w:t>
        </w:r>
        <w:r w:rsidR="00E63264">
          <w:rPr>
            <w:noProof/>
            <w:webHidden/>
          </w:rPr>
          <w:fldChar w:fldCharType="end"/>
        </w:r>
      </w:hyperlink>
    </w:p>
    <w:p w14:paraId="7ED08A7A" w14:textId="77777777" w:rsidR="00E63264" w:rsidRDefault="00C066B8">
      <w:pPr>
        <w:pStyle w:val="TOC1"/>
        <w:rPr>
          <w:rFonts w:asciiTheme="minorHAnsi" w:eastAsiaTheme="minorEastAsia" w:hAnsiTheme="minorHAnsi" w:cstheme="minorBidi"/>
          <w:noProof/>
          <w:color w:val="auto"/>
          <w:sz w:val="22"/>
          <w:szCs w:val="22"/>
        </w:rPr>
      </w:pPr>
      <w:hyperlink w:anchor="_Toc448385982" w:history="1">
        <w:r w:rsidR="00E63264" w:rsidRPr="00341D50">
          <w:rPr>
            <w:rStyle w:val="Hyperlink"/>
            <w:noProof/>
          </w:rPr>
          <w:t>6.</w:t>
        </w:r>
        <w:r w:rsidR="00E63264">
          <w:rPr>
            <w:rFonts w:asciiTheme="minorHAnsi" w:eastAsiaTheme="minorEastAsia" w:hAnsiTheme="minorHAnsi" w:cstheme="minorBidi"/>
            <w:noProof/>
            <w:color w:val="auto"/>
            <w:sz w:val="22"/>
            <w:szCs w:val="22"/>
          </w:rPr>
          <w:tab/>
        </w:r>
        <w:r w:rsidR="00E63264" w:rsidRPr="00341D50">
          <w:rPr>
            <w:rStyle w:val="Hyperlink"/>
            <w:noProof/>
          </w:rPr>
          <w:t>Lessons Learned</w:t>
        </w:r>
        <w:r w:rsidR="00E63264">
          <w:rPr>
            <w:noProof/>
            <w:webHidden/>
          </w:rPr>
          <w:tab/>
        </w:r>
        <w:r w:rsidR="00E63264">
          <w:rPr>
            <w:noProof/>
            <w:webHidden/>
          </w:rPr>
          <w:fldChar w:fldCharType="begin"/>
        </w:r>
        <w:r w:rsidR="00E63264">
          <w:rPr>
            <w:noProof/>
            <w:webHidden/>
          </w:rPr>
          <w:instrText xml:space="preserve"> PAGEREF _Toc448385982 \h </w:instrText>
        </w:r>
        <w:r w:rsidR="00E63264">
          <w:rPr>
            <w:noProof/>
            <w:webHidden/>
          </w:rPr>
        </w:r>
        <w:r w:rsidR="00E63264">
          <w:rPr>
            <w:noProof/>
            <w:webHidden/>
          </w:rPr>
          <w:fldChar w:fldCharType="separate"/>
        </w:r>
        <w:r w:rsidR="00E63264">
          <w:rPr>
            <w:noProof/>
            <w:webHidden/>
          </w:rPr>
          <w:t>9</w:t>
        </w:r>
        <w:r w:rsidR="00E63264">
          <w:rPr>
            <w:noProof/>
            <w:webHidden/>
          </w:rPr>
          <w:fldChar w:fldCharType="end"/>
        </w:r>
      </w:hyperlink>
    </w:p>
    <w:p w14:paraId="215D67AD" w14:textId="77777777" w:rsidR="00E63264" w:rsidRDefault="00C066B8">
      <w:pPr>
        <w:pStyle w:val="TOC1"/>
        <w:rPr>
          <w:rFonts w:asciiTheme="minorHAnsi" w:eastAsiaTheme="minorEastAsia" w:hAnsiTheme="minorHAnsi" w:cstheme="minorBidi"/>
          <w:noProof/>
          <w:color w:val="auto"/>
          <w:sz w:val="22"/>
          <w:szCs w:val="22"/>
        </w:rPr>
      </w:pPr>
      <w:hyperlink w:anchor="_Toc448385983" w:history="1">
        <w:r w:rsidR="00E63264" w:rsidRPr="00341D50">
          <w:rPr>
            <w:rStyle w:val="Hyperlink"/>
            <w:noProof/>
          </w:rPr>
          <w:t>7.</w:t>
        </w:r>
        <w:r w:rsidR="00E63264">
          <w:rPr>
            <w:rFonts w:asciiTheme="minorHAnsi" w:eastAsiaTheme="minorEastAsia" w:hAnsiTheme="minorHAnsi" w:cstheme="minorBidi"/>
            <w:noProof/>
            <w:color w:val="auto"/>
            <w:sz w:val="22"/>
            <w:szCs w:val="22"/>
          </w:rPr>
          <w:tab/>
        </w:r>
        <w:r w:rsidR="00E63264" w:rsidRPr="00341D50">
          <w:rPr>
            <w:rStyle w:val="Hyperlink"/>
            <w:noProof/>
          </w:rPr>
          <w:t>Recomendation</w:t>
        </w:r>
        <w:r w:rsidR="00E63264">
          <w:rPr>
            <w:noProof/>
            <w:webHidden/>
          </w:rPr>
          <w:tab/>
        </w:r>
        <w:r w:rsidR="00E63264">
          <w:rPr>
            <w:noProof/>
            <w:webHidden/>
          </w:rPr>
          <w:fldChar w:fldCharType="begin"/>
        </w:r>
        <w:r w:rsidR="00E63264">
          <w:rPr>
            <w:noProof/>
            <w:webHidden/>
          </w:rPr>
          <w:instrText xml:space="preserve"> PAGEREF _Toc448385983 \h </w:instrText>
        </w:r>
        <w:r w:rsidR="00E63264">
          <w:rPr>
            <w:noProof/>
            <w:webHidden/>
          </w:rPr>
        </w:r>
        <w:r w:rsidR="00E63264">
          <w:rPr>
            <w:noProof/>
            <w:webHidden/>
          </w:rPr>
          <w:fldChar w:fldCharType="separate"/>
        </w:r>
        <w:r w:rsidR="00E63264">
          <w:rPr>
            <w:noProof/>
            <w:webHidden/>
          </w:rPr>
          <w:t>10</w:t>
        </w:r>
        <w:r w:rsidR="00E63264">
          <w:rPr>
            <w:noProof/>
            <w:webHidden/>
          </w:rPr>
          <w:fldChar w:fldCharType="end"/>
        </w:r>
      </w:hyperlink>
    </w:p>
    <w:p w14:paraId="175F2D58" w14:textId="77777777" w:rsidR="00E63264" w:rsidRDefault="00C066B8">
      <w:pPr>
        <w:pStyle w:val="TOC1"/>
        <w:rPr>
          <w:rFonts w:asciiTheme="minorHAnsi" w:eastAsiaTheme="minorEastAsia" w:hAnsiTheme="minorHAnsi" w:cstheme="minorBidi"/>
          <w:noProof/>
          <w:color w:val="auto"/>
          <w:sz w:val="22"/>
          <w:szCs w:val="22"/>
        </w:rPr>
      </w:pPr>
      <w:hyperlink w:anchor="_Toc448385984" w:history="1">
        <w:r w:rsidR="00E63264" w:rsidRPr="00341D50">
          <w:rPr>
            <w:rStyle w:val="Hyperlink"/>
            <w:noProof/>
          </w:rPr>
          <w:t>8.</w:t>
        </w:r>
        <w:r w:rsidR="00E63264">
          <w:rPr>
            <w:rFonts w:asciiTheme="minorHAnsi" w:eastAsiaTheme="minorEastAsia" w:hAnsiTheme="minorHAnsi" w:cstheme="minorBidi"/>
            <w:noProof/>
            <w:color w:val="auto"/>
            <w:sz w:val="22"/>
            <w:szCs w:val="22"/>
          </w:rPr>
          <w:tab/>
        </w:r>
        <w:r w:rsidR="00E63264" w:rsidRPr="00341D50">
          <w:rPr>
            <w:rStyle w:val="Hyperlink"/>
            <w:noProof/>
          </w:rPr>
          <w:t>2017 Black Start Training</w:t>
        </w:r>
        <w:r w:rsidR="00E63264">
          <w:rPr>
            <w:noProof/>
            <w:webHidden/>
          </w:rPr>
          <w:tab/>
        </w:r>
        <w:r w:rsidR="00E63264">
          <w:rPr>
            <w:noProof/>
            <w:webHidden/>
          </w:rPr>
          <w:fldChar w:fldCharType="begin"/>
        </w:r>
        <w:r w:rsidR="00E63264">
          <w:rPr>
            <w:noProof/>
            <w:webHidden/>
          </w:rPr>
          <w:instrText xml:space="preserve"> PAGEREF _Toc448385984 \h </w:instrText>
        </w:r>
        <w:r w:rsidR="00E63264">
          <w:rPr>
            <w:noProof/>
            <w:webHidden/>
          </w:rPr>
        </w:r>
        <w:r w:rsidR="00E63264">
          <w:rPr>
            <w:noProof/>
            <w:webHidden/>
          </w:rPr>
          <w:fldChar w:fldCharType="separate"/>
        </w:r>
        <w:r w:rsidR="00E63264">
          <w:rPr>
            <w:noProof/>
            <w:webHidden/>
          </w:rPr>
          <w:t>11</w:t>
        </w:r>
        <w:r w:rsidR="00E63264">
          <w:rPr>
            <w:noProof/>
            <w:webHidden/>
          </w:rPr>
          <w:fldChar w:fldCharType="end"/>
        </w:r>
      </w:hyperlink>
    </w:p>
    <w:p w14:paraId="395B461C" w14:textId="77777777" w:rsidR="00E63264" w:rsidRDefault="00C066B8">
      <w:pPr>
        <w:pStyle w:val="TOC2"/>
        <w:rPr>
          <w:rFonts w:asciiTheme="minorHAnsi" w:eastAsiaTheme="minorEastAsia" w:hAnsiTheme="minorHAnsi" w:cstheme="minorBidi"/>
          <w:noProof/>
          <w:color w:val="auto"/>
          <w:sz w:val="22"/>
          <w:szCs w:val="22"/>
        </w:rPr>
      </w:pPr>
      <w:hyperlink w:anchor="_Toc448385985" w:history="1">
        <w:r w:rsidR="00E63264" w:rsidRPr="00341D50">
          <w:rPr>
            <w:rStyle w:val="Hyperlink"/>
            <w:noProof/>
          </w:rPr>
          <w:t>8.1</w:t>
        </w:r>
        <w:r w:rsidR="00E63264">
          <w:rPr>
            <w:rFonts w:asciiTheme="minorHAnsi" w:eastAsiaTheme="minorEastAsia" w:hAnsiTheme="minorHAnsi" w:cstheme="minorBidi"/>
            <w:noProof/>
            <w:color w:val="auto"/>
            <w:sz w:val="22"/>
            <w:szCs w:val="22"/>
          </w:rPr>
          <w:tab/>
        </w:r>
        <w:r w:rsidR="00E63264" w:rsidRPr="00341D50">
          <w:rPr>
            <w:rStyle w:val="Hyperlink"/>
            <w:noProof/>
          </w:rPr>
          <w:t>Future Training for ERCOT Operators</w:t>
        </w:r>
        <w:r w:rsidR="00E63264">
          <w:rPr>
            <w:noProof/>
            <w:webHidden/>
          </w:rPr>
          <w:tab/>
        </w:r>
        <w:r w:rsidR="00E63264">
          <w:rPr>
            <w:noProof/>
            <w:webHidden/>
          </w:rPr>
          <w:fldChar w:fldCharType="begin"/>
        </w:r>
        <w:r w:rsidR="00E63264">
          <w:rPr>
            <w:noProof/>
            <w:webHidden/>
          </w:rPr>
          <w:instrText xml:space="preserve"> PAGEREF _Toc448385985 \h </w:instrText>
        </w:r>
        <w:r w:rsidR="00E63264">
          <w:rPr>
            <w:noProof/>
            <w:webHidden/>
          </w:rPr>
        </w:r>
        <w:r w:rsidR="00E63264">
          <w:rPr>
            <w:noProof/>
            <w:webHidden/>
          </w:rPr>
          <w:fldChar w:fldCharType="separate"/>
        </w:r>
        <w:r w:rsidR="00E63264">
          <w:rPr>
            <w:noProof/>
            <w:webHidden/>
          </w:rPr>
          <w:t>11</w:t>
        </w:r>
        <w:r w:rsidR="00E63264">
          <w:rPr>
            <w:noProof/>
            <w:webHidden/>
          </w:rPr>
          <w:fldChar w:fldCharType="end"/>
        </w:r>
      </w:hyperlink>
    </w:p>
    <w:p w14:paraId="7D9D8266" w14:textId="12F0B3BF" w:rsidR="00E63264" w:rsidRDefault="00C066B8">
      <w:pPr>
        <w:pStyle w:val="TOC2"/>
        <w:rPr>
          <w:rFonts w:asciiTheme="minorHAnsi" w:eastAsiaTheme="minorEastAsia" w:hAnsiTheme="minorHAnsi" w:cstheme="minorBidi"/>
          <w:noProof/>
          <w:color w:val="auto"/>
          <w:sz w:val="22"/>
          <w:szCs w:val="22"/>
        </w:rPr>
      </w:pPr>
      <w:hyperlink w:anchor="_Toc448385986" w:history="1">
        <w:r w:rsidR="00E63264" w:rsidRPr="00341D50">
          <w:rPr>
            <w:rStyle w:val="Hyperlink"/>
            <w:noProof/>
          </w:rPr>
          <w:t>8.2</w:t>
        </w:r>
        <w:r w:rsidR="00E63264">
          <w:rPr>
            <w:rFonts w:asciiTheme="minorHAnsi" w:eastAsiaTheme="minorEastAsia" w:hAnsiTheme="minorHAnsi" w:cstheme="minorBidi"/>
            <w:noProof/>
            <w:color w:val="auto"/>
            <w:sz w:val="22"/>
            <w:szCs w:val="22"/>
          </w:rPr>
          <w:tab/>
        </w:r>
        <w:r w:rsidR="00E63264">
          <w:rPr>
            <w:rStyle w:val="Hyperlink"/>
            <w:noProof/>
          </w:rPr>
          <w:t>Black Start Working Group</w:t>
        </w:r>
        <w:r w:rsidR="00E63264" w:rsidRPr="00341D50">
          <w:rPr>
            <w:rStyle w:val="Hyperlink"/>
            <w:noProof/>
          </w:rPr>
          <w:t xml:space="preserve"> and Operatio</w:t>
        </w:r>
        <w:r w:rsidR="00E63264">
          <w:rPr>
            <w:rStyle w:val="Hyperlink"/>
            <w:noProof/>
          </w:rPr>
          <w:t>ns Training Working Group</w:t>
        </w:r>
        <w:r w:rsidR="00E63264">
          <w:rPr>
            <w:noProof/>
            <w:webHidden/>
          </w:rPr>
          <w:tab/>
        </w:r>
        <w:r w:rsidR="00E63264">
          <w:rPr>
            <w:noProof/>
            <w:webHidden/>
          </w:rPr>
          <w:fldChar w:fldCharType="begin"/>
        </w:r>
        <w:r w:rsidR="00E63264">
          <w:rPr>
            <w:noProof/>
            <w:webHidden/>
          </w:rPr>
          <w:instrText xml:space="preserve"> PAGEREF _Toc448385986 \h </w:instrText>
        </w:r>
        <w:r w:rsidR="00E63264">
          <w:rPr>
            <w:noProof/>
            <w:webHidden/>
          </w:rPr>
        </w:r>
        <w:r w:rsidR="00E63264">
          <w:rPr>
            <w:noProof/>
            <w:webHidden/>
          </w:rPr>
          <w:fldChar w:fldCharType="separate"/>
        </w:r>
        <w:r w:rsidR="00E63264">
          <w:rPr>
            <w:noProof/>
            <w:webHidden/>
          </w:rPr>
          <w:t>11</w:t>
        </w:r>
        <w:r w:rsidR="00E63264">
          <w:rPr>
            <w:noProof/>
            <w:webHidden/>
          </w:rPr>
          <w:fldChar w:fldCharType="end"/>
        </w:r>
      </w:hyperlink>
    </w:p>
    <w:p w14:paraId="1EA08848" w14:textId="77777777" w:rsidR="00E63264" w:rsidRDefault="00C066B8">
      <w:pPr>
        <w:pStyle w:val="TOC2"/>
        <w:rPr>
          <w:rFonts w:asciiTheme="minorHAnsi" w:eastAsiaTheme="minorEastAsia" w:hAnsiTheme="minorHAnsi" w:cstheme="minorBidi"/>
          <w:noProof/>
          <w:color w:val="auto"/>
          <w:sz w:val="22"/>
          <w:szCs w:val="22"/>
        </w:rPr>
      </w:pPr>
      <w:hyperlink w:anchor="_Toc448385987" w:history="1">
        <w:r w:rsidR="00E63264" w:rsidRPr="00341D50">
          <w:rPr>
            <w:rStyle w:val="Hyperlink"/>
            <w:noProof/>
          </w:rPr>
          <w:t>8.3</w:t>
        </w:r>
        <w:r w:rsidR="00E63264">
          <w:rPr>
            <w:rFonts w:asciiTheme="minorHAnsi" w:eastAsiaTheme="minorEastAsia" w:hAnsiTheme="minorHAnsi" w:cstheme="minorBidi"/>
            <w:noProof/>
            <w:color w:val="auto"/>
            <w:sz w:val="22"/>
            <w:szCs w:val="22"/>
          </w:rPr>
          <w:tab/>
        </w:r>
        <w:r w:rsidR="00E63264" w:rsidRPr="00341D50">
          <w:rPr>
            <w:rStyle w:val="Hyperlink"/>
            <w:noProof/>
          </w:rPr>
          <w:t>Training Module Description</w:t>
        </w:r>
        <w:r w:rsidR="00E63264">
          <w:rPr>
            <w:noProof/>
            <w:webHidden/>
          </w:rPr>
          <w:tab/>
        </w:r>
        <w:r w:rsidR="00E63264">
          <w:rPr>
            <w:noProof/>
            <w:webHidden/>
          </w:rPr>
          <w:fldChar w:fldCharType="begin"/>
        </w:r>
        <w:r w:rsidR="00E63264">
          <w:rPr>
            <w:noProof/>
            <w:webHidden/>
          </w:rPr>
          <w:instrText xml:space="preserve"> PAGEREF _Toc448385987 \h </w:instrText>
        </w:r>
        <w:r w:rsidR="00E63264">
          <w:rPr>
            <w:noProof/>
            <w:webHidden/>
          </w:rPr>
        </w:r>
        <w:r w:rsidR="00E63264">
          <w:rPr>
            <w:noProof/>
            <w:webHidden/>
          </w:rPr>
          <w:fldChar w:fldCharType="separate"/>
        </w:r>
        <w:r w:rsidR="00E63264">
          <w:rPr>
            <w:noProof/>
            <w:webHidden/>
          </w:rPr>
          <w:t>11</w:t>
        </w:r>
        <w:r w:rsidR="00E63264">
          <w:rPr>
            <w:noProof/>
            <w:webHidden/>
          </w:rPr>
          <w:fldChar w:fldCharType="end"/>
        </w:r>
      </w:hyperlink>
    </w:p>
    <w:p w14:paraId="0F98E423" w14:textId="77777777" w:rsidR="00E63264" w:rsidRDefault="00C066B8">
      <w:pPr>
        <w:pStyle w:val="TOC2"/>
        <w:rPr>
          <w:rFonts w:asciiTheme="minorHAnsi" w:eastAsiaTheme="minorEastAsia" w:hAnsiTheme="minorHAnsi" w:cstheme="minorBidi"/>
          <w:noProof/>
          <w:color w:val="auto"/>
          <w:sz w:val="22"/>
          <w:szCs w:val="22"/>
        </w:rPr>
      </w:pPr>
      <w:hyperlink w:anchor="_Toc448385988" w:history="1">
        <w:r w:rsidR="00E63264" w:rsidRPr="00341D50">
          <w:rPr>
            <w:rStyle w:val="Hyperlink"/>
            <w:noProof/>
          </w:rPr>
          <w:t>8.4</w:t>
        </w:r>
        <w:r w:rsidR="00E63264">
          <w:rPr>
            <w:rFonts w:asciiTheme="minorHAnsi" w:eastAsiaTheme="minorEastAsia" w:hAnsiTheme="minorHAnsi" w:cstheme="minorBidi"/>
            <w:noProof/>
            <w:color w:val="auto"/>
            <w:sz w:val="22"/>
            <w:szCs w:val="22"/>
          </w:rPr>
          <w:tab/>
        </w:r>
        <w:r w:rsidR="00E63264" w:rsidRPr="00341D50">
          <w:rPr>
            <w:rStyle w:val="Hyperlink"/>
            <w:noProof/>
          </w:rPr>
          <w:t>Generator/Load Modeling Data</w:t>
        </w:r>
        <w:r w:rsidR="00E63264">
          <w:rPr>
            <w:noProof/>
            <w:webHidden/>
          </w:rPr>
          <w:tab/>
        </w:r>
        <w:r w:rsidR="00E63264">
          <w:rPr>
            <w:noProof/>
            <w:webHidden/>
          </w:rPr>
          <w:fldChar w:fldCharType="begin"/>
        </w:r>
        <w:r w:rsidR="00E63264">
          <w:rPr>
            <w:noProof/>
            <w:webHidden/>
          </w:rPr>
          <w:instrText xml:space="preserve"> PAGEREF _Toc448385988 \h </w:instrText>
        </w:r>
        <w:r w:rsidR="00E63264">
          <w:rPr>
            <w:noProof/>
            <w:webHidden/>
          </w:rPr>
        </w:r>
        <w:r w:rsidR="00E63264">
          <w:rPr>
            <w:noProof/>
            <w:webHidden/>
          </w:rPr>
          <w:fldChar w:fldCharType="separate"/>
        </w:r>
        <w:r w:rsidR="00E63264">
          <w:rPr>
            <w:noProof/>
            <w:webHidden/>
          </w:rPr>
          <w:t>12</w:t>
        </w:r>
        <w:r w:rsidR="00E63264">
          <w:rPr>
            <w:noProof/>
            <w:webHidden/>
          </w:rPr>
          <w:fldChar w:fldCharType="end"/>
        </w:r>
      </w:hyperlink>
    </w:p>
    <w:p w14:paraId="7774CC1B" w14:textId="77777777" w:rsidR="00E63264" w:rsidRDefault="00C066B8">
      <w:pPr>
        <w:pStyle w:val="TOC1"/>
        <w:rPr>
          <w:rFonts w:asciiTheme="minorHAnsi" w:eastAsiaTheme="minorEastAsia" w:hAnsiTheme="minorHAnsi" w:cstheme="minorBidi"/>
          <w:noProof/>
          <w:color w:val="auto"/>
          <w:sz w:val="22"/>
          <w:szCs w:val="22"/>
        </w:rPr>
      </w:pPr>
      <w:hyperlink w:anchor="_Toc448385989" w:history="1">
        <w:r w:rsidR="00E63264" w:rsidRPr="00341D50">
          <w:rPr>
            <w:rStyle w:val="Hyperlink"/>
            <w:noProof/>
          </w:rPr>
          <w:t>9.</w:t>
        </w:r>
        <w:r w:rsidR="00E63264">
          <w:rPr>
            <w:rFonts w:asciiTheme="minorHAnsi" w:eastAsiaTheme="minorEastAsia" w:hAnsiTheme="minorHAnsi" w:cstheme="minorBidi"/>
            <w:noProof/>
            <w:color w:val="auto"/>
            <w:sz w:val="22"/>
            <w:szCs w:val="22"/>
          </w:rPr>
          <w:tab/>
        </w:r>
        <w:r w:rsidR="00E63264" w:rsidRPr="00341D50">
          <w:rPr>
            <w:rStyle w:val="Hyperlink"/>
            <w:noProof/>
          </w:rPr>
          <w:t>Recognition</w:t>
        </w:r>
        <w:r w:rsidR="00E63264">
          <w:rPr>
            <w:noProof/>
            <w:webHidden/>
          </w:rPr>
          <w:tab/>
        </w:r>
        <w:r w:rsidR="00E63264">
          <w:rPr>
            <w:noProof/>
            <w:webHidden/>
          </w:rPr>
          <w:fldChar w:fldCharType="begin"/>
        </w:r>
        <w:r w:rsidR="00E63264">
          <w:rPr>
            <w:noProof/>
            <w:webHidden/>
          </w:rPr>
          <w:instrText xml:space="preserve"> PAGEREF _Toc448385989 \h </w:instrText>
        </w:r>
        <w:r w:rsidR="00E63264">
          <w:rPr>
            <w:noProof/>
            <w:webHidden/>
          </w:rPr>
        </w:r>
        <w:r w:rsidR="00E63264">
          <w:rPr>
            <w:noProof/>
            <w:webHidden/>
          </w:rPr>
          <w:fldChar w:fldCharType="separate"/>
        </w:r>
        <w:r w:rsidR="00E63264">
          <w:rPr>
            <w:noProof/>
            <w:webHidden/>
          </w:rPr>
          <w:t>12</w:t>
        </w:r>
        <w:r w:rsidR="00E63264">
          <w:rPr>
            <w:noProof/>
            <w:webHidden/>
          </w:rPr>
          <w:fldChar w:fldCharType="end"/>
        </w:r>
      </w:hyperlink>
    </w:p>
    <w:p w14:paraId="6642C4A9" w14:textId="77777777" w:rsidR="001F7C8D" w:rsidRPr="00EA2B1F" w:rsidRDefault="00AC4F79" w:rsidP="00612D8C">
      <w:pPr>
        <w:tabs>
          <w:tab w:val="right" w:leader="dot" w:pos="9360"/>
        </w:tabs>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642F07">
        <w:rPr>
          <w:rFonts w:cs="Arial"/>
          <w:sz w:val="21"/>
        </w:rPr>
        <w:fldChar w:fldCharType="end"/>
      </w:r>
    </w:p>
    <w:p w14:paraId="163A882B" w14:textId="77777777" w:rsidR="00DA3E5F" w:rsidRPr="00C10F6A" w:rsidRDefault="00DA3E5F" w:rsidP="00442A90">
      <w:pPr>
        <w:pStyle w:val="Heading1"/>
        <w:numPr>
          <w:ilvl w:val="0"/>
          <w:numId w:val="19"/>
        </w:numPr>
      </w:pP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448137925"/>
      <w:bookmarkStart w:id="250" w:name="_Toc44838597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t xml:space="preserve">Executive </w:t>
      </w:r>
      <w:r w:rsidRPr="00C10F6A">
        <w:t>Summary</w:t>
      </w:r>
      <w:bookmarkEnd w:id="249"/>
      <w:bookmarkEnd w:id="250"/>
    </w:p>
    <w:p w14:paraId="5E8692B7" w14:textId="6D45FEC8" w:rsidR="00DA3E5F" w:rsidRDefault="00637E59" w:rsidP="00DA3E5F">
      <w:pPr>
        <w:pStyle w:val="BodyText"/>
        <w:jc w:val="both"/>
      </w:pPr>
      <w:r>
        <w:t>2016 Black Start training comprised of eight</w:t>
      </w:r>
      <w:r w:rsidR="00DA3E5F">
        <w:t xml:space="preserve"> sessions </w:t>
      </w:r>
      <w:r>
        <w:t xml:space="preserve">and engaged </w:t>
      </w:r>
      <w:r w:rsidR="00DA3E5F">
        <w:t xml:space="preserve">764 </w:t>
      </w:r>
      <w:r>
        <w:t xml:space="preserve">participants including </w:t>
      </w:r>
      <w:r w:rsidR="00DA3E5F">
        <w:t>Transmission Operators</w:t>
      </w:r>
      <w:r w:rsidR="00625AE8">
        <w:t xml:space="preserve"> (TOs)</w:t>
      </w:r>
      <w:r w:rsidR="00DA3E5F">
        <w:t>, Generator Operators</w:t>
      </w:r>
      <w:r w:rsidR="00625AE8">
        <w:t xml:space="preserve"> (GOPs)</w:t>
      </w:r>
      <w:r w:rsidR="00DA3E5F">
        <w:t>, Q</w:t>
      </w:r>
      <w:r w:rsidR="00625AE8">
        <w:t xml:space="preserve">ualified </w:t>
      </w:r>
      <w:r w:rsidR="00DA3E5F">
        <w:t>S</w:t>
      </w:r>
      <w:r w:rsidR="00625AE8">
        <w:t xml:space="preserve">cheduling </w:t>
      </w:r>
      <w:r w:rsidR="00DA3E5F">
        <w:t>E</w:t>
      </w:r>
      <w:r w:rsidR="00625AE8">
        <w:t>ntitie</w:t>
      </w:r>
      <w:r w:rsidR="00DA3E5F">
        <w:t>s</w:t>
      </w:r>
      <w:r w:rsidR="00625AE8">
        <w:t xml:space="preserve"> (QSEs)</w:t>
      </w:r>
      <w:r w:rsidR="00DA3E5F" w:rsidRPr="00C4641C">
        <w:t xml:space="preserve"> and ERCOT </w:t>
      </w:r>
      <w:r w:rsidR="00DA3E5F">
        <w:t>Personnel</w:t>
      </w:r>
      <w:r w:rsidR="00FA5547">
        <w:t xml:space="preserve">. </w:t>
      </w:r>
      <w:r w:rsidR="00DA3E5F">
        <w:t>In addition, NERC (including members from the Electricity Information Sharing and Analysis Center</w:t>
      </w:r>
      <w:r>
        <w:t xml:space="preserve"> (</w:t>
      </w:r>
      <w:r w:rsidR="00DA3E5F">
        <w:t>E-ISAC</w:t>
      </w:r>
      <w:r>
        <w:t>)</w:t>
      </w:r>
      <w:r w:rsidR="00DA3E5F">
        <w:t>) and TRE representatives observed</w:t>
      </w:r>
      <w:r>
        <w:t xml:space="preserve"> multiple session</w:t>
      </w:r>
      <w:r w:rsidR="00EC0978">
        <w:t>s</w:t>
      </w:r>
      <w:r>
        <w:t xml:space="preserve"> of</w:t>
      </w:r>
      <w:r w:rsidR="00DA3E5F">
        <w:t xml:space="preserve"> the training. A pilot </w:t>
      </w:r>
      <w:r>
        <w:t xml:space="preserve">course </w:t>
      </w:r>
      <w:r w:rsidR="00DA3E5F">
        <w:t>to solicit feedback from members was conducted on January 12 through 14. Then, between February 2 and March 10, six regular system restoration training sessions</w:t>
      </w:r>
      <w:r>
        <w:t xml:space="preserve"> were conducted</w:t>
      </w:r>
      <w:r w:rsidR="00DA3E5F">
        <w:t>, each spanning three days. Finally, a special session was held March 15 through March 17, where select participants continued the restoration from the best regular session case.</w:t>
      </w:r>
    </w:p>
    <w:p w14:paraId="70F2D529" w14:textId="77777777" w:rsidR="00DA3E5F" w:rsidRPr="00874A74" w:rsidRDefault="00DA3E5F" w:rsidP="00DA3E5F">
      <w:pPr>
        <w:pStyle w:val="Heading1"/>
      </w:pPr>
      <w:bookmarkStart w:id="251" w:name="_Toc448137926"/>
      <w:bookmarkStart w:id="252" w:name="_Toc448385976"/>
      <w:r>
        <w:t xml:space="preserve">Detailed </w:t>
      </w:r>
      <w:r w:rsidRPr="00874A74">
        <w:t>Description</w:t>
      </w:r>
      <w:bookmarkEnd w:id="251"/>
      <w:bookmarkEnd w:id="252"/>
    </w:p>
    <w:p w14:paraId="2EE870E5" w14:textId="7C61F0BD" w:rsidR="00DA3E5F" w:rsidRDefault="00DA3E5F" w:rsidP="00DA3E5F">
      <w:pPr>
        <w:pStyle w:val="BodyText"/>
        <w:jc w:val="both"/>
      </w:pPr>
      <w:r>
        <w:t>Each of the six training sessions began with an instructor-led presentation and focused on the ERCOT Black Start Plan, related NERC Reliability Standard Requirements</w:t>
      </w:r>
      <w:r w:rsidR="0068746C">
        <w:t>,</w:t>
      </w:r>
      <w:r>
        <w:t xml:space="preserve"> and operational theory regarding system restoration</w:t>
      </w:r>
      <w:r w:rsidR="00FA5547">
        <w:t xml:space="preserve">. </w:t>
      </w:r>
      <w:r>
        <w:t>A one-hour simulator instruction tutorial followed</w:t>
      </w:r>
      <w:r w:rsidR="00FA5547">
        <w:t xml:space="preserve">. </w:t>
      </w:r>
      <w:r>
        <w:t xml:space="preserve"> </w:t>
      </w:r>
      <w:r w:rsidR="00FA5547">
        <w:t>Day 2 consisted of</w:t>
      </w:r>
      <w:r>
        <w:t xml:space="preserve"> a ten-hour simulation</w:t>
      </w:r>
      <w:r w:rsidR="00FA5547">
        <w:t>, which</w:t>
      </w:r>
      <w:r w:rsidR="00B236F7">
        <w:t xml:space="preserve"> </w:t>
      </w:r>
      <w:r>
        <w:t xml:space="preserve">began with the system blacked out. </w:t>
      </w:r>
      <w:r w:rsidR="00FA5547">
        <w:t>Day 3</w:t>
      </w:r>
      <w:r>
        <w:t xml:space="preserve"> was a </w:t>
      </w:r>
      <w:r w:rsidR="00FA5547">
        <w:t xml:space="preserve">continuation of the previous day’s </w:t>
      </w:r>
      <w:r>
        <w:t>simulation until noon</w:t>
      </w:r>
      <w:r w:rsidR="00FA5547">
        <w:t>.</w:t>
      </w:r>
      <w:r>
        <w:t xml:space="preserve">. During the entire training session the </w:t>
      </w:r>
      <w:r w:rsidR="00625AE8">
        <w:t xml:space="preserve">generator </w:t>
      </w:r>
      <w:r>
        <w:t xml:space="preserve">operators and QSEs operated their own generation using the Macomber Map. The transmission operators </w:t>
      </w:r>
      <w:r w:rsidR="00FA5547">
        <w:t xml:space="preserve">controlled </w:t>
      </w:r>
      <w:r>
        <w:t xml:space="preserve">the transmission system equipment </w:t>
      </w:r>
      <w:r w:rsidR="00FA5547">
        <w:t xml:space="preserve">also </w:t>
      </w:r>
      <w:r>
        <w:t xml:space="preserve">using the Macomber Map. </w:t>
      </w:r>
      <w:r w:rsidR="00B236F7">
        <w:t>T</w:t>
      </w:r>
      <w:r w:rsidR="00856D80">
        <w:t>he</w:t>
      </w:r>
      <w:r>
        <w:t xml:space="preserve"> opportunity to see an overview of the entire ERCOT system allowed </w:t>
      </w:r>
      <w:r w:rsidR="00AE2240">
        <w:t xml:space="preserve">participants </w:t>
      </w:r>
      <w:r>
        <w:t>to more effectively rebuild their systems and synchronize with neighborin</w:t>
      </w:r>
      <w:r w:rsidR="00856D80">
        <w:t>g</w:t>
      </w:r>
      <w:r>
        <w:t xml:space="preserve"> TOs</w:t>
      </w:r>
      <w:r w:rsidR="00FA5547">
        <w:t xml:space="preserve">. </w:t>
      </w:r>
    </w:p>
    <w:p w14:paraId="263FC35B" w14:textId="7935F5DA" w:rsidR="00DA3E5F" w:rsidRDefault="00DA3E5F" w:rsidP="00DA3E5F">
      <w:pPr>
        <w:pStyle w:val="BodyText"/>
        <w:jc w:val="both"/>
      </w:pPr>
      <w:r>
        <w:t>ERCOT System Operators were able to monitor the member’s progress in restoring their “islands” of responsibility within the ERCOT system starting from a completely “blacked out” condition. The Macomber Map</w:t>
      </w:r>
      <w:r w:rsidR="00856D80">
        <w:t>, which showed each transmission line as it was energized during the restoration process,</w:t>
      </w:r>
      <w:r>
        <w:t xml:space="preserve"> provided an excellent overview of the </w:t>
      </w:r>
      <w:r w:rsidR="00252F7C">
        <w:t xml:space="preserve">network </w:t>
      </w:r>
      <w:r>
        <w:t>for the ERCOT System Operators</w:t>
      </w:r>
      <w:r w:rsidR="00856D80">
        <w:t>.</w:t>
      </w:r>
    </w:p>
    <w:p w14:paraId="77363C71" w14:textId="0F5C0AE8" w:rsidR="00DA3E5F" w:rsidRDefault="00DA3E5F" w:rsidP="00DA3E5F">
      <w:pPr>
        <w:pStyle w:val="BodyText"/>
        <w:jc w:val="both"/>
      </w:pPr>
      <w:r>
        <w:t>The simulator performed well through</w:t>
      </w:r>
      <w:r w:rsidR="00287FB4">
        <w:t>out</w:t>
      </w:r>
      <w:r>
        <w:t xml:space="preserve"> the entire 8</w:t>
      </w:r>
      <w:r w:rsidR="00287FB4">
        <w:t>-</w:t>
      </w:r>
      <w:r>
        <w:t xml:space="preserve">week period. Feedback from participants and instructors will be used to make improvements in response and fidelity. Improvements are planned for the Macomber Map and training format for 2017 Black Start training. </w:t>
      </w:r>
    </w:p>
    <w:p w14:paraId="76B9B8B4" w14:textId="224CCE20" w:rsidR="00DA3E5F" w:rsidRDefault="00DA3E5F" w:rsidP="00DA3E5F">
      <w:pPr>
        <w:pStyle w:val="BodyText"/>
        <w:jc w:val="both"/>
      </w:pPr>
      <w:r>
        <w:t>All NERC-certified participants (and some Professional Engineers) were awarded 19 Continuing Education Hours after completing the instructor</w:t>
      </w:r>
      <w:r w:rsidR="00B32B71">
        <w:t>-</w:t>
      </w:r>
      <w:r>
        <w:t>led course and passing the online exam.</w:t>
      </w:r>
    </w:p>
    <w:p w14:paraId="5EF19A26" w14:textId="77777777" w:rsidR="00C67CB6" w:rsidRDefault="00C67CB6" w:rsidP="00C67CB6">
      <w:pPr>
        <w:pStyle w:val="BodyText"/>
        <w:jc w:val="both"/>
      </w:pPr>
      <w:r>
        <w:t>Feedback from participants regarding the new, interactive lecture approach was extremely positive. Feedback also indicated that opportunities remain to engage participants with renewable resources during the simulation portion.</w:t>
      </w:r>
    </w:p>
    <w:p w14:paraId="75B387C2" w14:textId="77777777" w:rsidR="00C67CB6" w:rsidRDefault="00C67CB6" w:rsidP="00C67CB6">
      <w:pPr>
        <w:pStyle w:val="BodyText"/>
        <w:jc w:val="both"/>
      </w:pPr>
      <w:r>
        <w:t>Overall, the simulator (EMS portion) performed very well. Two major improvements for the GOP/QSE participants identified from the 2015 Black Start training were addressed and implemented in 2016 —a newly developed Generator Control Panel and a Generator Summary Display. The operators were pleased with the ease of use and realism of these new tools. The trainers identified the need for further enhancements to the generator capabilities in the Macomber Map tool.</w:t>
      </w:r>
    </w:p>
    <w:p w14:paraId="036C0329" w14:textId="77777777" w:rsidR="00C67CB6" w:rsidRDefault="00C67CB6" w:rsidP="00C67CB6">
      <w:pPr>
        <w:pStyle w:val="BodyText"/>
        <w:jc w:val="both"/>
      </w:pPr>
      <w:r>
        <w:t xml:space="preserve">In the past, Black Start training has been conducted as a ‘performance-based’ exercise rather than as a ‘training’ exercise. The inconsistencies noted in operator performance could not be addressed in a ‘performance-based’ exercise. In response, future Black Start training will be conducted in a modular format, allowing </w:t>
      </w:r>
      <w:r w:rsidRPr="00986B19">
        <w:rPr>
          <w:i/>
          <w:u w:val="single"/>
        </w:rPr>
        <w:t>all</w:t>
      </w:r>
      <w:r>
        <w:t xml:space="preserve"> operators to practice on </w:t>
      </w:r>
      <w:r w:rsidRPr="00986B19">
        <w:rPr>
          <w:i/>
          <w:u w:val="single"/>
        </w:rPr>
        <w:t>each</w:t>
      </w:r>
      <w:r>
        <w:t xml:space="preserve"> stage of the restoration. The modular format will also allow the operators, for the first time, to practice restarting the Market. Additionally, estimating an accurate total time of restoration requires using a more rigorous methodology than was possible during this training exercise.</w:t>
      </w:r>
    </w:p>
    <w:p w14:paraId="61C1DBBD" w14:textId="77777777" w:rsidR="00C67CB6" w:rsidRDefault="00C67CB6" w:rsidP="00C67CB6">
      <w:pPr>
        <w:pStyle w:val="BodyText"/>
        <w:jc w:val="both"/>
      </w:pPr>
      <w:r>
        <w:t>The 2016 Black Start exercise performance will be reviewed with the ERCOT Operators to collectively identify areas for improvement. The results of this analysis will be shared with the Operations Training Working Group (OTWG) and the Black Start Working Group (BSWG).</w:t>
      </w:r>
    </w:p>
    <w:p w14:paraId="12A263C4" w14:textId="77777777" w:rsidR="00C67CB6" w:rsidRPr="000C04E1" w:rsidRDefault="00C67CB6" w:rsidP="00DA3E5F">
      <w:pPr>
        <w:pStyle w:val="BodyText"/>
        <w:jc w:val="both"/>
      </w:pPr>
    </w:p>
    <w:p w14:paraId="4DEFC2C2" w14:textId="5BA3421C" w:rsidR="00DA3E5F" w:rsidRDefault="00C67CB6" w:rsidP="00DA3E5F">
      <w:pPr>
        <w:pStyle w:val="Heading1"/>
      </w:pPr>
      <w:bookmarkStart w:id="253" w:name="_Toc448385977"/>
      <w:r>
        <w:t xml:space="preserve">Blackstart </w:t>
      </w:r>
      <w:bookmarkStart w:id="254" w:name="_Toc448137927"/>
      <w:r w:rsidR="00DA3E5F">
        <w:t xml:space="preserve">Regular </w:t>
      </w:r>
      <w:r>
        <w:t xml:space="preserve">Training </w:t>
      </w:r>
      <w:r w:rsidR="00DA3E5F">
        <w:t>Sessions Details (Weeks 1-6)</w:t>
      </w:r>
      <w:bookmarkEnd w:id="253"/>
      <w:bookmarkEnd w:id="254"/>
    </w:p>
    <w:p w14:paraId="020F5F93" w14:textId="2A54710D" w:rsidR="00DA3E5F" w:rsidRPr="004004A1" w:rsidRDefault="00DA3E5F" w:rsidP="00DA3E5F">
      <w:pPr>
        <w:pStyle w:val="BodyText"/>
        <w:jc w:val="both"/>
      </w:pPr>
      <w:r>
        <w:t xml:space="preserve">Consistencies </w:t>
      </w:r>
      <w:r w:rsidR="00E73B65">
        <w:t>B</w:t>
      </w:r>
      <w:r>
        <w:t xml:space="preserve">etween </w:t>
      </w:r>
      <w:r w:rsidR="00E73B65">
        <w:t>W</w:t>
      </w:r>
      <w:r>
        <w:t>eeks</w:t>
      </w:r>
    </w:p>
    <w:p w14:paraId="22D24EBD" w14:textId="572B948B" w:rsidR="00DA3E5F" w:rsidRPr="004612B9" w:rsidRDefault="00DA3E5F" w:rsidP="004612B9">
      <w:pPr>
        <w:pStyle w:val="bulletlevel1"/>
      </w:pPr>
      <w:r w:rsidRPr="004612B9">
        <w:t>Approximately 2</w:t>
      </w:r>
      <w:r w:rsidR="00396D60">
        <w:t>,</w:t>
      </w:r>
      <w:r w:rsidRPr="004612B9">
        <w:t>000 MW load was restored to stabilize generating units within the first 7 hours of simulation.</w:t>
      </w:r>
    </w:p>
    <w:p w14:paraId="79237550" w14:textId="0F04767A" w:rsidR="00DA3E5F" w:rsidRPr="004612B9" w:rsidRDefault="00DA3E5F" w:rsidP="004612B9">
      <w:pPr>
        <w:pStyle w:val="bulletlevel1"/>
      </w:pPr>
      <w:r w:rsidRPr="004612B9">
        <w:t xml:space="preserve">Operators were able to execute the Black </w:t>
      </w:r>
      <w:r w:rsidR="002601A4" w:rsidRPr="004612B9">
        <w:t>Start</w:t>
      </w:r>
      <w:r w:rsidR="002601A4">
        <w:t xml:space="preserve"> restoration </w:t>
      </w:r>
      <w:r w:rsidRPr="004612B9">
        <w:t>plans</w:t>
      </w:r>
      <w:r w:rsidR="002601A4">
        <w:t>, which</w:t>
      </w:r>
      <w:r w:rsidRPr="004612B9">
        <w:t xml:space="preserve"> identified a starting point (individual Black Start units) and a destination (specified synchronization points). </w:t>
      </w:r>
      <w:r w:rsidR="002601A4">
        <w:t>P</w:t>
      </w:r>
      <w:r w:rsidRPr="004612B9">
        <w:t>lans also identified the path (transmission corridors) needed to get from the starting point to the destination.</w:t>
      </w:r>
    </w:p>
    <w:p w14:paraId="605867EF" w14:textId="559C5C10" w:rsidR="00DA3E5F" w:rsidRPr="00DA3E5F" w:rsidRDefault="00DA3E5F" w:rsidP="00DA3E5F">
      <w:pPr>
        <w:pStyle w:val="BodyText"/>
        <w:jc w:val="both"/>
      </w:pPr>
      <w:r w:rsidRPr="00DA3E5F">
        <w:t xml:space="preserve">Inconsistencies </w:t>
      </w:r>
      <w:r w:rsidR="00E73B65">
        <w:t>B</w:t>
      </w:r>
      <w:r w:rsidRPr="00DA3E5F">
        <w:t xml:space="preserve">etween </w:t>
      </w:r>
      <w:r w:rsidR="00E73B65">
        <w:t>W</w:t>
      </w:r>
      <w:r w:rsidRPr="00DA3E5F">
        <w:t>eeks</w:t>
      </w:r>
    </w:p>
    <w:p w14:paraId="3A982EFD" w14:textId="08282BE3" w:rsidR="00DA3E5F" w:rsidRPr="004612B9" w:rsidRDefault="00DA3E5F" w:rsidP="004612B9">
      <w:pPr>
        <w:pStyle w:val="bulletlevel1"/>
      </w:pPr>
      <w:r w:rsidRPr="004612B9">
        <w:t xml:space="preserve">Identifying switching errors caused some significant delays in resuming simulation. When </w:t>
      </w:r>
      <w:r w:rsidR="007E6175">
        <w:t xml:space="preserve">the </w:t>
      </w:r>
      <w:r w:rsidRPr="004612B9">
        <w:t>responsible TO self-identified</w:t>
      </w:r>
      <w:r w:rsidR="007E6175">
        <w:t xml:space="preserve"> a</w:t>
      </w:r>
      <w:r w:rsidRPr="004612B9">
        <w:t xml:space="preserve"> switching error, </w:t>
      </w:r>
      <w:r w:rsidR="007E6175">
        <w:t xml:space="preserve">the </w:t>
      </w:r>
      <w:r w:rsidRPr="004612B9">
        <w:t>length of delay was dramatically reduced resulting in more time for restoration efforts.</w:t>
      </w:r>
    </w:p>
    <w:p w14:paraId="7B4F80B7" w14:textId="77777777" w:rsidR="00DA3E5F" w:rsidRPr="004612B9" w:rsidRDefault="00DA3E5F" w:rsidP="004612B9">
      <w:pPr>
        <w:pStyle w:val="bulletlevel1"/>
      </w:pPr>
      <w:r w:rsidRPr="004612B9">
        <w:t>Load restoration after the first 7 hours varied in amount, rate, and location.</w:t>
      </w:r>
    </w:p>
    <w:p w14:paraId="3409E065" w14:textId="2314F3CD" w:rsidR="00DA3E5F" w:rsidRPr="004612B9" w:rsidRDefault="00DA3E5F" w:rsidP="004612B9">
      <w:pPr>
        <w:pStyle w:val="bulletlevel1"/>
      </w:pPr>
      <w:r w:rsidRPr="004612B9">
        <w:t>Island stability</w:t>
      </w:r>
      <w:r w:rsidR="007E6175">
        <w:t xml:space="preserve"> was</w:t>
      </w:r>
      <w:r w:rsidRPr="004612B9">
        <w:t xml:space="preserve"> not uniform throughout </w:t>
      </w:r>
      <w:r w:rsidR="007E6175">
        <w:t xml:space="preserve">session </w:t>
      </w:r>
      <w:r w:rsidRPr="004612B9">
        <w:t>weeks.</w:t>
      </w:r>
    </w:p>
    <w:p w14:paraId="79F25C87" w14:textId="77777777" w:rsidR="00DA3E5F" w:rsidRPr="004612B9" w:rsidRDefault="00DA3E5F" w:rsidP="004612B9">
      <w:pPr>
        <w:pStyle w:val="bulletlevel1"/>
      </w:pPr>
      <w:r w:rsidRPr="004612B9">
        <w:t>Improper switching was still the leading cause of island collapse.</w:t>
      </w:r>
    </w:p>
    <w:p w14:paraId="61D49F14" w14:textId="6A84BB62" w:rsidR="00DA3E5F" w:rsidRPr="004612B9" w:rsidRDefault="00DA3E5F" w:rsidP="004612B9">
      <w:pPr>
        <w:pStyle w:val="bulletlevel1"/>
      </w:pPr>
      <w:r w:rsidRPr="004612B9">
        <w:t xml:space="preserve">Load/available generation ratio progression varied from week-to-week. In some cases this caused </w:t>
      </w:r>
      <w:r w:rsidR="008324D2">
        <w:t>i</w:t>
      </w:r>
      <w:r w:rsidR="008324D2" w:rsidRPr="004612B9">
        <w:t xml:space="preserve">sland </w:t>
      </w:r>
      <w:r w:rsidRPr="004612B9">
        <w:t>collapse due to freque</w:t>
      </w:r>
      <w:r w:rsidR="008C65C8">
        <w:t>n</w:t>
      </w:r>
      <w:r w:rsidRPr="004612B9">
        <w:t>cy excursions.</w:t>
      </w:r>
    </w:p>
    <w:p w14:paraId="34E79BCE" w14:textId="6260F87A" w:rsidR="00DA3E5F" w:rsidRPr="004612B9" w:rsidRDefault="00DA3E5F" w:rsidP="004612B9">
      <w:pPr>
        <w:pStyle w:val="bulletlevel1"/>
      </w:pPr>
      <w:r w:rsidRPr="004612B9">
        <w:t xml:space="preserve">345 kV infrastructure </w:t>
      </w:r>
      <w:r w:rsidR="008324D2">
        <w:t xml:space="preserve">was </w:t>
      </w:r>
      <w:r w:rsidRPr="004612B9">
        <w:t>not always utilized effectively to strengthen transmission system</w:t>
      </w:r>
      <w:r w:rsidR="008324D2">
        <w:t>.</w:t>
      </w:r>
      <w:r w:rsidRPr="004612B9">
        <w:t xml:space="preserve"> </w:t>
      </w:r>
      <w:r w:rsidR="008324D2">
        <w:t>This</w:t>
      </w:r>
      <w:r w:rsidR="008324D2" w:rsidRPr="004612B9">
        <w:t xml:space="preserve"> </w:t>
      </w:r>
      <w:r w:rsidRPr="004612B9">
        <w:t>limited power transfers and load restoration</w:t>
      </w:r>
      <w:r w:rsidR="00C2257A">
        <w:t xml:space="preserve"> and</w:t>
      </w:r>
      <w:r w:rsidRPr="004612B9">
        <w:t xml:space="preserve"> also created voltage and thermal issues on the 138 kV system.</w:t>
      </w:r>
    </w:p>
    <w:p w14:paraId="34510A00" w14:textId="36409A2C" w:rsidR="00DA3E5F" w:rsidRPr="004612B9" w:rsidRDefault="00DA3E5F" w:rsidP="004612B9">
      <w:pPr>
        <w:pStyle w:val="bulletlevel1"/>
      </w:pPr>
      <w:r w:rsidRPr="004612B9">
        <w:t xml:space="preserve">Due to </w:t>
      </w:r>
      <w:r w:rsidR="006D451E">
        <w:t>all</w:t>
      </w:r>
      <w:r w:rsidR="006D451E" w:rsidRPr="004612B9">
        <w:t xml:space="preserve"> </w:t>
      </w:r>
      <w:r w:rsidRPr="004612B9">
        <w:t>issues</w:t>
      </w:r>
      <w:r w:rsidR="006D451E">
        <w:t>,</w:t>
      </w:r>
      <w:r w:rsidRPr="004612B9">
        <w:t xml:space="preserve"> the total</w:t>
      </w:r>
      <w:r w:rsidR="00813DF4">
        <w:t xml:space="preserve"> amount of</w:t>
      </w:r>
      <w:r w:rsidRPr="004612B9">
        <w:t xml:space="preserve"> load restoration varied </w:t>
      </w:r>
      <w:r w:rsidR="006B7F04">
        <w:t>between sessions</w:t>
      </w:r>
      <w:r w:rsidRPr="004612B9">
        <w:t>.</w:t>
      </w:r>
    </w:p>
    <w:p w14:paraId="23F96583" w14:textId="77777777" w:rsidR="00DA3E5F" w:rsidRDefault="00DA3E5F" w:rsidP="00DA3E5F">
      <w:pPr>
        <w:rPr>
          <w:u w:val="single"/>
        </w:rPr>
      </w:pPr>
    </w:p>
    <w:p w14:paraId="47F13571" w14:textId="77777777" w:rsidR="00DA3E5F" w:rsidRDefault="00DA3E5F">
      <w:pPr>
        <w:rPr>
          <w:b/>
        </w:rPr>
      </w:pPr>
      <w:r>
        <w:rPr>
          <w:b/>
        </w:rPr>
        <w:br w:type="page"/>
      </w:r>
    </w:p>
    <w:p w14:paraId="49E946BD" w14:textId="06567BC1" w:rsidR="00A25EFD" w:rsidRDefault="007834FF" w:rsidP="00442A90">
      <w:pPr>
        <w:pStyle w:val="Heading2"/>
        <w:numPr>
          <w:ilvl w:val="1"/>
          <w:numId w:val="25"/>
        </w:numPr>
      </w:pPr>
      <w:bookmarkStart w:id="255" w:name="_Toc448137928"/>
      <w:bookmarkStart w:id="256" w:name="_Toc448385978"/>
      <w:r>
        <w:t>Weekly Results</w:t>
      </w:r>
      <w:bookmarkEnd w:id="255"/>
      <w:bookmarkEnd w:id="256"/>
    </w:p>
    <w:p w14:paraId="31B81F51" w14:textId="15498920" w:rsidR="00DA3E5F" w:rsidRPr="007834FF" w:rsidRDefault="00DA3E5F" w:rsidP="00442A90">
      <w:pPr>
        <w:pStyle w:val="BodyText"/>
      </w:pPr>
      <w:r w:rsidRPr="007834FF">
        <w:t xml:space="preserve">Load restoration progression and final transmission system snapshot for each of the six weeks are presented </w:t>
      </w:r>
      <w:r w:rsidR="007834FF">
        <w:t>in the following images</w:t>
      </w:r>
      <w:r w:rsidRPr="007834FF">
        <w:t>.</w:t>
      </w:r>
    </w:p>
    <w:p w14:paraId="7F964043" w14:textId="77777777" w:rsidR="00DA3E5F" w:rsidRDefault="00DA3E5F" w:rsidP="00DA3E5F">
      <w:pPr>
        <w:rPr>
          <w:u w:val="single"/>
        </w:rPr>
      </w:pPr>
    </w:p>
    <w:p w14:paraId="422C4260" w14:textId="411E5050" w:rsidR="00DA3E5F" w:rsidRPr="002D45D2" w:rsidRDefault="00DA3E5F" w:rsidP="002D45D2">
      <w:pPr>
        <w:pStyle w:val="cutline"/>
        <w:jc w:val="left"/>
        <w:rPr>
          <w:b/>
        </w:rPr>
      </w:pPr>
      <w:r w:rsidRPr="002D45D2">
        <w:rPr>
          <w:b/>
          <w:noProof/>
        </w:rPr>
        <w:drawing>
          <wp:anchor distT="0" distB="0" distL="114300" distR="114300" simplePos="0" relativeHeight="251659264" behindDoc="0" locked="0" layoutInCell="1" allowOverlap="1" wp14:anchorId="410A948B" wp14:editId="4DF16466">
            <wp:simplePos x="0" y="0"/>
            <wp:positionH relativeFrom="column">
              <wp:posOffset>3396293</wp:posOffset>
            </wp:positionH>
            <wp:positionV relativeFrom="paragraph">
              <wp:posOffset>327025</wp:posOffset>
            </wp:positionV>
            <wp:extent cx="2906973" cy="2674415"/>
            <wp:effectExtent l="0" t="0" r="825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06973" cy="2674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45D2">
        <w:rPr>
          <w:b/>
        </w:rPr>
        <w:t xml:space="preserve">Week 1: 6,593 MW </w:t>
      </w:r>
      <w:r w:rsidR="008B0DA4">
        <w:rPr>
          <w:b/>
        </w:rPr>
        <w:t>R</w:t>
      </w:r>
      <w:r w:rsidRPr="002D45D2">
        <w:rPr>
          <w:b/>
        </w:rPr>
        <w:t>estored/14 Islands</w:t>
      </w:r>
    </w:p>
    <w:p w14:paraId="36FB366A" w14:textId="77777777" w:rsidR="00DA3E5F" w:rsidRPr="001E15A5" w:rsidRDefault="00DA3E5F" w:rsidP="00DA3E5F">
      <w:r>
        <w:rPr>
          <w:noProof/>
        </w:rPr>
        <w:drawing>
          <wp:inline distT="0" distB="0" distL="0" distR="0" wp14:anchorId="40A576F8" wp14:editId="26D1E0BC">
            <wp:extent cx="30099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E635CAB" w14:textId="77777777" w:rsidR="00DA3E5F" w:rsidRDefault="00DA3E5F" w:rsidP="00DA3E5F"/>
    <w:p w14:paraId="24E6F5FF" w14:textId="77777777" w:rsidR="00DA3E5F" w:rsidRDefault="00DA3E5F" w:rsidP="00DA3E5F"/>
    <w:p w14:paraId="07FBADFC" w14:textId="77777777" w:rsidR="00F73A82" w:rsidRDefault="00F73A82" w:rsidP="00DA3E5F"/>
    <w:p w14:paraId="73609F45" w14:textId="77777777" w:rsidR="00F73A82" w:rsidRDefault="00F73A82" w:rsidP="00DA3E5F"/>
    <w:p w14:paraId="4B78045D" w14:textId="42FBF60A" w:rsidR="00DA3E5F" w:rsidRPr="002D45D2" w:rsidRDefault="00DA3E5F" w:rsidP="002D45D2">
      <w:pPr>
        <w:pStyle w:val="cutline"/>
        <w:jc w:val="left"/>
        <w:rPr>
          <w:b/>
        </w:rPr>
      </w:pPr>
      <w:r w:rsidRPr="002D45D2">
        <w:rPr>
          <w:b/>
        </w:rPr>
        <w:t xml:space="preserve">Week 2: 16,156 MW </w:t>
      </w:r>
      <w:r w:rsidR="008B0DA4">
        <w:rPr>
          <w:b/>
        </w:rPr>
        <w:t>R</w:t>
      </w:r>
      <w:r w:rsidRPr="002D45D2">
        <w:rPr>
          <w:b/>
        </w:rPr>
        <w:t>estored/5 Islands</w:t>
      </w:r>
    </w:p>
    <w:p w14:paraId="564C3DA0" w14:textId="506320DB" w:rsidR="00DA3E5F" w:rsidRPr="001E15A5" w:rsidRDefault="00DA3E5F" w:rsidP="00DA3E5F">
      <w:r>
        <w:rPr>
          <w:noProof/>
        </w:rPr>
        <w:drawing>
          <wp:anchor distT="0" distB="0" distL="114300" distR="114300" simplePos="0" relativeHeight="251660288" behindDoc="0" locked="0" layoutInCell="1" allowOverlap="1" wp14:anchorId="5CA76190" wp14:editId="1C56C647">
            <wp:simplePos x="0" y="0"/>
            <wp:positionH relativeFrom="column">
              <wp:posOffset>3372485</wp:posOffset>
            </wp:positionH>
            <wp:positionV relativeFrom="paragraph">
              <wp:posOffset>20708</wp:posOffset>
            </wp:positionV>
            <wp:extent cx="2944248" cy="2772987"/>
            <wp:effectExtent l="0" t="0" r="889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44248" cy="27729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8015A06" wp14:editId="76E775E9">
            <wp:extent cx="30099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5E4F4CC" w14:textId="77777777" w:rsidR="00DA3E5F" w:rsidRPr="001E15A5" w:rsidRDefault="00DA3E5F" w:rsidP="00DA3E5F"/>
    <w:p w14:paraId="7EB82487" w14:textId="47D39380" w:rsidR="00DA3E5F" w:rsidRDefault="00DA3E5F">
      <w:pPr>
        <w:rPr>
          <w:rFonts w:asciiTheme="minorHAnsi" w:eastAsiaTheme="minorEastAsia" w:hAnsiTheme="minorHAnsi" w:cstheme="minorBidi"/>
          <w:b/>
          <w:color w:val="auto"/>
          <w:sz w:val="22"/>
          <w:szCs w:val="22"/>
          <w:u w:val="single"/>
        </w:rPr>
      </w:pPr>
    </w:p>
    <w:p w14:paraId="19881337" w14:textId="77777777" w:rsidR="00F73A82" w:rsidRDefault="00F73A82">
      <w:pPr>
        <w:rPr>
          <w:b/>
          <w:bCs/>
          <w:sz w:val="18"/>
        </w:rPr>
      </w:pPr>
      <w:r>
        <w:rPr>
          <w:b/>
          <w:bCs/>
        </w:rPr>
        <w:br w:type="page"/>
      </w:r>
    </w:p>
    <w:p w14:paraId="0F770CE0" w14:textId="1ACE7FD3" w:rsidR="00DA3E5F" w:rsidRPr="002D45D2" w:rsidRDefault="00DA3E5F" w:rsidP="002D45D2">
      <w:pPr>
        <w:pStyle w:val="cutline"/>
        <w:jc w:val="left"/>
        <w:rPr>
          <w:b/>
          <w:bCs/>
        </w:rPr>
      </w:pPr>
      <w:r w:rsidRPr="002D45D2">
        <w:rPr>
          <w:b/>
          <w:bCs/>
        </w:rPr>
        <w:t xml:space="preserve">Week 3: 8,404 MW </w:t>
      </w:r>
      <w:r w:rsidR="008B0DA4">
        <w:rPr>
          <w:b/>
          <w:bCs/>
        </w:rPr>
        <w:t>R</w:t>
      </w:r>
      <w:r w:rsidRPr="002D45D2">
        <w:rPr>
          <w:b/>
          <w:bCs/>
        </w:rPr>
        <w:t>estored/7 Islands</w:t>
      </w:r>
    </w:p>
    <w:p w14:paraId="549C860C" w14:textId="38F8C941" w:rsidR="00DA3E5F" w:rsidRPr="001E15A5" w:rsidRDefault="00DA3E5F" w:rsidP="00DA3E5F">
      <w:pPr>
        <w:pStyle w:val="ListParagraph"/>
        <w:ind w:left="0"/>
      </w:pPr>
      <w:r>
        <w:rPr>
          <w:noProof/>
        </w:rPr>
        <w:drawing>
          <wp:anchor distT="0" distB="0" distL="114300" distR="114300" simplePos="0" relativeHeight="251661312" behindDoc="0" locked="0" layoutInCell="1" allowOverlap="1" wp14:anchorId="28A374C4" wp14:editId="21C34644">
            <wp:simplePos x="0" y="0"/>
            <wp:positionH relativeFrom="column">
              <wp:posOffset>3408218</wp:posOffset>
            </wp:positionH>
            <wp:positionV relativeFrom="paragraph">
              <wp:posOffset>11331</wp:posOffset>
            </wp:positionV>
            <wp:extent cx="2919293" cy="2772966"/>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1959" cy="277549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B6B67FB" wp14:editId="4280FAC0">
            <wp:extent cx="2976563" cy="2743200"/>
            <wp:effectExtent l="0" t="0" r="1460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3CF6BCE" w14:textId="77777777" w:rsidR="00DA3E5F" w:rsidRDefault="00DA3E5F" w:rsidP="00DA3E5F">
      <w:pPr>
        <w:pStyle w:val="ListParagraph"/>
        <w:ind w:left="0"/>
      </w:pPr>
    </w:p>
    <w:p w14:paraId="17677177" w14:textId="77777777" w:rsidR="00DA3E5F" w:rsidRDefault="00DA3E5F" w:rsidP="00DA3E5F">
      <w:pPr>
        <w:pStyle w:val="ListParagraph"/>
        <w:ind w:left="0"/>
      </w:pPr>
    </w:p>
    <w:p w14:paraId="76789B79" w14:textId="77777777" w:rsidR="00DA3E5F" w:rsidRDefault="00DA3E5F" w:rsidP="00DA3E5F">
      <w:pPr>
        <w:pStyle w:val="ListParagraph"/>
        <w:ind w:left="0"/>
      </w:pPr>
    </w:p>
    <w:p w14:paraId="0BF16879" w14:textId="77777777" w:rsidR="00DA3E5F" w:rsidRDefault="00DA3E5F" w:rsidP="00DA3E5F">
      <w:pPr>
        <w:pStyle w:val="ListParagraph"/>
        <w:ind w:left="0"/>
      </w:pPr>
    </w:p>
    <w:p w14:paraId="474192A5" w14:textId="7F0A91D2" w:rsidR="00DA3E5F" w:rsidRPr="002D45D2" w:rsidRDefault="00DA3E5F" w:rsidP="002D45D2">
      <w:pPr>
        <w:pStyle w:val="cutline"/>
        <w:jc w:val="left"/>
        <w:rPr>
          <w:b/>
          <w:bCs/>
        </w:rPr>
      </w:pPr>
      <w:r w:rsidRPr="002D45D2">
        <w:rPr>
          <w:b/>
          <w:bCs/>
        </w:rPr>
        <w:t xml:space="preserve">Week 4: 8,729 MW </w:t>
      </w:r>
      <w:r w:rsidR="008B0DA4">
        <w:rPr>
          <w:b/>
          <w:bCs/>
        </w:rPr>
        <w:t>R</w:t>
      </w:r>
      <w:r w:rsidRPr="002D45D2">
        <w:rPr>
          <w:b/>
          <w:bCs/>
        </w:rPr>
        <w:t>estored/4 Islands</w:t>
      </w:r>
    </w:p>
    <w:p w14:paraId="52C98BC5" w14:textId="5979437B" w:rsidR="00DA3E5F" w:rsidRDefault="00DA3E5F" w:rsidP="00DA3E5F">
      <w:pPr>
        <w:pStyle w:val="ListParagraph"/>
        <w:ind w:left="0"/>
      </w:pPr>
      <w:r>
        <w:rPr>
          <w:noProof/>
        </w:rPr>
        <w:drawing>
          <wp:anchor distT="0" distB="0" distL="114300" distR="114300" simplePos="0" relativeHeight="251662336" behindDoc="0" locked="0" layoutInCell="1" allowOverlap="1" wp14:anchorId="6920672C" wp14:editId="1B22F182">
            <wp:simplePos x="0" y="0"/>
            <wp:positionH relativeFrom="column">
              <wp:posOffset>3412976</wp:posOffset>
            </wp:positionH>
            <wp:positionV relativeFrom="paragraph">
              <wp:posOffset>14894</wp:posOffset>
            </wp:positionV>
            <wp:extent cx="2856371" cy="2707574"/>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64096" cy="27148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697B8A2" wp14:editId="2592DF5E">
            <wp:extent cx="2995613" cy="2743200"/>
            <wp:effectExtent l="0" t="0" r="1460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903E993" w14:textId="77777777" w:rsidR="00DA3E5F" w:rsidRDefault="00DA3E5F" w:rsidP="00DA3E5F">
      <w:pPr>
        <w:pStyle w:val="ListParagraph"/>
        <w:ind w:left="0"/>
      </w:pPr>
    </w:p>
    <w:p w14:paraId="31A5BA8D" w14:textId="77777777" w:rsidR="00DA3E5F" w:rsidRDefault="00DA3E5F">
      <w:pPr>
        <w:rPr>
          <w:rFonts w:asciiTheme="minorHAnsi" w:eastAsiaTheme="minorEastAsia" w:hAnsiTheme="minorHAnsi" w:cstheme="minorBidi"/>
          <w:b/>
          <w:color w:val="auto"/>
          <w:sz w:val="22"/>
          <w:szCs w:val="22"/>
          <w:u w:val="single"/>
        </w:rPr>
      </w:pPr>
      <w:r>
        <w:rPr>
          <w:b/>
          <w:u w:val="single"/>
        </w:rPr>
        <w:br w:type="page"/>
      </w:r>
    </w:p>
    <w:p w14:paraId="137D0C4B" w14:textId="5973B397" w:rsidR="00DA3E5F" w:rsidRPr="002D45D2" w:rsidRDefault="00DA3E5F" w:rsidP="002D45D2">
      <w:pPr>
        <w:pStyle w:val="cutline"/>
        <w:jc w:val="left"/>
        <w:rPr>
          <w:b/>
          <w:bCs/>
        </w:rPr>
      </w:pPr>
      <w:r w:rsidRPr="002D45D2">
        <w:rPr>
          <w:b/>
          <w:bCs/>
        </w:rPr>
        <w:t>Week 5: 11,766 MW</w:t>
      </w:r>
      <w:r w:rsidR="008B0DA4">
        <w:rPr>
          <w:b/>
          <w:bCs/>
        </w:rPr>
        <w:t xml:space="preserve"> Restored</w:t>
      </w:r>
      <w:r w:rsidRPr="002D45D2">
        <w:rPr>
          <w:b/>
          <w:bCs/>
        </w:rPr>
        <w:t>/9 Islands</w:t>
      </w:r>
    </w:p>
    <w:p w14:paraId="1695E393" w14:textId="581E90D4" w:rsidR="00DA3E5F" w:rsidRDefault="00DA3E5F" w:rsidP="00DA3E5F">
      <w:pPr>
        <w:pStyle w:val="ListParagraph"/>
        <w:ind w:left="0"/>
      </w:pPr>
      <w:r>
        <w:rPr>
          <w:noProof/>
        </w:rPr>
        <w:drawing>
          <wp:anchor distT="0" distB="0" distL="114300" distR="114300" simplePos="0" relativeHeight="251665408" behindDoc="0" locked="0" layoutInCell="1" allowOverlap="1" wp14:anchorId="0E8FDBB0" wp14:editId="3FEBADCD">
            <wp:simplePos x="0" y="0"/>
            <wp:positionH relativeFrom="margin">
              <wp:posOffset>3365822</wp:posOffset>
            </wp:positionH>
            <wp:positionV relativeFrom="paragraph">
              <wp:posOffset>17145</wp:posOffset>
            </wp:positionV>
            <wp:extent cx="2849880" cy="2707005"/>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49880" cy="2707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F777A86" wp14:editId="35A4337B">
            <wp:extent cx="3028951"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F484B48" w14:textId="77777777" w:rsidR="00DA3E5F" w:rsidRDefault="00DA3E5F" w:rsidP="00DA3E5F">
      <w:pPr>
        <w:pStyle w:val="ListParagraph"/>
        <w:ind w:left="0"/>
      </w:pPr>
    </w:p>
    <w:p w14:paraId="637CCA91" w14:textId="77777777" w:rsidR="00DA3E5F" w:rsidRDefault="00DA3E5F" w:rsidP="00DA3E5F">
      <w:pPr>
        <w:pStyle w:val="ListParagraph"/>
        <w:ind w:left="0"/>
      </w:pPr>
    </w:p>
    <w:p w14:paraId="45740C78" w14:textId="77777777" w:rsidR="00DA3E5F" w:rsidRDefault="00DA3E5F" w:rsidP="00DA3E5F">
      <w:pPr>
        <w:pStyle w:val="ListParagraph"/>
        <w:ind w:left="0"/>
      </w:pPr>
    </w:p>
    <w:p w14:paraId="100F31BC" w14:textId="77777777" w:rsidR="00DA3E5F" w:rsidRDefault="00DA3E5F" w:rsidP="00DA3E5F">
      <w:pPr>
        <w:pStyle w:val="ListParagraph"/>
        <w:ind w:left="0"/>
      </w:pPr>
    </w:p>
    <w:p w14:paraId="31F3C07B" w14:textId="0B5AE332" w:rsidR="00DA3E5F" w:rsidRPr="002D45D2" w:rsidRDefault="00DA3E5F" w:rsidP="002D45D2">
      <w:pPr>
        <w:pStyle w:val="cutline"/>
        <w:jc w:val="left"/>
        <w:rPr>
          <w:b/>
          <w:bCs/>
        </w:rPr>
      </w:pPr>
      <w:r w:rsidRPr="002D45D2">
        <w:rPr>
          <w:b/>
          <w:bCs/>
        </w:rPr>
        <w:t xml:space="preserve">Week 6: 22,362 MW </w:t>
      </w:r>
      <w:r w:rsidR="008B0DA4">
        <w:rPr>
          <w:b/>
          <w:bCs/>
        </w:rPr>
        <w:t>R</w:t>
      </w:r>
      <w:r w:rsidRPr="002D45D2">
        <w:rPr>
          <w:b/>
          <w:bCs/>
        </w:rPr>
        <w:t>estored/1 Island</w:t>
      </w:r>
    </w:p>
    <w:p w14:paraId="04C62B95" w14:textId="2E75DD63" w:rsidR="00DA3E5F" w:rsidRDefault="00DA3E5F" w:rsidP="00DA3E5F">
      <w:pPr>
        <w:pStyle w:val="ListParagraph"/>
        <w:ind w:left="0"/>
      </w:pPr>
      <w:r>
        <w:rPr>
          <w:noProof/>
        </w:rPr>
        <w:drawing>
          <wp:anchor distT="0" distB="0" distL="114300" distR="114300" simplePos="0" relativeHeight="251663360" behindDoc="0" locked="0" layoutInCell="1" allowOverlap="1" wp14:anchorId="7757D67D" wp14:editId="7FCC6D52">
            <wp:simplePos x="0" y="0"/>
            <wp:positionH relativeFrom="margin">
              <wp:posOffset>3348842</wp:posOffset>
            </wp:positionH>
            <wp:positionV relativeFrom="paragraph">
              <wp:posOffset>14547</wp:posOffset>
            </wp:positionV>
            <wp:extent cx="2872872" cy="2711944"/>
            <wp:effectExtent l="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75027" cy="27139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08AE2FD" wp14:editId="4B32FC05">
            <wp:extent cx="2986088" cy="2743200"/>
            <wp:effectExtent l="0" t="0" r="508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182B0CC" w14:textId="77777777" w:rsidR="00DA3E5F" w:rsidRDefault="00DA3E5F" w:rsidP="00DA3E5F">
      <w:pPr>
        <w:pStyle w:val="ListParagraph"/>
        <w:ind w:left="0"/>
      </w:pPr>
    </w:p>
    <w:p w14:paraId="4DC54864" w14:textId="77777777" w:rsidR="00DA3E5F" w:rsidRPr="001E15A5" w:rsidRDefault="00DA3E5F" w:rsidP="00DA3E5F">
      <w:pPr>
        <w:pStyle w:val="ListParagraph"/>
        <w:ind w:left="0"/>
      </w:pPr>
    </w:p>
    <w:p w14:paraId="18D061E4" w14:textId="77777777" w:rsidR="00DA3E5F" w:rsidRDefault="00DA3E5F">
      <w:pPr>
        <w:rPr>
          <w:rFonts w:asciiTheme="minorHAnsi" w:eastAsiaTheme="minorEastAsia" w:hAnsiTheme="minorHAnsi" w:cstheme="minorBidi"/>
          <w:b/>
          <w:color w:val="auto"/>
          <w:sz w:val="22"/>
          <w:szCs w:val="22"/>
        </w:rPr>
      </w:pPr>
      <w:r>
        <w:rPr>
          <w:b/>
        </w:rPr>
        <w:br w:type="page"/>
      </w:r>
    </w:p>
    <w:p w14:paraId="045791C8" w14:textId="57C4D1CD" w:rsidR="00DA3E5F" w:rsidRDefault="00C67CB6" w:rsidP="00DA3E5F">
      <w:pPr>
        <w:pStyle w:val="Heading1"/>
      </w:pPr>
      <w:bookmarkStart w:id="257" w:name="_Toc448385979"/>
      <w:r>
        <w:t xml:space="preserve">Blackstart </w:t>
      </w:r>
      <w:bookmarkStart w:id="258" w:name="_Toc448137929"/>
      <w:r>
        <w:t xml:space="preserve">Special Training </w:t>
      </w:r>
      <w:r w:rsidR="00DA3E5F">
        <w:t>Session</w:t>
      </w:r>
      <w:bookmarkEnd w:id="257"/>
      <w:bookmarkEnd w:id="258"/>
    </w:p>
    <w:p w14:paraId="2E805264" w14:textId="37EF3D4D" w:rsidR="00DA3E5F" w:rsidRDefault="00DA3E5F" w:rsidP="00DA3E5F">
      <w:pPr>
        <w:pStyle w:val="BodyText"/>
        <w:jc w:val="both"/>
      </w:pPr>
      <w:r>
        <w:t>A</w:t>
      </w:r>
      <w:r w:rsidR="00943976">
        <w:t xml:space="preserve">fter the regular session training, a </w:t>
      </w:r>
      <w:r>
        <w:t>special session was held March 15 through March 17</w:t>
      </w:r>
      <w:r w:rsidR="00943976">
        <w:t xml:space="preserve"> </w:t>
      </w:r>
      <w:r>
        <w:t xml:space="preserve">with the goal of determining the time required to return the system to ninety percent of pre-disturbance load. The “best” case from the six regular training sessions was used as a starting point for the special session. The </w:t>
      </w:r>
      <w:r w:rsidR="00C67CB6">
        <w:t xml:space="preserve">training week 6 </w:t>
      </w:r>
      <w:r>
        <w:t xml:space="preserve">case </w:t>
      </w:r>
      <w:r w:rsidR="00C67CB6">
        <w:t xml:space="preserve">was </w:t>
      </w:r>
      <w:r>
        <w:t xml:space="preserve">selected </w:t>
      </w:r>
      <w:r w:rsidR="00C67CB6">
        <w:t xml:space="preserve">because this case </w:t>
      </w:r>
      <w:r w:rsidR="00785129">
        <w:t xml:space="preserve">had </w:t>
      </w:r>
      <w:r>
        <w:t xml:space="preserve">22,362 MW load restored, significant 345 kV infrastructure </w:t>
      </w:r>
      <w:r w:rsidR="006D7AC8">
        <w:t>rebuilt</w:t>
      </w:r>
      <w:r>
        <w:t>, and a load/available generation ratio of 62%. The case was allowed to run so that all cold load pick</w:t>
      </w:r>
      <w:r w:rsidR="00943976">
        <w:t>-</w:t>
      </w:r>
      <w:r>
        <w:t>up was diminished prior to the beginning of the special session. This reduced the case load to 22,119 MW.</w:t>
      </w:r>
    </w:p>
    <w:p w14:paraId="0BE58AAB" w14:textId="10E7ED83" w:rsidR="00DA3E5F" w:rsidRDefault="00DA3E5F" w:rsidP="00DA3E5F">
      <w:pPr>
        <w:pStyle w:val="BodyText"/>
        <w:jc w:val="both"/>
      </w:pPr>
      <w:r>
        <w:t xml:space="preserve">The final load restored </w:t>
      </w:r>
      <w:r w:rsidR="00785129">
        <w:t xml:space="preserve">during the special session </w:t>
      </w:r>
      <w:r>
        <w:t>was 56,143 MW. This is higher than the maximum load from the original case used to create the simulation</w:t>
      </w:r>
      <w:r w:rsidR="00943976">
        <w:t>, which was</w:t>
      </w:r>
      <w:r>
        <w:t xml:space="preserve"> approximately 40,000 MW.</w:t>
      </w:r>
    </w:p>
    <w:p w14:paraId="0005686A" w14:textId="4575E93B" w:rsidR="00DA3E5F" w:rsidRDefault="00785129" w:rsidP="00DA3E5F">
      <w:pPr>
        <w:pStyle w:val="BodyText"/>
        <w:jc w:val="both"/>
      </w:pPr>
      <w:r>
        <w:t>Typically ERCOT publishes an overall restoration time for the special session using assumptions from the prior weeks training time and adding in the special sessions added time. Currently t</w:t>
      </w:r>
      <w:r w:rsidR="00DA3E5F">
        <w:t xml:space="preserve">he assumptions and methodology for an accurate restoration time estimate are </w:t>
      </w:r>
      <w:r>
        <w:t>being reviewed for improvement</w:t>
      </w:r>
      <w:r w:rsidR="00FC09DC">
        <w:t xml:space="preserve">; therefore, </w:t>
      </w:r>
      <w:r w:rsidR="00DA3E5F">
        <w:t xml:space="preserve">no estimated time of restoration will be provided in this </w:t>
      </w:r>
      <w:r>
        <w:t>years report</w:t>
      </w:r>
      <w:r w:rsidR="00DA3E5F">
        <w:t xml:space="preserve">. </w:t>
      </w:r>
      <w:r>
        <w:t>Additionally</w:t>
      </w:r>
      <w:r w:rsidR="00FC09DC">
        <w:t>, c</w:t>
      </w:r>
      <w:r w:rsidR="00DA3E5F">
        <w:t xml:space="preserve">omparisons to restoration simulations </w:t>
      </w:r>
      <w:r w:rsidR="00FC09DC">
        <w:t>from</w:t>
      </w:r>
      <w:r w:rsidR="00DA3E5F">
        <w:t xml:space="preserve"> previous years will not be appropriate due to different system conditions.</w:t>
      </w:r>
      <w:r>
        <w:t xml:space="preserve"> The major difference in this years restoration is that system outages were introduced and therefore comparisions to prior years would not translate into valid comparisons.</w:t>
      </w:r>
      <w:r w:rsidR="00DA3E5F">
        <w:t xml:space="preserve"> </w:t>
      </w:r>
    </w:p>
    <w:p w14:paraId="1E5763B2" w14:textId="1536EB5E" w:rsidR="00122C71" w:rsidRDefault="00DA3E5F" w:rsidP="00DA3E5F">
      <w:pPr>
        <w:pStyle w:val="BodyText"/>
        <w:jc w:val="both"/>
      </w:pPr>
      <w:r>
        <w:t xml:space="preserve">It is important to note that there are several </w:t>
      </w:r>
      <w:r w:rsidR="00785129">
        <w:t xml:space="preserve">additional </w:t>
      </w:r>
      <w:r>
        <w:t xml:space="preserve">factors that </w:t>
      </w:r>
      <w:r w:rsidR="00785129">
        <w:t>would</w:t>
      </w:r>
      <w:r>
        <w:t xml:space="preserve"> cause the actual time to restore the system from a blacked-out state to be more or less than</w:t>
      </w:r>
      <w:r w:rsidR="00A4584E">
        <w:t xml:space="preserve"> the time taken to complete</w:t>
      </w:r>
      <w:r>
        <w:t xml:space="preserve"> </w:t>
      </w:r>
      <w:r w:rsidR="00785129">
        <w:t>blackstart</w:t>
      </w:r>
      <w:r>
        <w:t xml:space="preserve"> simulation</w:t>
      </w:r>
      <w:r w:rsidR="00FA5547">
        <w:t xml:space="preserve">. </w:t>
      </w:r>
      <w:r>
        <w:t xml:space="preserve">For example, many of the mistakes made were switching errors and might have been prevented by having switchmen in the stations. This would be the normal restoration plan for a </w:t>
      </w:r>
      <w:r w:rsidR="009D78F6">
        <w:t xml:space="preserve">system </w:t>
      </w:r>
      <w:r>
        <w:t>restoration. On the other hand, because this was a simulation</w:t>
      </w:r>
      <w:r w:rsidR="009403D9">
        <w:t>,</w:t>
      </w:r>
      <w:r>
        <w:t xml:space="preserve"> the MPs had access to most of their equipment and there were no problems </w:t>
      </w:r>
      <w:r w:rsidR="00A4584E">
        <w:t xml:space="preserve">with the </w:t>
      </w:r>
      <w:r>
        <w:t>associated with equipment</w:t>
      </w:r>
      <w:r w:rsidR="009D78F6">
        <w:t xml:space="preserve">, which cannot </w:t>
      </w:r>
      <w:r>
        <w:t xml:space="preserve">be expected during a real event. </w:t>
      </w:r>
      <w:r w:rsidR="009D78F6">
        <w:t xml:space="preserve">Equipment issues that are likely to be seen in an actual event include </w:t>
      </w:r>
      <w:r>
        <w:t xml:space="preserve">dead batteries at stations requiring the switchman to hand crank breakers open or closed, </w:t>
      </w:r>
      <w:r w:rsidR="009D78F6">
        <w:t xml:space="preserve">delayed response due to </w:t>
      </w:r>
      <w:r>
        <w:t xml:space="preserve">drive time between stations in large metropolitan areas (Houston, Austin, San Antonio, and the DFW area), damaged transmission equipment from the cause of the event (if weather related), damaged generators, communication issues, SCADA not available to TOs and ERCOT, and </w:t>
      </w:r>
      <w:r w:rsidR="006B7F04">
        <w:t xml:space="preserve">the availability of </w:t>
      </w:r>
      <w:r>
        <w:t>natural gas to Black Start and Next Start units. Lastly, human error that lead</w:t>
      </w:r>
      <w:r w:rsidR="00122C71">
        <w:t>s</w:t>
      </w:r>
      <w:r>
        <w:t xml:space="preserve"> to </w:t>
      </w:r>
      <w:r w:rsidR="002B47E7">
        <w:t>i</w:t>
      </w:r>
      <w:r>
        <w:t>sland collapse drastically increase</w:t>
      </w:r>
      <w:r w:rsidR="00122C71">
        <w:t>s</w:t>
      </w:r>
      <w:r>
        <w:t xml:space="preserve"> the restoration time. </w:t>
      </w:r>
    </w:p>
    <w:p w14:paraId="6A835703" w14:textId="1039B6E3" w:rsidR="00DA3E5F" w:rsidRPr="006E52EA" w:rsidRDefault="00DA3E5F" w:rsidP="00DA3E5F">
      <w:pPr>
        <w:pStyle w:val="BodyText"/>
        <w:jc w:val="both"/>
      </w:pPr>
      <w:r>
        <w:t>The Black Start training that ERCOT provides is critical because of the unknowns that we will not be able to address in planning. The more efficient we are in performing the parts of the plan we have control over</w:t>
      </w:r>
      <w:r w:rsidR="00122C71">
        <w:t>,</w:t>
      </w:r>
      <w:r>
        <w:t xml:space="preserve"> the more effective the </w:t>
      </w:r>
      <w:r w:rsidRPr="006E52EA">
        <w:t>outcome.</w:t>
      </w:r>
      <w:r w:rsidR="00785129">
        <w:t xml:space="preserve">Overall the special training session demonstrated the blackstart plans will allow operators to restore the system. </w:t>
      </w:r>
      <w:r w:rsidR="00742A4C">
        <w:t>The special session focused on the condition where o</w:t>
      </w:r>
      <w:r w:rsidR="00785129">
        <w:t xml:space="preserve">nce a single island is created </w:t>
      </w:r>
      <w:r w:rsidR="00742A4C">
        <w:t xml:space="preserve">from the separate company blackstart plans </w:t>
      </w:r>
      <w:r w:rsidR="00785129">
        <w:t>th</w:t>
      </w:r>
      <w:r w:rsidR="00742A4C">
        <w:t xml:space="preserve">en </w:t>
      </w:r>
      <w:r w:rsidR="00785129">
        <w:t>ERCOT can build out the remining system</w:t>
      </w:r>
      <w:r w:rsidR="00742A4C">
        <w:t xml:space="preserve"> and restore the complete system</w:t>
      </w:r>
      <w:r w:rsidR="00785129">
        <w:t xml:space="preserve">. </w:t>
      </w:r>
    </w:p>
    <w:p w14:paraId="0DD5C63A" w14:textId="77777777" w:rsidR="00DA3E5F" w:rsidRPr="006E52EA" w:rsidRDefault="00DA3E5F" w:rsidP="00DA3E5F">
      <w:pPr>
        <w:pStyle w:val="ListParagraph"/>
        <w:ind w:left="0"/>
      </w:pPr>
    </w:p>
    <w:p w14:paraId="5EF9A717" w14:textId="77777777" w:rsidR="00DA3E5F" w:rsidRDefault="00DA3E5F">
      <w:pPr>
        <w:rPr>
          <w:rFonts w:asciiTheme="minorHAnsi" w:eastAsiaTheme="minorEastAsia" w:hAnsiTheme="minorHAnsi" w:cstheme="minorBidi"/>
          <w:b/>
          <w:color w:val="auto"/>
          <w:sz w:val="22"/>
          <w:szCs w:val="22"/>
        </w:rPr>
      </w:pPr>
      <w:r>
        <w:rPr>
          <w:b/>
        </w:rPr>
        <w:br w:type="page"/>
      </w:r>
    </w:p>
    <w:p w14:paraId="7C8B2A62" w14:textId="00220910" w:rsidR="00850669" w:rsidRDefault="00850669" w:rsidP="00442A90">
      <w:pPr>
        <w:pStyle w:val="Heading2"/>
      </w:pPr>
      <w:bookmarkStart w:id="259" w:name="_Toc448137930"/>
      <w:bookmarkStart w:id="260" w:name="_Toc448385980"/>
      <w:r>
        <w:t>Special Session Results</w:t>
      </w:r>
      <w:bookmarkEnd w:id="259"/>
      <w:bookmarkEnd w:id="260"/>
    </w:p>
    <w:p w14:paraId="2ADAADF2" w14:textId="6D3C2401" w:rsidR="00262441" w:rsidRDefault="00262441" w:rsidP="00442A90">
      <w:pPr>
        <w:pStyle w:val="BodyText"/>
      </w:pPr>
      <w:r>
        <w:t>The images and table below display the final results of the Special Session.</w:t>
      </w:r>
    </w:p>
    <w:p w14:paraId="224FDF74" w14:textId="77777777" w:rsidR="00262441" w:rsidRPr="00262441" w:rsidRDefault="00262441" w:rsidP="00442A90"/>
    <w:p w14:paraId="09527033" w14:textId="778F173E" w:rsidR="00DA3E5F" w:rsidRPr="00442A90" w:rsidRDefault="00850669" w:rsidP="00442A90">
      <w:pPr>
        <w:pStyle w:val="cutline"/>
        <w:jc w:val="left"/>
        <w:rPr>
          <w:b/>
          <w:bCs/>
        </w:rPr>
      </w:pPr>
      <w:r>
        <w:rPr>
          <w:b/>
        </w:rPr>
        <w:t xml:space="preserve">Total Load Restoration Progression </w:t>
      </w:r>
    </w:p>
    <w:p w14:paraId="3AA6FD70" w14:textId="77777777" w:rsidR="00DA3E5F" w:rsidRDefault="00DA3E5F" w:rsidP="00DA3E5F">
      <w:pPr>
        <w:pStyle w:val="ListParagraph"/>
        <w:ind w:left="0"/>
        <w:rPr>
          <w:b/>
        </w:rPr>
      </w:pPr>
      <w:r>
        <w:rPr>
          <w:noProof/>
        </w:rPr>
        <w:drawing>
          <wp:inline distT="0" distB="0" distL="0" distR="0" wp14:anchorId="7DFB2C2C" wp14:editId="16285619">
            <wp:extent cx="5691226" cy="2949364"/>
            <wp:effectExtent l="0" t="0" r="5080" b="38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3559245" w14:textId="77777777" w:rsidR="00DA3E5F" w:rsidRDefault="00DA3E5F" w:rsidP="00DA3E5F">
      <w:pPr>
        <w:pStyle w:val="ListParagraph"/>
        <w:ind w:left="0"/>
        <w:rPr>
          <w:b/>
        </w:rPr>
      </w:pPr>
    </w:p>
    <w:p w14:paraId="13248540" w14:textId="7B18AD8E" w:rsidR="00262441" w:rsidRPr="00442A90" w:rsidRDefault="00262441" w:rsidP="00442A90">
      <w:pPr>
        <w:pStyle w:val="cutline"/>
        <w:jc w:val="left"/>
        <w:rPr>
          <w:b/>
          <w:bCs/>
        </w:rPr>
      </w:pPr>
      <w:r w:rsidRPr="00442A90">
        <w:rPr>
          <w:b/>
          <w:bCs/>
        </w:rPr>
        <w:t>Total Load Restoration Description</w:t>
      </w:r>
    </w:p>
    <w:tbl>
      <w:tblPr>
        <w:tblStyle w:val="TableGrid"/>
        <w:tblW w:w="0" w:type="auto"/>
        <w:tblLook w:val="04A0" w:firstRow="1" w:lastRow="0" w:firstColumn="1" w:lastColumn="0" w:noHBand="0" w:noVBand="1"/>
      </w:tblPr>
      <w:tblGrid>
        <w:gridCol w:w="1255"/>
        <w:gridCol w:w="1980"/>
        <w:gridCol w:w="5765"/>
      </w:tblGrid>
      <w:tr w:rsidR="00A160DE" w14:paraId="4FF754C3" w14:textId="77777777" w:rsidTr="00442A90">
        <w:tc>
          <w:tcPr>
            <w:tcW w:w="1255" w:type="dxa"/>
            <w:tcBorders>
              <w:top w:val="single" w:sz="4" w:space="0" w:color="auto"/>
              <w:left w:val="single" w:sz="4" w:space="0" w:color="00ACC8" w:themeColor="accent1"/>
              <w:bottom w:val="single" w:sz="4" w:space="0" w:color="00ACC8" w:themeColor="accent1"/>
            </w:tcBorders>
          </w:tcPr>
          <w:p w14:paraId="78DDA3D9" w14:textId="0B27D762" w:rsidR="00A160DE" w:rsidRDefault="00A160DE" w:rsidP="00DA3E5F">
            <w:pPr>
              <w:pStyle w:val="ListParagraph"/>
              <w:ind w:left="0"/>
              <w:rPr>
                <w:b/>
              </w:rPr>
            </w:pPr>
            <w:r>
              <w:rPr>
                <w:b/>
              </w:rPr>
              <w:t>Hours</w:t>
            </w:r>
          </w:p>
        </w:tc>
        <w:tc>
          <w:tcPr>
            <w:tcW w:w="1980" w:type="dxa"/>
            <w:tcBorders>
              <w:top w:val="single" w:sz="4" w:space="0" w:color="auto"/>
              <w:bottom w:val="single" w:sz="4" w:space="0" w:color="00ACC8" w:themeColor="accent1"/>
            </w:tcBorders>
          </w:tcPr>
          <w:p w14:paraId="69E3AE65" w14:textId="664D0FBB" w:rsidR="00A160DE" w:rsidRDefault="00A160DE" w:rsidP="00DA3E5F">
            <w:pPr>
              <w:pStyle w:val="ListParagraph"/>
              <w:ind w:left="0"/>
              <w:rPr>
                <w:b/>
              </w:rPr>
            </w:pPr>
            <w:r>
              <w:rPr>
                <w:b/>
              </w:rPr>
              <w:t>Session</w:t>
            </w:r>
          </w:p>
        </w:tc>
        <w:tc>
          <w:tcPr>
            <w:tcW w:w="5765" w:type="dxa"/>
            <w:tcBorders>
              <w:top w:val="single" w:sz="4" w:space="0" w:color="auto"/>
              <w:bottom w:val="single" w:sz="4" w:space="0" w:color="00ACC8" w:themeColor="accent1"/>
              <w:right w:val="single" w:sz="4" w:space="0" w:color="00ACC8" w:themeColor="accent1"/>
            </w:tcBorders>
          </w:tcPr>
          <w:p w14:paraId="5EA64E8D" w14:textId="64230AA1" w:rsidR="00A160DE" w:rsidRDefault="00286BF2" w:rsidP="00DA3E5F">
            <w:pPr>
              <w:pStyle w:val="ListParagraph"/>
              <w:ind w:left="0"/>
              <w:rPr>
                <w:b/>
              </w:rPr>
            </w:pPr>
            <w:r>
              <w:rPr>
                <w:b/>
              </w:rPr>
              <w:t>Events</w:t>
            </w:r>
          </w:p>
        </w:tc>
      </w:tr>
      <w:tr w:rsidR="00A160DE" w14:paraId="1C10EBCE" w14:textId="77777777" w:rsidTr="00442A90">
        <w:tc>
          <w:tcPr>
            <w:tcW w:w="1255" w:type="dxa"/>
            <w:tcBorders>
              <w:top w:val="single" w:sz="4" w:space="0" w:color="00ACC8" w:themeColor="accent1"/>
              <w:left w:val="single" w:sz="4" w:space="0" w:color="00ACC8" w:themeColor="accent1"/>
              <w:bottom w:val="single" w:sz="4" w:space="0" w:color="00ACC8" w:themeColor="accent1"/>
            </w:tcBorders>
          </w:tcPr>
          <w:p w14:paraId="5E7BA417" w14:textId="255E0370" w:rsidR="00A160DE" w:rsidRPr="00442A90" w:rsidRDefault="00A160DE" w:rsidP="00442A90">
            <w:pPr>
              <w:pStyle w:val="BodyText"/>
              <w:rPr>
                <w:b/>
              </w:rPr>
            </w:pPr>
            <w:r w:rsidRPr="00442A90">
              <w:rPr>
                <w:b/>
              </w:rPr>
              <w:t>6-11</w:t>
            </w:r>
          </w:p>
        </w:tc>
        <w:tc>
          <w:tcPr>
            <w:tcW w:w="1980" w:type="dxa"/>
            <w:tcBorders>
              <w:top w:val="single" w:sz="4" w:space="0" w:color="00ACC8" w:themeColor="accent1"/>
            </w:tcBorders>
          </w:tcPr>
          <w:p w14:paraId="4852EBBC" w14:textId="22B6AC91" w:rsidR="00A160DE" w:rsidRDefault="00A160DE" w:rsidP="00442A90">
            <w:pPr>
              <w:pStyle w:val="BodyText"/>
            </w:pPr>
            <w:r>
              <w:t>Regular, Week 6</w:t>
            </w:r>
          </w:p>
        </w:tc>
        <w:tc>
          <w:tcPr>
            <w:tcW w:w="5765" w:type="dxa"/>
            <w:tcBorders>
              <w:top w:val="single" w:sz="4" w:space="0" w:color="00ACC8" w:themeColor="accent1"/>
              <w:bottom w:val="single" w:sz="4" w:space="0" w:color="00ACC8" w:themeColor="accent1"/>
              <w:right w:val="single" w:sz="4" w:space="0" w:color="00ACC8" w:themeColor="accent1"/>
            </w:tcBorders>
          </w:tcPr>
          <w:p w14:paraId="619C476A" w14:textId="77777777" w:rsidR="00A160DE" w:rsidRDefault="00A160DE" w:rsidP="00442A90">
            <w:pPr>
              <w:pStyle w:val="BodyText"/>
              <w:numPr>
                <w:ilvl w:val="0"/>
                <w:numId w:val="28"/>
              </w:numPr>
            </w:pPr>
            <w:r>
              <w:t>Restoration effort focused on the 345 kV system, strengthening transmission line infrastructure.</w:t>
            </w:r>
          </w:p>
          <w:p w14:paraId="302A5BEC" w14:textId="3957078D" w:rsidR="00A160DE" w:rsidRPr="008D7B3E" w:rsidRDefault="00A160DE" w:rsidP="00442A90">
            <w:pPr>
              <w:pStyle w:val="BodyText"/>
              <w:numPr>
                <w:ilvl w:val="0"/>
                <w:numId w:val="28"/>
              </w:numPr>
            </w:pPr>
            <w:r>
              <w:t>Rate of load restoration increased.</w:t>
            </w:r>
          </w:p>
        </w:tc>
      </w:tr>
      <w:tr w:rsidR="00A160DE" w14:paraId="7E9830E2" w14:textId="77777777" w:rsidTr="00442A90">
        <w:tc>
          <w:tcPr>
            <w:tcW w:w="1255" w:type="dxa"/>
            <w:tcBorders>
              <w:top w:val="single" w:sz="4" w:space="0" w:color="00ACC8" w:themeColor="accent1"/>
              <w:left w:val="single" w:sz="4" w:space="0" w:color="00ACC8" w:themeColor="accent1"/>
              <w:bottom w:val="single" w:sz="4" w:space="0" w:color="00ACC8" w:themeColor="accent1"/>
            </w:tcBorders>
          </w:tcPr>
          <w:p w14:paraId="50330458" w14:textId="436CA086" w:rsidR="00A160DE" w:rsidRPr="00442A90" w:rsidRDefault="00A160DE" w:rsidP="00442A90">
            <w:pPr>
              <w:pStyle w:val="BodyText"/>
              <w:rPr>
                <w:b/>
              </w:rPr>
            </w:pPr>
            <w:r w:rsidRPr="00442A90">
              <w:rPr>
                <w:b/>
              </w:rPr>
              <w:t>11-13</w:t>
            </w:r>
          </w:p>
        </w:tc>
        <w:tc>
          <w:tcPr>
            <w:tcW w:w="1980" w:type="dxa"/>
          </w:tcPr>
          <w:p w14:paraId="503A7AE3" w14:textId="076853CA" w:rsidR="00A160DE" w:rsidRDefault="00A160DE" w:rsidP="00442A90">
            <w:pPr>
              <w:pStyle w:val="BodyText"/>
            </w:pPr>
            <w:r>
              <w:t>Regular, Week 6</w:t>
            </w:r>
          </w:p>
        </w:tc>
        <w:tc>
          <w:tcPr>
            <w:tcW w:w="5765" w:type="dxa"/>
            <w:tcBorders>
              <w:top w:val="single" w:sz="4" w:space="0" w:color="00ACC8" w:themeColor="accent1"/>
              <w:bottom w:val="single" w:sz="4" w:space="0" w:color="00ACC8" w:themeColor="accent1"/>
              <w:right w:val="single" w:sz="4" w:space="0" w:color="00ACC8" w:themeColor="accent1"/>
            </w:tcBorders>
          </w:tcPr>
          <w:p w14:paraId="761FE6C3" w14:textId="77777777" w:rsidR="00A160DE" w:rsidRDefault="008D7B3E" w:rsidP="00442A90">
            <w:pPr>
              <w:pStyle w:val="BodyText"/>
              <w:numPr>
                <w:ilvl w:val="0"/>
                <w:numId w:val="29"/>
              </w:numPr>
            </w:pPr>
            <w:r>
              <w:t>All islands synchronized.</w:t>
            </w:r>
          </w:p>
          <w:p w14:paraId="6E8924EA" w14:textId="1FBB3087" w:rsidR="008D7B3E" w:rsidRDefault="008D7B3E" w:rsidP="00442A90">
            <w:pPr>
              <w:pStyle w:val="BodyText"/>
              <w:numPr>
                <w:ilvl w:val="0"/>
                <w:numId w:val="29"/>
              </w:numPr>
            </w:pPr>
            <w:r>
              <w:t>Restoration effort focused on restoring load.</w:t>
            </w:r>
          </w:p>
        </w:tc>
      </w:tr>
      <w:tr w:rsidR="00A160DE" w14:paraId="6C356F73" w14:textId="77777777" w:rsidTr="00442A90">
        <w:tc>
          <w:tcPr>
            <w:tcW w:w="1255" w:type="dxa"/>
            <w:tcBorders>
              <w:top w:val="single" w:sz="4" w:space="0" w:color="00ACC8" w:themeColor="accent1"/>
              <w:left w:val="single" w:sz="4" w:space="0" w:color="00ACC8" w:themeColor="accent1"/>
              <w:bottom w:val="single" w:sz="4" w:space="0" w:color="00ACC8" w:themeColor="accent1"/>
            </w:tcBorders>
          </w:tcPr>
          <w:p w14:paraId="2F983E0C" w14:textId="40E4AC85" w:rsidR="00A160DE" w:rsidRPr="00442A90" w:rsidRDefault="00A160DE" w:rsidP="00442A90">
            <w:pPr>
              <w:pStyle w:val="BodyText"/>
              <w:rPr>
                <w:b/>
              </w:rPr>
            </w:pPr>
            <w:r w:rsidRPr="00442A90">
              <w:rPr>
                <w:b/>
              </w:rPr>
              <w:t>13-16</w:t>
            </w:r>
          </w:p>
        </w:tc>
        <w:tc>
          <w:tcPr>
            <w:tcW w:w="1980" w:type="dxa"/>
            <w:tcBorders>
              <w:bottom w:val="single" w:sz="4" w:space="0" w:color="00ACC8" w:themeColor="accent1"/>
            </w:tcBorders>
          </w:tcPr>
          <w:p w14:paraId="7E911438" w14:textId="1DD58C14" w:rsidR="00A160DE" w:rsidRDefault="00A160DE" w:rsidP="00442A90">
            <w:pPr>
              <w:pStyle w:val="BodyText"/>
            </w:pPr>
            <w:r>
              <w:t>Special</w:t>
            </w:r>
          </w:p>
        </w:tc>
        <w:tc>
          <w:tcPr>
            <w:tcW w:w="5765" w:type="dxa"/>
            <w:tcBorders>
              <w:top w:val="single" w:sz="4" w:space="0" w:color="00ACC8" w:themeColor="accent1"/>
              <w:bottom w:val="single" w:sz="4" w:space="0" w:color="00ACC8" w:themeColor="accent1"/>
              <w:right w:val="single" w:sz="4" w:space="0" w:color="00ACC8" w:themeColor="accent1"/>
            </w:tcBorders>
          </w:tcPr>
          <w:p w14:paraId="415A97B4" w14:textId="77777777" w:rsidR="008D7B3E" w:rsidRDefault="008D7B3E" w:rsidP="00442A90">
            <w:pPr>
              <w:pStyle w:val="sarah"/>
              <w:numPr>
                <w:ilvl w:val="0"/>
                <w:numId w:val="31"/>
              </w:numPr>
            </w:pPr>
            <w:r>
              <w:t>State Estimator and Contingency Analysis begins to solve successfully.</w:t>
            </w:r>
          </w:p>
          <w:p w14:paraId="4B7AADDB" w14:textId="77777777" w:rsidR="008D7B3E" w:rsidRDefault="008D7B3E" w:rsidP="00442A90">
            <w:pPr>
              <w:pStyle w:val="sarah"/>
              <w:numPr>
                <w:ilvl w:val="0"/>
                <w:numId w:val="31"/>
              </w:numPr>
            </w:pPr>
            <w:r>
              <w:t>Adjusted generation and load to relieve post-contingent thermal overloads and high/low voltage issues.</w:t>
            </w:r>
          </w:p>
          <w:p w14:paraId="1EC19B96" w14:textId="5C832069" w:rsidR="00A160DE" w:rsidRDefault="008D7B3E" w:rsidP="00442A90">
            <w:pPr>
              <w:pStyle w:val="sarah"/>
              <w:numPr>
                <w:ilvl w:val="0"/>
                <w:numId w:val="31"/>
              </w:numPr>
            </w:pPr>
            <w:r>
              <w:t>N-to-H interface power flow issues limited the pace of restoration.</w:t>
            </w:r>
          </w:p>
        </w:tc>
      </w:tr>
      <w:tr w:rsidR="00A160DE" w14:paraId="14B429B5" w14:textId="77777777" w:rsidTr="00442A90">
        <w:tc>
          <w:tcPr>
            <w:tcW w:w="1255" w:type="dxa"/>
            <w:tcBorders>
              <w:top w:val="single" w:sz="4" w:space="0" w:color="00ACC8" w:themeColor="accent1"/>
              <w:left w:val="single" w:sz="4" w:space="0" w:color="00ACC8" w:themeColor="accent1"/>
              <w:bottom w:val="single" w:sz="4" w:space="0" w:color="auto"/>
            </w:tcBorders>
          </w:tcPr>
          <w:p w14:paraId="59018709" w14:textId="246BA42C" w:rsidR="00A160DE" w:rsidRPr="00442A90" w:rsidRDefault="00A160DE" w:rsidP="00442A90">
            <w:pPr>
              <w:pStyle w:val="BodyText"/>
              <w:rPr>
                <w:b/>
              </w:rPr>
            </w:pPr>
            <w:r w:rsidRPr="00442A90">
              <w:rPr>
                <w:b/>
              </w:rPr>
              <w:t>16-32</w:t>
            </w:r>
          </w:p>
        </w:tc>
        <w:tc>
          <w:tcPr>
            <w:tcW w:w="1980" w:type="dxa"/>
            <w:tcBorders>
              <w:top w:val="single" w:sz="4" w:space="0" w:color="00ACC8" w:themeColor="accent1"/>
              <w:bottom w:val="single" w:sz="4" w:space="0" w:color="auto"/>
            </w:tcBorders>
          </w:tcPr>
          <w:p w14:paraId="2AA652A4" w14:textId="5085FBB5" w:rsidR="00A160DE" w:rsidRDefault="00A160DE" w:rsidP="00442A90">
            <w:pPr>
              <w:pStyle w:val="BodyText"/>
            </w:pPr>
            <w:r>
              <w:t>Special</w:t>
            </w:r>
          </w:p>
        </w:tc>
        <w:tc>
          <w:tcPr>
            <w:tcW w:w="5765" w:type="dxa"/>
            <w:tcBorders>
              <w:top w:val="single" w:sz="4" w:space="0" w:color="00ACC8" w:themeColor="accent1"/>
              <w:bottom w:val="single" w:sz="4" w:space="0" w:color="auto"/>
              <w:right w:val="single" w:sz="4" w:space="0" w:color="00ACC8" w:themeColor="accent1"/>
            </w:tcBorders>
          </w:tcPr>
          <w:p w14:paraId="2CEDD519" w14:textId="77777777" w:rsidR="008D7B3E" w:rsidRDefault="008D7B3E" w:rsidP="00442A90">
            <w:pPr>
              <w:pStyle w:val="sarah"/>
              <w:numPr>
                <w:ilvl w:val="0"/>
                <w:numId w:val="33"/>
              </w:numPr>
            </w:pPr>
            <w:r>
              <w:t>Continued Load and Generation restoration.</w:t>
            </w:r>
          </w:p>
          <w:p w14:paraId="49BD2668" w14:textId="3B14FE0B" w:rsidR="00A160DE" w:rsidRDefault="008D7B3E" w:rsidP="00442A90">
            <w:pPr>
              <w:pStyle w:val="BodyText"/>
              <w:numPr>
                <w:ilvl w:val="0"/>
                <w:numId w:val="33"/>
              </w:numPr>
            </w:pPr>
            <w:r>
              <w:t>Generator loading and power flow issues with NRG on Constant Frequency Control (Houston area) and load restoration continuing in Western Texas</w:t>
            </w:r>
          </w:p>
        </w:tc>
      </w:tr>
    </w:tbl>
    <w:p w14:paraId="34C26662" w14:textId="387F11CA" w:rsidR="00286BF2" w:rsidRDefault="00286BF2" w:rsidP="00442A90">
      <w:pPr>
        <w:pStyle w:val="sarah"/>
        <w:numPr>
          <w:ilvl w:val="0"/>
          <w:numId w:val="0"/>
        </w:numPr>
        <w:rPr>
          <w:b/>
        </w:rPr>
      </w:pPr>
    </w:p>
    <w:p w14:paraId="53B46D8A" w14:textId="3BE3C44A" w:rsidR="00DA3E5F" w:rsidRDefault="00850669" w:rsidP="00442A90">
      <w:pPr>
        <w:pStyle w:val="cutline"/>
        <w:jc w:val="left"/>
        <w:rPr>
          <w:b/>
          <w:bCs/>
        </w:rPr>
      </w:pPr>
      <w:r>
        <w:rPr>
          <w:b/>
          <w:noProof/>
        </w:rPr>
        <w:drawing>
          <wp:anchor distT="0" distB="0" distL="114300" distR="114300" simplePos="0" relativeHeight="251667456" behindDoc="0" locked="0" layoutInCell="1" allowOverlap="1" wp14:anchorId="0DF24A5A" wp14:editId="1FD252B6">
            <wp:simplePos x="0" y="0"/>
            <wp:positionH relativeFrom="margin">
              <wp:align>left</wp:align>
            </wp:positionH>
            <wp:positionV relativeFrom="paragraph">
              <wp:posOffset>233680</wp:posOffset>
            </wp:positionV>
            <wp:extent cx="5632450" cy="5239385"/>
            <wp:effectExtent l="0" t="0" r="635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32450" cy="5239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rPr>
        <w:t>Final Transmission System Snapshot</w:t>
      </w:r>
    </w:p>
    <w:p w14:paraId="105130BB" w14:textId="77777777" w:rsidR="007F7D17" w:rsidRPr="00442A90" w:rsidRDefault="007F7D17" w:rsidP="00442A90">
      <w:pPr>
        <w:pStyle w:val="cutline"/>
        <w:jc w:val="left"/>
        <w:rPr>
          <w:b/>
          <w:bCs/>
        </w:rPr>
      </w:pPr>
    </w:p>
    <w:p w14:paraId="4BDB1AFA" w14:textId="58105123" w:rsidR="00DA3E5F" w:rsidRPr="004A0817" w:rsidRDefault="00DA3E5F" w:rsidP="00DA3E5F">
      <w:pPr>
        <w:pStyle w:val="Heading1"/>
      </w:pPr>
      <w:bookmarkStart w:id="261" w:name="_Toc448137931"/>
      <w:bookmarkStart w:id="262" w:name="_Toc448385981"/>
      <w:r>
        <w:t xml:space="preserve">Participant </w:t>
      </w:r>
      <w:r w:rsidRPr="004A0817">
        <w:t>Feedback</w:t>
      </w:r>
      <w:bookmarkEnd w:id="261"/>
      <w:bookmarkEnd w:id="262"/>
    </w:p>
    <w:p w14:paraId="2FA6CC7A" w14:textId="385952C9" w:rsidR="00DA3E5F" w:rsidRDefault="00122C71" w:rsidP="00DA3E5F">
      <w:pPr>
        <w:pStyle w:val="BodyText"/>
        <w:jc w:val="both"/>
      </w:pPr>
      <w:r>
        <w:t xml:space="preserve">Honest feedback was solicited from </w:t>
      </w:r>
      <w:r w:rsidR="00DA3E5F" w:rsidRPr="004A0817">
        <w:t>participant</w:t>
      </w:r>
      <w:r>
        <w:t>s</w:t>
      </w:r>
      <w:r w:rsidR="00DA3E5F" w:rsidRPr="004A0817">
        <w:t xml:space="preserve"> </w:t>
      </w:r>
      <w:r>
        <w:t>at the end of each training session</w:t>
      </w:r>
      <w:r w:rsidR="00FA5547">
        <w:t>.</w:t>
      </w:r>
      <w:r w:rsidR="00DA3E5F" w:rsidRPr="004A0817">
        <w:t xml:space="preserve"> </w:t>
      </w:r>
      <w:r w:rsidR="00DA3E5F">
        <w:t>A change in approach for the 2016 Black Start presentation was the incorporation of group activities for the participants during the instructor-led portion of the training. Feedback on this change was positive overall, with the recommendation that smaller groups for the activities would have been more effective. The simulation part of the exercise was well-received, however feedback from some operators indicated a lack of participation due to system topology (starting from a completely blacked-out situation). Operators also commented negatively on the extended periods of paused simulation time. This issue was minimized in later weeks by encouraging oper</w:t>
      </w:r>
      <w:r w:rsidR="009503C6">
        <w:t>a</w:t>
      </w:r>
      <w:r w:rsidR="00DA3E5F">
        <w:t xml:space="preserve">tors to self-identify any switching errors that may have been the cause of an </w:t>
      </w:r>
      <w:r w:rsidR="00B236F7">
        <w:t>i</w:t>
      </w:r>
      <w:r w:rsidR="00DA3E5F">
        <w:t>sland collapse.</w:t>
      </w:r>
    </w:p>
    <w:p w14:paraId="2CFF2E20" w14:textId="77777777" w:rsidR="00DA3E5F" w:rsidRDefault="00DA3E5F" w:rsidP="00DA3E5F">
      <w:pPr>
        <w:pStyle w:val="Heading1"/>
      </w:pPr>
      <w:bookmarkStart w:id="263" w:name="_Toc448137932"/>
      <w:bookmarkStart w:id="264" w:name="_Toc448385982"/>
      <w:r>
        <w:t>Lessons Learned</w:t>
      </w:r>
      <w:bookmarkEnd w:id="263"/>
      <w:bookmarkEnd w:id="264"/>
    </w:p>
    <w:p w14:paraId="67575E9A" w14:textId="53C65ECC" w:rsidR="004502FA" w:rsidRDefault="00DA3E5F" w:rsidP="00DA3E5F">
      <w:pPr>
        <w:pStyle w:val="BodyText"/>
        <w:jc w:val="both"/>
      </w:pPr>
      <w:r>
        <w:t xml:space="preserve">The </w:t>
      </w:r>
      <w:r w:rsidR="006B7F04">
        <w:t xml:space="preserve">2016 </w:t>
      </w:r>
      <w:r>
        <w:t>restoration</w:t>
      </w:r>
      <w:r w:rsidR="006B7F04">
        <w:t xml:space="preserve"> replicated the total system restoration seen in 2015.</w:t>
      </w:r>
      <w:r>
        <w:t xml:space="preserve"> </w:t>
      </w:r>
      <w:r w:rsidR="006B7F04">
        <w:t>I</w:t>
      </w:r>
      <w:r>
        <w:t>tems of note are listed below.</w:t>
      </w:r>
    </w:p>
    <w:p w14:paraId="19DB1B77" w14:textId="1B547AAC" w:rsidR="00DA3E5F" w:rsidRPr="00431569" w:rsidRDefault="00DA3E5F" w:rsidP="00442A90">
      <w:pPr>
        <w:pStyle w:val="sarah"/>
        <w:numPr>
          <w:ilvl w:val="0"/>
          <w:numId w:val="21"/>
        </w:numPr>
        <w:ind w:left="576" w:hanging="288"/>
      </w:pPr>
      <w:r w:rsidRPr="00431569">
        <w:t>Outages selected did not provide a uniform training opportunity for all Transmission Operators</w:t>
      </w:r>
      <w:r w:rsidR="00B236F7">
        <w:t>.</w:t>
      </w:r>
    </w:p>
    <w:p w14:paraId="35E48435" w14:textId="7C2F952B" w:rsidR="00DA3E5F" w:rsidRPr="00431569" w:rsidRDefault="00DA3E5F" w:rsidP="00442A90">
      <w:pPr>
        <w:pStyle w:val="sarah"/>
        <w:numPr>
          <w:ilvl w:val="0"/>
          <w:numId w:val="0"/>
        </w:numPr>
        <w:ind w:left="576"/>
      </w:pPr>
      <w:r w:rsidRPr="00431569">
        <w:t>The case modeled was November 28, 2015. For the first time, outages for that day were also modeled and the operators successfully recognized, communicated, and modified their Black Start plan appropriately. Because the outages were from a specific day, the outages only affected two Transmission Operators.</w:t>
      </w:r>
    </w:p>
    <w:p w14:paraId="0735C933" w14:textId="777601C8" w:rsidR="00DA3E5F" w:rsidRPr="001E5B2F" w:rsidRDefault="00DA3E5F" w:rsidP="00020EE0">
      <w:pPr>
        <w:pStyle w:val="sarah"/>
      </w:pPr>
      <w:r w:rsidRPr="001E5B2F">
        <w:t>ERCOT coordination and communication of load/transmission restoration following synchronization was inconsistent</w:t>
      </w:r>
      <w:r w:rsidR="00B236F7">
        <w:t>.</w:t>
      </w:r>
    </w:p>
    <w:p w14:paraId="4C9C5B79" w14:textId="487A8363" w:rsidR="00DA3E5F" w:rsidRPr="001E5B2F" w:rsidRDefault="00DA3E5F" w:rsidP="00185E98">
      <w:pPr>
        <w:pStyle w:val="BodyText"/>
        <w:ind w:left="576"/>
        <w:jc w:val="both"/>
      </w:pPr>
      <w:r w:rsidRPr="001E5B2F">
        <w:t>Black Start plans are written to outline the course of action from the initial event to reaching synchronization points. Restoration performance following individual Black Start plans was observed to be consistent week-to-week. After the in</w:t>
      </w:r>
      <w:r w:rsidR="006460ED">
        <w:t>i</w:t>
      </w:r>
      <w:r w:rsidRPr="001E5B2F">
        <w:t>tial island synchronizations</w:t>
      </w:r>
      <w:r w:rsidR="00B236F7">
        <w:t>;</w:t>
      </w:r>
      <w:r w:rsidRPr="001E5B2F">
        <w:t xml:space="preserve"> however, the operators used different approaches with varying results. Depending on the approach taken, operators struggled to control voltage, thermal, or generator loading (MW and MVAR) issues that would arise. The transition of frequency control from single-unit isochronous control to QSE-fleet Constant Freque</w:t>
      </w:r>
      <w:r w:rsidR="006460ED">
        <w:t>n</w:t>
      </w:r>
      <w:r w:rsidRPr="001E5B2F">
        <w:t>cy Control was also an area of inconsistent performance.</w:t>
      </w:r>
    </w:p>
    <w:p w14:paraId="0BC04D58" w14:textId="2F1164C8" w:rsidR="00DA3E5F" w:rsidRPr="001E5B2F" w:rsidRDefault="00DA3E5F" w:rsidP="00020EE0">
      <w:pPr>
        <w:pStyle w:val="sarah"/>
      </w:pPr>
      <w:r w:rsidRPr="001E5B2F">
        <w:t>Communication between Generator Operators and Transmission Operators was inconsistent</w:t>
      </w:r>
      <w:r w:rsidR="00B236F7">
        <w:t>.</w:t>
      </w:r>
    </w:p>
    <w:p w14:paraId="6F3E07E8" w14:textId="320DD1D8" w:rsidR="00DA3E5F" w:rsidRPr="001E5B2F" w:rsidRDefault="00DA3E5F" w:rsidP="00185E98">
      <w:pPr>
        <w:pStyle w:val="BodyText"/>
        <w:ind w:left="576"/>
        <w:jc w:val="both"/>
      </w:pPr>
      <w:r w:rsidRPr="001E5B2F">
        <w:t xml:space="preserve">Generator operators had two new tools available for the 2016 Black Start: a Generator Control Panel that identified individual generator MW/MVAR ratings, and a Generator Summary Panel that summarized the real-time MW/MVAR generator loading throughout the simulation. The </w:t>
      </w:r>
      <w:r w:rsidR="00DA1DDF">
        <w:t>G</w:t>
      </w:r>
      <w:r w:rsidR="00DA1DDF" w:rsidRPr="001E5B2F">
        <w:t xml:space="preserve">enerator </w:t>
      </w:r>
      <w:r w:rsidR="00DA1DDF">
        <w:t>O</w:t>
      </w:r>
      <w:r w:rsidR="00DA1DDF" w:rsidRPr="001E5B2F">
        <w:t xml:space="preserve">perators </w:t>
      </w:r>
      <w:r w:rsidRPr="001E5B2F">
        <w:t>did not commun</w:t>
      </w:r>
      <w:r w:rsidR="006460ED">
        <w:t>i</w:t>
      </w:r>
      <w:r w:rsidRPr="001E5B2F">
        <w:t>cate consistently, or in some cases timely enough, to prevent adverse conditions from arising.</w:t>
      </w:r>
    </w:p>
    <w:p w14:paraId="6A540920" w14:textId="57381426" w:rsidR="00DA3E5F" w:rsidRPr="001E5B2F" w:rsidRDefault="00DA3E5F" w:rsidP="00020EE0">
      <w:pPr>
        <w:pStyle w:val="sarah"/>
      </w:pPr>
      <w:r w:rsidRPr="001E5B2F">
        <w:t xml:space="preserve">The majority of </w:t>
      </w:r>
      <w:r w:rsidR="00DA1DDF">
        <w:t>i</w:t>
      </w:r>
      <w:r w:rsidR="00DA1DDF" w:rsidRPr="001E5B2F">
        <w:t xml:space="preserve">sland </w:t>
      </w:r>
      <w:r w:rsidRPr="001E5B2F">
        <w:t>collapses were due to improper switching actions</w:t>
      </w:r>
      <w:r w:rsidR="00DA1DDF">
        <w:t>.</w:t>
      </w:r>
    </w:p>
    <w:p w14:paraId="4F7168B3" w14:textId="006971F2" w:rsidR="00DA3E5F" w:rsidRPr="001E5B2F" w:rsidRDefault="00DA3E5F" w:rsidP="00185E98">
      <w:pPr>
        <w:pStyle w:val="BodyText"/>
        <w:ind w:left="576"/>
        <w:jc w:val="both"/>
      </w:pPr>
      <w:r w:rsidRPr="001E5B2F">
        <w:t xml:space="preserve">Transmission Operators did not consistently follow proper switching guidelines for a restoration scenario. Operators were observed switching with disconnects when breakers were available, failing to clear transmission paths prior to energization, and inadvertently synchronizing </w:t>
      </w:r>
      <w:r w:rsidR="00DA1DDF">
        <w:t>i</w:t>
      </w:r>
      <w:r w:rsidR="00DA1DDF" w:rsidRPr="001E5B2F">
        <w:t>slands</w:t>
      </w:r>
      <w:r w:rsidRPr="001E5B2F">
        <w:t>.</w:t>
      </w:r>
    </w:p>
    <w:p w14:paraId="1C8915BC" w14:textId="0D72B9C0" w:rsidR="00DA3E5F" w:rsidRPr="001E5B2F" w:rsidRDefault="00DA3E5F" w:rsidP="00020EE0">
      <w:pPr>
        <w:pStyle w:val="sarah"/>
      </w:pPr>
      <w:r w:rsidRPr="001E5B2F">
        <w:t>Participants were not consistently engaged throughout the entire simulation</w:t>
      </w:r>
      <w:r w:rsidR="00DA1DDF">
        <w:t>.</w:t>
      </w:r>
    </w:p>
    <w:p w14:paraId="50AA8453" w14:textId="6844EFB5" w:rsidR="00DA3E5F" w:rsidRPr="001E5B2F" w:rsidRDefault="00DA3E5F" w:rsidP="00185E98">
      <w:pPr>
        <w:pStyle w:val="BodyText"/>
        <w:ind w:left="576"/>
        <w:jc w:val="both"/>
      </w:pPr>
      <w:r w:rsidRPr="001E5B2F">
        <w:t>Operators not part of the initial Black Start restoration (from in</w:t>
      </w:r>
      <w:r w:rsidR="006460ED">
        <w:t>i</w:t>
      </w:r>
      <w:r w:rsidRPr="001E5B2F">
        <w:t xml:space="preserve">tial event through </w:t>
      </w:r>
      <w:r w:rsidR="002B47E7">
        <w:t>i</w:t>
      </w:r>
      <w:r w:rsidRPr="001E5B2F">
        <w:t>sland synchronization) were not able to perform tasks until much later in the restoration due to transmission topology.</w:t>
      </w:r>
    </w:p>
    <w:p w14:paraId="6CDB24EC" w14:textId="1329E2D3" w:rsidR="00DA3E5F" w:rsidRPr="001E5B2F" w:rsidRDefault="00DA3E5F" w:rsidP="00020EE0">
      <w:pPr>
        <w:pStyle w:val="sarah"/>
      </w:pPr>
      <w:r w:rsidRPr="001E5B2F">
        <w:t>Operator logs were inadequate, inconsistent, and incomplete</w:t>
      </w:r>
      <w:r w:rsidR="00DA1DDF">
        <w:t>.</w:t>
      </w:r>
    </w:p>
    <w:p w14:paraId="43C9FD40" w14:textId="77777777" w:rsidR="00DA3E5F" w:rsidRPr="001E5B2F" w:rsidRDefault="00DA3E5F" w:rsidP="00185E98">
      <w:pPr>
        <w:pStyle w:val="BodyText"/>
        <w:ind w:left="576"/>
        <w:jc w:val="both"/>
      </w:pPr>
      <w:r w:rsidRPr="001E5B2F">
        <w:t>The logs collected at the completion of each week varied in the amount and quality of information captured and recorded by operators.</w:t>
      </w:r>
    </w:p>
    <w:p w14:paraId="625E2189" w14:textId="4EB0C2E8" w:rsidR="00DA3E5F" w:rsidRPr="001E5B2F" w:rsidRDefault="00DA3E5F" w:rsidP="00020EE0">
      <w:pPr>
        <w:pStyle w:val="sarah"/>
      </w:pPr>
      <w:r w:rsidRPr="001E5B2F">
        <w:t>Modeling data for generators is incomplete</w:t>
      </w:r>
      <w:r w:rsidR="00DA1DDF">
        <w:t>.</w:t>
      </w:r>
    </w:p>
    <w:p w14:paraId="47171401" w14:textId="77777777" w:rsidR="00DA3E5F" w:rsidRDefault="00DA3E5F" w:rsidP="00185E98">
      <w:pPr>
        <w:pStyle w:val="BodyText"/>
        <w:ind w:left="576"/>
        <w:jc w:val="both"/>
      </w:pPr>
      <w:r w:rsidRPr="001E5B2F">
        <w:t>Generator capabilities are incomplete (i.e., Lower Emergency Limits [LEL], Isochronous-mode [Isoc] capable, Constant Frequency Control [CFC] capable), creating an unrealistic simulation.</w:t>
      </w:r>
    </w:p>
    <w:p w14:paraId="4FE28A21" w14:textId="77777777" w:rsidR="00C67CB6" w:rsidRPr="00AE2B52" w:rsidRDefault="00C67CB6" w:rsidP="00C67CB6">
      <w:pPr>
        <w:pStyle w:val="Heading1"/>
      </w:pPr>
      <w:bookmarkStart w:id="265" w:name="_Toc448385983"/>
      <w:r>
        <w:t>Recomendatio</w:t>
      </w:r>
      <w:r w:rsidRPr="00AE2B52">
        <w:t>n</w:t>
      </w:r>
      <w:bookmarkEnd w:id="265"/>
    </w:p>
    <w:p w14:paraId="40D9EDFA" w14:textId="77777777" w:rsidR="00C67CB6" w:rsidRDefault="00C67CB6" w:rsidP="00C67CB6">
      <w:pPr>
        <w:pStyle w:val="BodyText"/>
        <w:jc w:val="both"/>
      </w:pPr>
      <w:r>
        <w:t>While a record amount of load was restored during the 2016 Black Start drill, skill and knowledge gaps among Generator, Transmission, and ERCOT operators still remain. The current Black Start drill is designed as a performance event rather than as a focused training exercise, which limits the instructional opportunities when gaps are identified. Future restoration drills can incorporate performance and training elements to maximize the benefit for all participants. A proposed training template is broken up into modules as shown in the following tables.</w:t>
      </w:r>
    </w:p>
    <w:tbl>
      <w:tblPr>
        <w:tblStyle w:val="TableGrid"/>
        <w:tblW w:w="9445" w:type="dxa"/>
        <w:jc w:val="center"/>
        <w:tblLayout w:type="fixed"/>
        <w:tblLook w:val="04A0" w:firstRow="1" w:lastRow="0" w:firstColumn="1" w:lastColumn="0" w:noHBand="0" w:noVBand="1"/>
      </w:tblPr>
      <w:tblGrid>
        <w:gridCol w:w="1705"/>
        <w:gridCol w:w="1800"/>
        <w:gridCol w:w="270"/>
        <w:gridCol w:w="1260"/>
        <w:gridCol w:w="1400"/>
        <w:gridCol w:w="260"/>
        <w:gridCol w:w="1220"/>
        <w:gridCol w:w="1530"/>
      </w:tblGrid>
      <w:tr w:rsidR="00C67CB6" w14:paraId="07A50243" w14:textId="77777777" w:rsidTr="00C11867">
        <w:trPr>
          <w:jc w:val="center"/>
        </w:trPr>
        <w:tc>
          <w:tcPr>
            <w:tcW w:w="3505" w:type="dxa"/>
            <w:gridSpan w:val="2"/>
            <w:tcBorders>
              <w:top w:val="single" w:sz="4" w:space="0" w:color="auto"/>
              <w:left w:val="single" w:sz="4" w:space="0" w:color="00ACC8" w:themeColor="accent1"/>
              <w:bottom w:val="single" w:sz="4" w:space="0" w:color="00ACC8" w:themeColor="accent1"/>
            </w:tcBorders>
            <w:vAlign w:val="center"/>
          </w:tcPr>
          <w:p w14:paraId="038B6F6F" w14:textId="77777777" w:rsidR="00C67CB6" w:rsidRPr="008B097B" w:rsidRDefault="00C67CB6" w:rsidP="00C11867">
            <w:pPr>
              <w:pStyle w:val="TableHeading"/>
            </w:pPr>
            <w:r w:rsidRPr="008B097B">
              <w:t>Day 1</w:t>
            </w:r>
          </w:p>
        </w:tc>
        <w:tc>
          <w:tcPr>
            <w:tcW w:w="270" w:type="dxa"/>
            <w:vMerge w:val="restart"/>
            <w:tcBorders>
              <w:top w:val="nil"/>
              <w:bottom w:val="nil"/>
            </w:tcBorders>
            <w:vAlign w:val="center"/>
          </w:tcPr>
          <w:p w14:paraId="173EA01C" w14:textId="77777777" w:rsidR="00C67CB6" w:rsidRDefault="00C67CB6" w:rsidP="00C11867">
            <w:pPr>
              <w:pStyle w:val="tablehead"/>
            </w:pPr>
          </w:p>
        </w:tc>
        <w:tc>
          <w:tcPr>
            <w:tcW w:w="2660" w:type="dxa"/>
            <w:gridSpan w:val="2"/>
            <w:tcBorders>
              <w:top w:val="single" w:sz="4" w:space="0" w:color="auto"/>
              <w:bottom w:val="single" w:sz="4" w:space="0" w:color="00ACC8" w:themeColor="accent1"/>
            </w:tcBorders>
            <w:vAlign w:val="center"/>
          </w:tcPr>
          <w:p w14:paraId="58912125" w14:textId="77777777" w:rsidR="00C67CB6" w:rsidRDefault="00C67CB6" w:rsidP="00C11867">
            <w:pPr>
              <w:pStyle w:val="TableHeading"/>
            </w:pPr>
            <w:r>
              <w:t>Day 2</w:t>
            </w:r>
          </w:p>
        </w:tc>
        <w:tc>
          <w:tcPr>
            <w:tcW w:w="260" w:type="dxa"/>
            <w:vMerge w:val="restart"/>
            <w:tcBorders>
              <w:top w:val="nil"/>
              <w:bottom w:val="nil"/>
            </w:tcBorders>
            <w:vAlign w:val="center"/>
          </w:tcPr>
          <w:p w14:paraId="52B17383" w14:textId="77777777" w:rsidR="00C67CB6" w:rsidRDefault="00C67CB6" w:rsidP="00C11867">
            <w:pPr>
              <w:pStyle w:val="tablehead"/>
            </w:pPr>
          </w:p>
        </w:tc>
        <w:tc>
          <w:tcPr>
            <w:tcW w:w="2750" w:type="dxa"/>
            <w:gridSpan w:val="2"/>
            <w:tcBorders>
              <w:top w:val="single" w:sz="4" w:space="0" w:color="auto"/>
              <w:bottom w:val="single" w:sz="4" w:space="0" w:color="00ACC8" w:themeColor="accent1"/>
              <w:right w:val="single" w:sz="4" w:space="0" w:color="00ACC8" w:themeColor="accent1"/>
            </w:tcBorders>
            <w:vAlign w:val="center"/>
          </w:tcPr>
          <w:p w14:paraId="7CA95814" w14:textId="77777777" w:rsidR="00C67CB6" w:rsidRDefault="00C67CB6" w:rsidP="00C11867">
            <w:pPr>
              <w:pStyle w:val="TableHeading"/>
            </w:pPr>
            <w:r>
              <w:t>Day 3</w:t>
            </w:r>
          </w:p>
        </w:tc>
      </w:tr>
      <w:tr w:rsidR="00C67CB6" w14:paraId="1834CCD4" w14:textId="77777777" w:rsidTr="00C11867">
        <w:trPr>
          <w:jc w:val="center"/>
        </w:trPr>
        <w:tc>
          <w:tcPr>
            <w:tcW w:w="1705" w:type="dxa"/>
            <w:tcBorders>
              <w:top w:val="single" w:sz="4" w:space="0" w:color="00ACC8" w:themeColor="accent1"/>
              <w:left w:val="single" w:sz="4" w:space="0" w:color="00ACC8" w:themeColor="accent1"/>
              <w:bottom w:val="single" w:sz="4" w:space="0" w:color="00ACC8" w:themeColor="accent1"/>
            </w:tcBorders>
            <w:vAlign w:val="center"/>
          </w:tcPr>
          <w:p w14:paraId="605475B7" w14:textId="77777777" w:rsidR="00C67CB6" w:rsidRDefault="00C67CB6" w:rsidP="00C11867">
            <w:pPr>
              <w:pStyle w:val="table"/>
            </w:pPr>
            <w:r>
              <w:t>1130-1230</w:t>
            </w:r>
          </w:p>
        </w:tc>
        <w:tc>
          <w:tcPr>
            <w:tcW w:w="1800" w:type="dxa"/>
            <w:tcBorders>
              <w:top w:val="single" w:sz="4" w:space="0" w:color="00ACC8" w:themeColor="accent1"/>
            </w:tcBorders>
            <w:vAlign w:val="center"/>
          </w:tcPr>
          <w:p w14:paraId="2334E239" w14:textId="77777777" w:rsidR="00C67CB6" w:rsidRDefault="00C67CB6" w:rsidP="00C11867">
            <w:pPr>
              <w:pStyle w:val="table"/>
            </w:pPr>
            <w:r>
              <w:t>Lunch</w:t>
            </w:r>
          </w:p>
        </w:tc>
        <w:tc>
          <w:tcPr>
            <w:tcW w:w="270" w:type="dxa"/>
            <w:vMerge/>
            <w:tcBorders>
              <w:bottom w:val="nil"/>
            </w:tcBorders>
            <w:vAlign w:val="center"/>
          </w:tcPr>
          <w:p w14:paraId="3ED75809" w14:textId="77777777" w:rsidR="00C67CB6" w:rsidRDefault="00C67CB6" w:rsidP="00C11867">
            <w:pPr>
              <w:pStyle w:val="tablehead"/>
            </w:pPr>
          </w:p>
        </w:tc>
        <w:tc>
          <w:tcPr>
            <w:tcW w:w="1260" w:type="dxa"/>
            <w:tcBorders>
              <w:top w:val="single" w:sz="4" w:space="0" w:color="00ACC8" w:themeColor="accent1"/>
            </w:tcBorders>
            <w:vAlign w:val="center"/>
          </w:tcPr>
          <w:p w14:paraId="66591501" w14:textId="77777777" w:rsidR="00C67CB6" w:rsidRDefault="00C67CB6" w:rsidP="00C11867">
            <w:pPr>
              <w:pStyle w:val="table"/>
            </w:pPr>
            <w:r>
              <w:t>0630-0700</w:t>
            </w:r>
          </w:p>
        </w:tc>
        <w:tc>
          <w:tcPr>
            <w:tcW w:w="1400" w:type="dxa"/>
            <w:tcBorders>
              <w:top w:val="single" w:sz="4" w:space="0" w:color="00ACC8" w:themeColor="accent1"/>
            </w:tcBorders>
            <w:vAlign w:val="center"/>
          </w:tcPr>
          <w:p w14:paraId="0287A900" w14:textId="77777777" w:rsidR="00C67CB6" w:rsidRDefault="00C67CB6" w:rsidP="00C11867">
            <w:pPr>
              <w:pStyle w:val="table"/>
            </w:pPr>
            <w:r>
              <w:t>Breakfast</w:t>
            </w:r>
          </w:p>
        </w:tc>
        <w:tc>
          <w:tcPr>
            <w:tcW w:w="260" w:type="dxa"/>
            <w:vMerge/>
            <w:tcBorders>
              <w:bottom w:val="nil"/>
            </w:tcBorders>
            <w:vAlign w:val="center"/>
          </w:tcPr>
          <w:p w14:paraId="296B0C1D" w14:textId="77777777" w:rsidR="00C67CB6" w:rsidRDefault="00C67CB6" w:rsidP="00C11867">
            <w:pPr>
              <w:pStyle w:val="table"/>
            </w:pPr>
          </w:p>
        </w:tc>
        <w:tc>
          <w:tcPr>
            <w:tcW w:w="1220" w:type="dxa"/>
            <w:tcBorders>
              <w:top w:val="single" w:sz="4" w:space="0" w:color="00ACC8" w:themeColor="accent1"/>
            </w:tcBorders>
            <w:vAlign w:val="center"/>
          </w:tcPr>
          <w:p w14:paraId="0ABC8756" w14:textId="77777777" w:rsidR="00C67CB6" w:rsidRDefault="00C67CB6" w:rsidP="00C11867">
            <w:pPr>
              <w:pStyle w:val="table"/>
            </w:pPr>
            <w:r>
              <w:t>0630-0700</w:t>
            </w:r>
          </w:p>
        </w:tc>
        <w:tc>
          <w:tcPr>
            <w:tcW w:w="1530" w:type="dxa"/>
            <w:tcBorders>
              <w:top w:val="single" w:sz="4" w:space="0" w:color="00ACC8" w:themeColor="accent1"/>
              <w:bottom w:val="single" w:sz="4" w:space="0" w:color="00ACC8" w:themeColor="accent1"/>
              <w:right w:val="single" w:sz="4" w:space="0" w:color="00ACC8" w:themeColor="accent1"/>
            </w:tcBorders>
            <w:vAlign w:val="center"/>
          </w:tcPr>
          <w:p w14:paraId="7DA0ADB4" w14:textId="77777777" w:rsidR="00C67CB6" w:rsidRDefault="00C67CB6" w:rsidP="00C11867">
            <w:pPr>
              <w:pStyle w:val="table"/>
            </w:pPr>
            <w:r>
              <w:t>Breakfast</w:t>
            </w:r>
          </w:p>
        </w:tc>
      </w:tr>
      <w:tr w:rsidR="00C67CB6" w14:paraId="1B18B3E3" w14:textId="77777777" w:rsidTr="00C11867">
        <w:trPr>
          <w:jc w:val="center"/>
        </w:trPr>
        <w:tc>
          <w:tcPr>
            <w:tcW w:w="1705" w:type="dxa"/>
            <w:tcBorders>
              <w:top w:val="single" w:sz="4" w:space="0" w:color="00ACC8" w:themeColor="accent1"/>
              <w:left w:val="single" w:sz="4" w:space="0" w:color="00ACC8" w:themeColor="accent1"/>
              <w:bottom w:val="single" w:sz="4" w:space="0" w:color="00ACC8" w:themeColor="accent1"/>
            </w:tcBorders>
            <w:vAlign w:val="center"/>
          </w:tcPr>
          <w:p w14:paraId="3CA28D00" w14:textId="77777777" w:rsidR="00C67CB6" w:rsidRDefault="00C67CB6" w:rsidP="00C11867">
            <w:pPr>
              <w:pStyle w:val="table"/>
            </w:pPr>
            <w:r>
              <w:t>1230-1300</w:t>
            </w:r>
          </w:p>
        </w:tc>
        <w:tc>
          <w:tcPr>
            <w:tcW w:w="1800" w:type="dxa"/>
            <w:vAlign w:val="center"/>
          </w:tcPr>
          <w:p w14:paraId="43080461" w14:textId="77777777" w:rsidR="00C67CB6" w:rsidRDefault="00C67CB6" w:rsidP="00C11867">
            <w:pPr>
              <w:pStyle w:val="table"/>
            </w:pPr>
            <w:r>
              <w:t xml:space="preserve">Introduction </w:t>
            </w:r>
          </w:p>
        </w:tc>
        <w:tc>
          <w:tcPr>
            <w:tcW w:w="270" w:type="dxa"/>
            <w:vMerge/>
            <w:tcBorders>
              <w:bottom w:val="nil"/>
            </w:tcBorders>
            <w:vAlign w:val="center"/>
          </w:tcPr>
          <w:p w14:paraId="259CCCBD" w14:textId="77777777" w:rsidR="00C67CB6" w:rsidRDefault="00C67CB6" w:rsidP="00C11867">
            <w:pPr>
              <w:pStyle w:val="tablehead"/>
            </w:pPr>
          </w:p>
        </w:tc>
        <w:tc>
          <w:tcPr>
            <w:tcW w:w="1260" w:type="dxa"/>
            <w:vAlign w:val="center"/>
          </w:tcPr>
          <w:p w14:paraId="0B673DCA" w14:textId="77777777" w:rsidR="00C67CB6" w:rsidRDefault="00C67CB6" w:rsidP="00C11867">
            <w:pPr>
              <w:pStyle w:val="table"/>
            </w:pPr>
            <w:r>
              <w:t>0700-1200</w:t>
            </w:r>
          </w:p>
        </w:tc>
        <w:tc>
          <w:tcPr>
            <w:tcW w:w="1400" w:type="dxa"/>
            <w:vAlign w:val="center"/>
          </w:tcPr>
          <w:p w14:paraId="12BA1AAB" w14:textId="77777777" w:rsidR="00C67CB6" w:rsidRDefault="00C67CB6" w:rsidP="00C11867">
            <w:pPr>
              <w:pStyle w:val="table"/>
            </w:pPr>
            <w:r>
              <w:t>Blackout, System Assessment, and Initial Restoration Module</w:t>
            </w:r>
          </w:p>
        </w:tc>
        <w:tc>
          <w:tcPr>
            <w:tcW w:w="260" w:type="dxa"/>
            <w:vMerge/>
            <w:tcBorders>
              <w:bottom w:val="nil"/>
            </w:tcBorders>
            <w:vAlign w:val="center"/>
          </w:tcPr>
          <w:p w14:paraId="089DD303" w14:textId="77777777" w:rsidR="00C67CB6" w:rsidRDefault="00C67CB6" w:rsidP="00C11867">
            <w:pPr>
              <w:pStyle w:val="table"/>
            </w:pPr>
          </w:p>
        </w:tc>
        <w:tc>
          <w:tcPr>
            <w:tcW w:w="1220" w:type="dxa"/>
            <w:vAlign w:val="center"/>
          </w:tcPr>
          <w:p w14:paraId="29B4D91B" w14:textId="77777777" w:rsidR="00C67CB6" w:rsidRDefault="00C67CB6" w:rsidP="00C11867">
            <w:pPr>
              <w:pStyle w:val="table"/>
            </w:pPr>
            <w:r>
              <w:t>0700-1100</w:t>
            </w:r>
          </w:p>
        </w:tc>
        <w:tc>
          <w:tcPr>
            <w:tcW w:w="1530" w:type="dxa"/>
            <w:tcBorders>
              <w:top w:val="single" w:sz="4" w:space="0" w:color="00ACC8" w:themeColor="accent1"/>
              <w:bottom w:val="single" w:sz="4" w:space="0" w:color="00ACC8" w:themeColor="accent1"/>
              <w:right w:val="single" w:sz="4" w:space="0" w:color="00ACC8" w:themeColor="accent1"/>
            </w:tcBorders>
            <w:vAlign w:val="center"/>
          </w:tcPr>
          <w:p w14:paraId="19F9B16F" w14:textId="77777777" w:rsidR="00C67CB6" w:rsidRDefault="00C67CB6" w:rsidP="00C11867">
            <w:pPr>
              <w:pStyle w:val="table"/>
            </w:pPr>
            <w:r>
              <w:t>Cumulative System Restoration Module</w:t>
            </w:r>
          </w:p>
        </w:tc>
      </w:tr>
      <w:tr w:rsidR="00C67CB6" w14:paraId="7AB9ED51" w14:textId="77777777" w:rsidTr="00C11867">
        <w:trPr>
          <w:jc w:val="center"/>
        </w:trPr>
        <w:tc>
          <w:tcPr>
            <w:tcW w:w="1705" w:type="dxa"/>
            <w:vMerge w:val="restart"/>
            <w:tcBorders>
              <w:top w:val="single" w:sz="4" w:space="0" w:color="00ACC8" w:themeColor="accent1"/>
              <w:left w:val="single" w:sz="4" w:space="0" w:color="00ACC8" w:themeColor="accent1"/>
              <w:bottom w:val="single" w:sz="4" w:space="0" w:color="00ACC8" w:themeColor="accent1"/>
            </w:tcBorders>
            <w:vAlign w:val="center"/>
          </w:tcPr>
          <w:p w14:paraId="1DB9C6A9" w14:textId="77777777" w:rsidR="00C67CB6" w:rsidRDefault="00C67CB6" w:rsidP="00C11867">
            <w:pPr>
              <w:pStyle w:val="table"/>
            </w:pPr>
            <w:r>
              <w:t>Targeted topics</w:t>
            </w:r>
          </w:p>
          <w:p w14:paraId="7B0707E6" w14:textId="77777777" w:rsidR="00C67CB6" w:rsidRDefault="00C67CB6" w:rsidP="00C11867">
            <w:pPr>
              <w:pStyle w:val="table"/>
            </w:pPr>
            <w:r>
              <w:t>1300-1600</w:t>
            </w:r>
          </w:p>
        </w:tc>
        <w:tc>
          <w:tcPr>
            <w:tcW w:w="1800" w:type="dxa"/>
            <w:vAlign w:val="center"/>
          </w:tcPr>
          <w:p w14:paraId="57C6FFD5" w14:textId="77777777" w:rsidR="00C67CB6" w:rsidRDefault="00C67CB6" w:rsidP="00C11867">
            <w:pPr>
              <w:pStyle w:val="table"/>
            </w:pPr>
            <w:r>
              <w:t>Basic Restoration Principles Module</w:t>
            </w:r>
          </w:p>
        </w:tc>
        <w:tc>
          <w:tcPr>
            <w:tcW w:w="270" w:type="dxa"/>
            <w:vMerge/>
            <w:tcBorders>
              <w:bottom w:val="nil"/>
            </w:tcBorders>
            <w:vAlign w:val="center"/>
          </w:tcPr>
          <w:p w14:paraId="08518332" w14:textId="77777777" w:rsidR="00C67CB6" w:rsidRDefault="00C67CB6" w:rsidP="00C11867">
            <w:pPr>
              <w:pStyle w:val="tablehead"/>
            </w:pPr>
          </w:p>
        </w:tc>
        <w:tc>
          <w:tcPr>
            <w:tcW w:w="1260" w:type="dxa"/>
            <w:vAlign w:val="center"/>
          </w:tcPr>
          <w:p w14:paraId="3A22CF75" w14:textId="77777777" w:rsidR="00C67CB6" w:rsidRDefault="00C67CB6" w:rsidP="00C11867">
            <w:pPr>
              <w:pStyle w:val="table"/>
            </w:pPr>
            <w:r>
              <w:t>1200-1300</w:t>
            </w:r>
          </w:p>
        </w:tc>
        <w:tc>
          <w:tcPr>
            <w:tcW w:w="1400" w:type="dxa"/>
            <w:vAlign w:val="center"/>
          </w:tcPr>
          <w:p w14:paraId="647DA17B" w14:textId="77777777" w:rsidR="00C67CB6" w:rsidRDefault="00C67CB6" w:rsidP="00C11867">
            <w:pPr>
              <w:pStyle w:val="table"/>
            </w:pPr>
            <w:r>
              <w:t>Lunch</w:t>
            </w:r>
          </w:p>
        </w:tc>
        <w:tc>
          <w:tcPr>
            <w:tcW w:w="260" w:type="dxa"/>
            <w:vMerge/>
            <w:tcBorders>
              <w:bottom w:val="nil"/>
            </w:tcBorders>
            <w:vAlign w:val="center"/>
          </w:tcPr>
          <w:p w14:paraId="42A8CDB1" w14:textId="77777777" w:rsidR="00C67CB6" w:rsidRDefault="00C67CB6" w:rsidP="00C11867">
            <w:pPr>
              <w:pStyle w:val="table"/>
            </w:pPr>
          </w:p>
        </w:tc>
        <w:tc>
          <w:tcPr>
            <w:tcW w:w="1220" w:type="dxa"/>
            <w:tcBorders>
              <w:bottom w:val="single" w:sz="4" w:space="0" w:color="auto"/>
            </w:tcBorders>
            <w:vAlign w:val="center"/>
          </w:tcPr>
          <w:p w14:paraId="60E7C941" w14:textId="77777777" w:rsidR="00C67CB6" w:rsidRDefault="00C67CB6" w:rsidP="00C11867">
            <w:pPr>
              <w:pStyle w:val="table"/>
            </w:pPr>
            <w:r>
              <w:t>1100-1200</w:t>
            </w:r>
          </w:p>
        </w:tc>
        <w:tc>
          <w:tcPr>
            <w:tcW w:w="1530" w:type="dxa"/>
            <w:tcBorders>
              <w:top w:val="single" w:sz="4" w:space="0" w:color="00ACC8" w:themeColor="accent1"/>
              <w:bottom w:val="single" w:sz="4" w:space="0" w:color="auto"/>
              <w:right w:val="single" w:sz="4" w:space="0" w:color="00ACC8" w:themeColor="accent1"/>
            </w:tcBorders>
            <w:vAlign w:val="center"/>
          </w:tcPr>
          <w:p w14:paraId="3720A72B" w14:textId="77777777" w:rsidR="00C67CB6" w:rsidRDefault="00C67CB6" w:rsidP="00C11867">
            <w:pPr>
              <w:pStyle w:val="table"/>
            </w:pPr>
            <w:r>
              <w:t>Feedback and Review</w:t>
            </w:r>
          </w:p>
        </w:tc>
      </w:tr>
      <w:tr w:rsidR="00C67CB6" w14:paraId="61B2D14C" w14:textId="77777777" w:rsidTr="00C11867">
        <w:trPr>
          <w:jc w:val="center"/>
        </w:trPr>
        <w:tc>
          <w:tcPr>
            <w:tcW w:w="1705" w:type="dxa"/>
            <w:vMerge/>
            <w:tcBorders>
              <w:top w:val="single" w:sz="4" w:space="0" w:color="00ACC8" w:themeColor="accent1"/>
              <w:left w:val="single" w:sz="4" w:space="0" w:color="00ACC8" w:themeColor="accent1"/>
              <w:bottom w:val="single" w:sz="4" w:space="0" w:color="00ACC8" w:themeColor="accent1"/>
            </w:tcBorders>
            <w:vAlign w:val="center"/>
          </w:tcPr>
          <w:p w14:paraId="49D22E51" w14:textId="77777777" w:rsidR="00C67CB6" w:rsidRDefault="00C67CB6" w:rsidP="00C11867">
            <w:pPr>
              <w:pStyle w:val="table"/>
            </w:pPr>
          </w:p>
        </w:tc>
        <w:tc>
          <w:tcPr>
            <w:tcW w:w="1800" w:type="dxa"/>
            <w:vAlign w:val="center"/>
          </w:tcPr>
          <w:p w14:paraId="1F47B6DD" w14:textId="77777777" w:rsidR="00C67CB6" w:rsidRDefault="00C67CB6" w:rsidP="00C11867">
            <w:pPr>
              <w:pStyle w:val="table"/>
            </w:pPr>
            <w:r>
              <w:t>Advanced Restoration Principles Module</w:t>
            </w:r>
          </w:p>
        </w:tc>
        <w:tc>
          <w:tcPr>
            <w:tcW w:w="270" w:type="dxa"/>
            <w:vMerge/>
            <w:tcBorders>
              <w:bottom w:val="nil"/>
            </w:tcBorders>
            <w:vAlign w:val="center"/>
          </w:tcPr>
          <w:p w14:paraId="1D3F032B" w14:textId="77777777" w:rsidR="00C67CB6" w:rsidRDefault="00C67CB6" w:rsidP="00C11867">
            <w:pPr>
              <w:pStyle w:val="tablehead"/>
            </w:pPr>
          </w:p>
        </w:tc>
        <w:tc>
          <w:tcPr>
            <w:tcW w:w="1260" w:type="dxa"/>
            <w:tcBorders>
              <w:bottom w:val="single" w:sz="4" w:space="0" w:color="auto"/>
            </w:tcBorders>
            <w:vAlign w:val="center"/>
          </w:tcPr>
          <w:p w14:paraId="15695C05" w14:textId="77777777" w:rsidR="00C67CB6" w:rsidRDefault="00C67CB6" w:rsidP="00C11867">
            <w:pPr>
              <w:pStyle w:val="table"/>
            </w:pPr>
            <w:r>
              <w:t>1300-1700</w:t>
            </w:r>
          </w:p>
        </w:tc>
        <w:tc>
          <w:tcPr>
            <w:tcW w:w="1400" w:type="dxa"/>
            <w:tcBorders>
              <w:bottom w:val="single" w:sz="4" w:space="0" w:color="auto"/>
            </w:tcBorders>
            <w:vAlign w:val="center"/>
          </w:tcPr>
          <w:p w14:paraId="05FBE5AA" w14:textId="77777777" w:rsidR="00C67CB6" w:rsidRDefault="00C67CB6" w:rsidP="00C11867">
            <w:pPr>
              <w:pStyle w:val="table"/>
            </w:pPr>
            <w:r>
              <w:t>Stable Island Assessment Module</w:t>
            </w:r>
          </w:p>
        </w:tc>
        <w:tc>
          <w:tcPr>
            <w:tcW w:w="260" w:type="dxa"/>
            <w:vMerge/>
            <w:tcBorders>
              <w:bottom w:val="nil"/>
              <w:right w:val="nil"/>
            </w:tcBorders>
            <w:vAlign w:val="center"/>
          </w:tcPr>
          <w:p w14:paraId="2BA666ED" w14:textId="77777777" w:rsidR="00C67CB6" w:rsidRDefault="00C67CB6" w:rsidP="00C11867">
            <w:pPr>
              <w:pStyle w:val="table"/>
            </w:pPr>
          </w:p>
        </w:tc>
        <w:tc>
          <w:tcPr>
            <w:tcW w:w="2750" w:type="dxa"/>
            <w:gridSpan w:val="2"/>
            <w:tcBorders>
              <w:left w:val="nil"/>
              <w:bottom w:val="nil"/>
              <w:right w:val="nil"/>
            </w:tcBorders>
            <w:vAlign w:val="center"/>
          </w:tcPr>
          <w:p w14:paraId="29C76678" w14:textId="77777777" w:rsidR="00C67CB6" w:rsidRDefault="00C67CB6" w:rsidP="00C11867">
            <w:pPr>
              <w:pStyle w:val="table"/>
            </w:pPr>
          </w:p>
        </w:tc>
      </w:tr>
      <w:tr w:rsidR="00C67CB6" w14:paraId="1B7A9F20" w14:textId="77777777" w:rsidTr="00C11867">
        <w:trPr>
          <w:jc w:val="center"/>
        </w:trPr>
        <w:tc>
          <w:tcPr>
            <w:tcW w:w="1705" w:type="dxa"/>
            <w:vMerge/>
            <w:tcBorders>
              <w:top w:val="single" w:sz="4" w:space="0" w:color="00ACC8" w:themeColor="accent1"/>
              <w:left w:val="single" w:sz="4" w:space="0" w:color="00ACC8" w:themeColor="accent1"/>
              <w:bottom w:val="single" w:sz="4" w:space="0" w:color="00ACC8" w:themeColor="accent1"/>
            </w:tcBorders>
            <w:vAlign w:val="center"/>
          </w:tcPr>
          <w:p w14:paraId="24144A4C" w14:textId="77777777" w:rsidR="00C67CB6" w:rsidRDefault="00C67CB6" w:rsidP="00C11867">
            <w:pPr>
              <w:pStyle w:val="table"/>
            </w:pPr>
          </w:p>
        </w:tc>
        <w:tc>
          <w:tcPr>
            <w:tcW w:w="1800" w:type="dxa"/>
            <w:vAlign w:val="center"/>
          </w:tcPr>
          <w:p w14:paraId="3972F87D" w14:textId="77777777" w:rsidR="00C67CB6" w:rsidRDefault="00C67CB6" w:rsidP="00C11867">
            <w:pPr>
              <w:pStyle w:val="table"/>
            </w:pPr>
            <w:r>
              <w:t>Specialized Restoration Topic for TO Module</w:t>
            </w:r>
          </w:p>
        </w:tc>
        <w:tc>
          <w:tcPr>
            <w:tcW w:w="270" w:type="dxa"/>
            <w:vMerge/>
            <w:tcBorders>
              <w:bottom w:val="nil"/>
              <w:right w:val="nil"/>
            </w:tcBorders>
            <w:vAlign w:val="center"/>
          </w:tcPr>
          <w:p w14:paraId="0AB393B4" w14:textId="77777777" w:rsidR="00C67CB6" w:rsidRDefault="00C67CB6" w:rsidP="00C11867">
            <w:pPr>
              <w:pStyle w:val="tablehead"/>
            </w:pPr>
          </w:p>
        </w:tc>
        <w:tc>
          <w:tcPr>
            <w:tcW w:w="2660" w:type="dxa"/>
            <w:gridSpan w:val="2"/>
            <w:vMerge w:val="restart"/>
            <w:tcBorders>
              <w:left w:val="nil"/>
              <w:bottom w:val="nil"/>
              <w:right w:val="nil"/>
            </w:tcBorders>
            <w:vAlign w:val="center"/>
          </w:tcPr>
          <w:p w14:paraId="26360E06" w14:textId="77777777" w:rsidR="00C67CB6" w:rsidRDefault="00C67CB6" w:rsidP="00C11867">
            <w:pPr>
              <w:pStyle w:val="tablehead"/>
            </w:pPr>
          </w:p>
        </w:tc>
        <w:tc>
          <w:tcPr>
            <w:tcW w:w="260" w:type="dxa"/>
            <w:vMerge/>
            <w:tcBorders>
              <w:left w:val="nil"/>
              <w:bottom w:val="nil"/>
              <w:right w:val="nil"/>
            </w:tcBorders>
            <w:vAlign w:val="center"/>
          </w:tcPr>
          <w:p w14:paraId="02C4C769" w14:textId="77777777" w:rsidR="00C67CB6" w:rsidRDefault="00C67CB6" w:rsidP="00C11867">
            <w:pPr>
              <w:pStyle w:val="tablehead"/>
            </w:pPr>
          </w:p>
        </w:tc>
        <w:tc>
          <w:tcPr>
            <w:tcW w:w="2750" w:type="dxa"/>
            <w:gridSpan w:val="2"/>
            <w:vMerge w:val="restart"/>
            <w:tcBorders>
              <w:top w:val="nil"/>
              <w:left w:val="nil"/>
              <w:bottom w:val="nil"/>
              <w:right w:val="nil"/>
            </w:tcBorders>
            <w:vAlign w:val="center"/>
          </w:tcPr>
          <w:p w14:paraId="5222C8B5" w14:textId="77777777" w:rsidR="00C67CB6" w:rsidRDefault="00C67CB6" w:rsidP="00C11867">
            <w:pPr>
              <w:pStyle w:val="tablehead"/>
            </w:pPr>
          </w:p>
        </w:tc>
      </w:tr>
      <w:tr w:rsidR="00C67CB6" w14:paraId="03BA7BD6" w14:textId="77777777" w:rsidTr="00C11867">
        <w:trPr>
          <w:jc w:val="center"/>
        </w:trPr>
        <w:tc>
          <w:tcPr>
            <w:tcW w:w="1705" w:type="dxa"/>
            <w:vMerge/>
            <w:tcBorders>
              <w:top w:val="single" w:sz="4" w:space="0" w:color="00ACC8" w:themeColor="accent1"/>
              <w:left w:val="single" w:sz="4" w:space="0" w:color="00ACC8" w:themeColor="accent1"/>
              <w:bottom w:val="single" w:sz="4" w:space="0" w:color="00ACC8" w:themeColor="accent1"/>
            </w:tcBorders>
            <w:vAlign w:val="center"/>
          </w:tcPr>
          <w:p w14:paraId="4A375129" w14:textId="77777777" w:rsidR="00C67CB6" w:rsidRDefault="00C67CB6" w:rsidP="00C11867">
            <w:pPr>
              <w:pStyle w:val="table"/>
            </w:pPr>
          </w:p>
        </w:tc>
        <w:tc>
          <w:tcPr>
            <w:tcW w:w="1800" w:type="dxa"/>
            <w:tcBorders>
              <w:bottom w:val="single" w:sz="4" w:space="0" w:color="00ACC8" w:themeColor="accent1"/>
            </w:tcBorders>
            <w:vAlign w:val="center"/>
          </w:tcPr>
          <w:p w14:paraId="4731771F" w14:textId="77777777" w:rsidR="00C67CB6" w:rsidRDefault="00C67CB6" w:rsidP="00C11867">
            <w:pPr>
              <w:pStyle w:val="table"/>
            </w:pPr>
            <w:r>
              <w:t>Specialized Restoration Topic for GO Module</w:t>
            </w:r>
          </w:p>
        </w:tc>
        <w:tc>
          <w:tcPr>
            <w:tcW w:w="270" w:type="dxa"/>
            <w:vMerge/>
            <w:tcBorders>
              <w:bottom w:val="nil"/>
              <w:right w:val="nil"/>
            </w:tcBorders>
            <w:vAlign w:val="center"/>
          </w:tcPr>
          <w:p w14:paraId="4FB3C950" w14:textId="77777777" w:rsidR="00C67CB6" w:rsidRDefault="00C67CB6" w:rsidP="00C11867">
            <w:pPr>
              <w:pStyle w:val="tablehead"/>
            </w:pPr>
          </w:p>
        </w:tc>
        <w:tc>
          <w:tcPr>
            <w:tcW w:w="2660" w:type="dxa"/>
            <w:gridSpan w:val="2"/>
            <w:vMerge/>
            <w:tcBorders>
              <w:left w:val="nil"/>
              <w:bottom w:val="nil"/>
              <w:right w:val="nil"/>
            </w:tcBorders>
            <w:vAlign w:val="center"/>
          </w:tcPr>
          <w:p w14:paraId="3F3ECEDD" w14:textId="77777777" w:rsidR="00C67CB6" w:rsidRDefault="00C67CB6" w:rsidP="00C11867">
            <w:pPr>
              <w:pStyle w:val="tablehead"/>
            </w:pPr>
          </w:p>
        </w:tc>
        <w:tc>
          <w:tcPr>
            <w:tcW w:w="260" w:type="dxa"/>
            <w:vMerge/>
            <w:tcBorders>
              <w:left w:val="nil"/>
              <w:bottom w:val="nil"/>
              <w:right w:val="nil"/>
            </w:tcBorders>
            <w:vAlign w:val="center"/>
          </w:tcPr>
          <w:p w14:paraId="6792D517" w14:textId="77777777" w:rsidR="00C67CB6" w:rsidRDefault="00C67CB6" w:rsidP="00C11867">
            <w:pPr>
              <w:pStyle w:val="tablehead"/>
            </w:pPr>
          </w:p>
        </w:tc>
        <w:tc>
          <w:tcPr>
            <w:tcW w:w="2750" w:type="dxa"/>
            <w:gridSpan w:val="2"/>
            <w:vMerge/>
            <w:tcBorders>
              <w:left w:val="nil"/>
              <w:bottom w:val="nil"/>
              <w:right w:val="nil"/>
            </w:tcBorders>
            <w:vAlign w:val="center"/>
          </w:tcPr>
          <w:p w14:paraId="0705C746" w14:textId="77777777" w:rsidR="00C67CB6" w:rsidRDefault="00C67CB6" w:rsidP="00C11867">
            <w:pPr>
              <w:pStyle w:val="tablehead"/>
            </w:pPr>
          </w:p>
        </w:tc>
      </w:tr>
      <w:tr w:rsidR="00C67CB6" w14:paraId="08B592B8" w14:textId="77777777" w:rsidTr="00C11867">
        <w:trPr>
          <w:jc w:val="center"/>
        </w:trPr>
        <w:tc>
          <w:tcPr>
            <w:tcW w:w="1705" w:type="dxa"/>
            <w:tcBorders>
              <w:top w:val="single" w:sz="4" w:space="0" w:color="00ACC8" w:themeColor="accent1"/>
              <w:left w:val="single" w:sz="4" w:space="0" w:color="00ACC8" w:themeColor="accent1"/>
              <w:bottom w:val="single" w:sz="4" w:space="0" w:color="auto"/>
            </w:tcBorders>
            <w:vAlign w:val="center"/>
          </w:tcPr>
          <w:p w14:paraId="242D6516" w14:textId="77777777" w:rsidR="00C67CB6" w:rsidRDefault="00C67CB6" w:rsidP="00C11867">
            <w:pPr>
              <w:pStyle w:val="table"/>
            </w:pPr>
            <w:r>
              <w:t>1600-1700</w:t>
            </w:r>
          </w:p>
        </w:tc>
        <w:tc>
          <w:tcPr>
            <w:tcW w:w="1800" w:type="dxa"/>
            <w:tcBorders>
              <w:top w:val="single" w:sz="4" w:space="0" w:color="00ACC8" w:themeColor="accent1"/>
              <w:bottom w:val="single" w:sz="4" w:space="0" w:color="auto"/>
            </w:tcBorders>
            <w:vAlign w:val="center"/>
          </w:tcPr>
          <w:p w14:paraId="7C8BB423" w14:textId="77777777" w:rsidR="00C67CB6" w:rsidRDefault="00C67CB6" w:rsidP="00C11867">
            <w:pPr>
              <w:pStyle w:val="table"/>
            </w:pPr>
            <w:r>
              <w:t>Simulator Review / Familiarization Module</w:t>
            </w:r>
          </w:p>
        </w:tc>
        <w:tc>
          <w:tcPr>
            <w:tcW w:w="270" w:type="dxa"/>
            <w:vMerge/>
            <w:tcBorders>
              <w:bottom w:val="nil"/>
              <w:right w:val="nil"/>
            </w:tcBorders>
            <w:vAlign w:val="center"/>
          </w:tcPr>
          <w:p w14:paraId="168A96EE" w14:textId="77777777" w:rsidR="00C67CB6" w:rsidRDefault="00C67CB6" w:rsidP="00C11867">
            <w:pPr>
              <w:pStyle w:val="tablehead"/>
            </w:pPr>
          </w:p>
        </w:tc>
        <w:tc>
          <w:tcPr>
            <w:tcW w:w="2660" w:type="dxa"/>
            <w:gridSpan w:val="2"/>
            <w:vMerge/>
            <w:tcBorders>
              <w:left w:val="nil"/>
              <w:bottom w:val="nil"/>
              <w:right w:val="nil"/>
            </w:tcBorders>
            <w:vAlign w:val="center"/>
          </w:tcPr>
          <w:p w14:paraId="5DCCF7CF" w14:textId="77777777" w:rsidR="00C67CB6" w:rsidRDefault="00C67CB6" w:rsidP="00C11867">
            <w:pPr>
              <w:pStyle w:val="tablehead"/>
            </w:pPr>
          </w:p>
        </w:tc>
        <w:tc>
          <w:tcPr>
            <w:tcW w:w="260" w:type="dxa"/>
            <w:vMerge/>
            <w:tcBorders>
              <w:left w:val="nil"/>
              <w:bottom w:val="nil"/>
              <w:right w:val="nil"/>
            </w:tcBorders>
            <w:vAlign w:val="center"/>
          </w:tcPr>
          <w:p w14:paraId="1B4BA7C1" w14:textId="77777777" w:rsidR="00C67CB6" w:rsidRDefault="00C67CB6" w:rsidP="00C11867">
            <w:pPr>
              <w:pStyle w:val="tablehead"/>
            </w:pPr>
          </w:p>
        </w:tc>
        <w:tc>
          <w:tcPr>
            <w:tcW w:w="2750" w:type="dxa"/>
            <w:gridSpan w:val="2"/>
            <w:vMerge/>
            <w:tcBorders>
              <w:left w:val="nil"/>
              <w:bottom w:val="nil"/>
              <w:right w:val="nil"/>
            </w:tcBorders>
            <w:vAlign w:val="center"/>
          </w:tcPr>
          <w:p w14:paraId="406F4BA3" w14:textId="77777777" w:rsidR="00C67CB6" w:rsidRDefault="00C67CB6" w:rsidP="00C11867">
            <w:pPr>
              <w:pStyle w:val="tablehead"/>
            </w:pPr>
          </w:p>
        </w:tc>
      </w:tr>
    </w:tbl>
    <w:p w14:paraId="38CA62E7" w14:textId="77777777" w:rsidR="00C67CB6" w:rsidRDefault="00C67CB6" w:rsidP="00C67CB6"/>
    <w:p w14:paraId="47410B63" w14:textId="77777777" w:rsidR="00C67CB6" w:rsidRDefault="00C67CB6" w:rsidP="00C67CB6">
      <w:pPr>
        <w:pStyle w:val="BodyText"/>
      </w:pPr>
      <w:r>
        <w:t>Advantages to the suggested modular format are listed below.</w:t>
      </w:r>
    </w:p>
    <w:p w14:paraId="255EBC25" w14:textId="77777777" w:rsidR="00C67CB6" w:rsidRPr="008B097B" w:rsidRDefault="00C67CB6" w:rsidP="00C67CB6">
      <w:pPr>
        <w:pStyle w:val="bulletlevel1"/>
        <w:jc w:val="both"/>
      </w:pPr>
      <w:r w:rsidRPr="008B097B">
        <w:t>Smaller class size (30 vs. 120 operators in one class)</w:t>
      </w:r>
    </w:p>
    <w:p w14:paraId="3E648F7D" w14:textId="77777777" w:rsidR="00C67CB6" w:rsidRPr="008B097B" w:rsidRDefault="00C67CB6" w:rsidP="00C67CB6">
      <w:pPr>
        <w:pStyle w:val="bulletlevel1"/>
        <w:jc w:val="both"/>
      </w:pPr>
      <w:r w:rsidRPr="008B097B">
        <w:t>More effective and engaging training</w:t>
      </w:r>
    </w:p>
    <w:p w14:paraId="32E18328" w14:textId="77777777" w:rsidR="00C67CB6" w:rsidRPr="008B097B" w:rsidRDefault="00C67CB6" w:rsidP="00C67CB6">
      <w:pPr>
        <w:pStyle w:val="bulletlevel1"/>
        <w:jc w:val="both"/>
      </w:pPr>
      <w:r w:rsidRPr="008B097B">
        <w:t>Ability to present advanced topics specific and tailored to each group</w:t>
      </w:r>
    </w:p>
    <w:p w14:paraId="107159B8" w14:textId="77777777" w:rsidR="00C67CB6" w:rsidRPr="008B097B" w:rsidRDefault="00C67CB6" w:rsidP="00C67CB6">
      <w:pPr>
        <w:pStyle w:val="bulletlevel1"/>
        <w:jc w:val="both"/>
      </w:pPr>
      <w:r w:rsidRPr="008B097B">
        <w:t>Simulation broken into smaller pieces to ensure all operators are exposed to all phases of restoration</w:t>
      </w:r>
    </w:p>
    <w:p w14:paraId="678BA68F" w14:textId="77777777" w:rsidR="00C67CB6" w:rsidRPr="008B097B" w:rsidRDefault="00C67CB6" w:rsidP="00C67CB6">
      <w:pPr>
        <w:pStyle w:val="bulletlevel1"/>
        <w:jc w:val="both"/>
      </w:pPr>
      <w:r w:rsidRPr="008B097B">
        <w:t>Cost savings due to no “Special Session”</w:t>
      </w:r>
    </w:p>
    <w:p w14:paraId="7381970F" w14:textId="16816647" w:rsidR="00C67CB6" w:rsidRDefault="002A5458" w:rsidP="00C67CB6">
      <w:pPr>
        <w:pStyle w:val="bulletlevel1"/>
        <w:jc w:val="both"/>
      </w:pPr>
      <w:r>
        <w:t>Evaluate the conditions required</w:t>
      </w:r>
      <w:r w:rsidR="00C67CB6" w:rsidRPr="008B097B">
        <w:t xml:space="preserve"> to restart the Market</w:t>
      </w:r>
    </w:p>
    <w:p w14:paraId="6AFEC444" w14:textId="77777777" w:rsidR="00C67CB6" w:rsidRDefault="00C67CB6" w:rsidP="00185E98">
      <w:pPr>
        <w:pStyle w:val="BodyText"/>
        <w:ind w:left="576"/>
        <w:jc w:val="both"/>
      </w:pPr>
      <w:bookmarkStart w:id="266" w:name="_Toc448137934"/>
    </w:p>
    <w:p w14:paraId="30A96825" w14:textId="77777777" w:rsidR="006B4791" w:rsidRDefault="006B4791" w:rsidP="006B4791">
      <w:pPr>
        <w:pStyle w:val="Heading1"/>
      </w:pPr>
      <w:bookmarkStart w:id="267" w:name="_Toc448385984"/>
      <w:r w:rsidRPr="00D17516">
        <w:t>2017 Black Start Training</w:t>
      </w:r>
      <w:bookmarkEnd w:id="267"/>
    </w:p>
    <w:p w14:paraId="3A547158" w14:textId="77777777" w:rsidR="006B4791" w:rsidRPr="00AE2B52" w:rsidRDefault="006B4791" w:rsidP="006B4791">
      <w:pPr>
        <w:pStyle w:val="Heading2"/>
        <w:numPr>
          <w:ilvl w:val="1"/>
          <w:numId w:val="25"/>
        </w:numPr>
      </w:pPr>
      <w:bookmarkStart w:id="268" w:name="_Toc448385985"/>
      <w:r w:rsidRPr="00AE2B52">
        <w:t>Future Training for ERCOT Operators</w:t>
      </w:r>
      <w:bookmarkEnd w:id="268"/>
    </w:p>
    <w:p w14:paraId="548D0CEB" w14:textId="77777777" w:rsidR="006B4791" w:rsidRPr="00AE2B52" w:rsidRDefault="006B4791" w:rsidP="006B4791">
      <w:pPr>
        <w:pStyle w:val="BodyText"/>
        <w:jc w:val="both"/>
      </w:pPr>
      <w:r w:rsidRPr="00AE2B52">
        <w:t xml:space="preserve">The results from Black Start restoration drills have not been previously analyzed beyond tracking the total amount of re-energized load and transmission. In 2016, the Operations Training Instructors noted a significant number of differences in restoration decisions throughout the exercise. This is most likely due to the complex nature of a restoration of this magnitude. While there is no </w:t>
      </w:r>
      <w:r>
        <w:t>single</w:t>
      </w:r>
      <w:r w:rsidRPr="00AE2B52">
        <w:t xml:space="preserve"> correct method with which to restore a completely blacked out system, there is value in reviewing the results of the 2016 Black Start exercise with the ERCOT </w:t>
      </w:r>
      <w:r>
        <w:t>O</w:t>
      </w:r>
      <w:r w:rsidRPr="00AE2B52">
        <w:t xml:space="preserve">perators to leverage their expertise </w:t>
      </w:r>
      <w:r>
        <w:t>and</w:t>
      </w:r>
      <w:r w:rsidRPr="00AE2B52">
        <w:t xml:space="preserve"> identify guidelines for later stages of the restoration.</w:t>
      </w:r>
    </w:p>
    <w:p w14:paraId="423565F1" w14:textId="77777777" w:rsidR="006B4791" w:rsidRPr="00AE2B52" w:rsidRDefault="006B4791" w:rsidP="006B4791">
      <w:pPr>
        <w:pStyle w:val="BodyText"/>
        <w:jc w:val="both"/>
      </w:pPr>
      <w:r w:rsidRPr="00AE2B52">
        <w:t>A Black Start review for the ERCOT Operators will be delivered in Cycle 4 (7/4</w:t>
      </w:r>
      <w:r>
        <w:t>/16</w:t>
      </w:r>
      <w:r w:rsidRPr="00AE2B52">
        <w:t xml:space="preserve"> – 8/12</w:t>
      </w:r>
      <w:r>
        <w:t>/16</w:t>
      </w:r>
      <w:r w:rsidRPr="00AE2B52">
        <w:t>). The contents of the training will review the results of the Black Start exercise for each of the seven weeks, including the special session. The simulation exercise scheduled for Cycle 4 is focused on System Islanding events and responses, and will incorporate some of the lessons learned from the 2016 Black Start.</w:t>
      </w:r>
    </w:p>
    <w:p w14:paraId="1594AED6" w14:textId="77777777" w:rsidR="006B4791" w:rsidRPr="00AE2B52" w:rsidRDefault="006B4791" w:rsidP="006B4791">
      <w:pPr>
        <w:pStyle w:val="Heading2"/>
        <w:numPr>
          <w:ilvl w:val="1"/>
          <w:numId w:val="25"/>
        </w:numPr>
      </w:pPr>
      <w:bookmarkStart w:id="269" w:name="_Toc448385986"/>
      <w:r w:rsidRPr="00AE2B52">
        <w:t>Black Start Working Group (BSWG)</w:t>
      </w:r>
      <w:r>
        <w:t xml:space="preserve"> and Operations Training Working Group (OTWG)</w:t>
      </w:r>
      <w:bookmarkEnd w:id="269"/>
    </w:p>
    <w:p w14:paraId="04040AE2" w14:textId="77777777" w:rsidR="006B4791" w:rsidRDefault="006B4791" w:rsidP="006B4791">
      <w:pPr>
        <w:pStyle w:val="BodyText"/>
        <w:jc w:val="both"/>
      </w:pPr>
      <w:r>
        <w:t>The trainers suggest BSWG develop an overall strategy to fully restore the system. OTWG will develop training to assist with different aspects of the restoration. This would improve the consistency of actions after the Transmission Operators reach synchronization points and synchronized islands.</w:t>
      </w:r>
    </w:p>
    <w:p w14:paraId="04A40B47" w14:textId="77777777" w:rsidR="00C67CB6" w:rsidRPr="008B097B" w:rsidRDefault="00C67CB6" w:rsidP="00C67CB6">
      <w:pPr>
        <w:pStyle w:val="Heading2"/>
        <w:numPr>
          <w:ilvl w:val="1"/>
          <w:numId w:val="25"/>
        </w:numPr>
      </w:pPr>
      <w:bookmarkStart w:id="270" w:name="_Toc448385987"/>
      <w:r w:rsidRPr="008B097B">
        <w:t>Training Module Description</w:t>
      </w:r>
      <w:bookmarkEnd w:id="266"/>
      <w:bookmarkEnd w:id="270"/>
    </w:p>
    <w:p w14:paraId="5D340016" w14:textId="77777777" w:rsidR="00C67CB6" w:rsidRPr="006C1F3A" w:rsidRDefault="00C67CB6" w:rsidP="00C67CB6">
      <w:pPr>
        <w:pStyle w:val="sarah"/>
        <w:numPr>
          <w:ilvl w:val="0"/>
          <w:numId w:val="26"/>
        </w:numPr>
        <w:ind w:left="576" w:hanging="288"/>
      </w:pPr>
      <w:r w:rsidRPr="006C1F3A">
        <w:t>Introduction: Security Brief, Administration, and Agenda.</w:t>
      </w:r>
    </w:p>
    <w:p w14:paraId="2EF4277B" w14:textId="77777777" w:rsidR="00C67CB6" w:rsidRPr="006C1F3A" w:rsidRDefault="00C67CB6" w:rsidP="00C67CB6">
      <w:pPr>
        <w:pStyle w:val="sarah"/>
      </w:pPr>
      <w:r w:rsidRPr="006C1F3A">
        <w:t>Basic Restoration Principles Module: System Theory, System guidelines (i.e. voltage control, g</w:t>
      </w:r>
      <w:r>
        <w:t>enerator MW/MVAR loading, etc.)</w:t>
      </w:r>
    </w:p>
    <w:p w14:paraId="679B6B34" w14:textId="77777777" w:rsidR="00C67CB6" w:rsidRPr="006C1F3A" w:rsidRDefault="00C67CB6" w:rsidP="00C67CB6">
      <w:pPr>
        <w:pStyle w:val="sarah"/>
      </w:pPr>
      <w:r w:rsidRPr="006C1F3A">
        <w:t xml:space="preserve">Advanced Restoration Principles Module: Immediate actions and responsibilities after an event, Restoration Priorities, Strategies and Communication. Use Phaser Simulator for Operator Training (PSOT) to show 3 different restoration scenarios: Good, acceptable and poor. This will allow the operators to see how the system stresses affect restoration efforts. </w:t>
      </w:r>
    </w:p>
    <w:p w14:paraId="506C9BB5" w14:textId="77777777" w:rsidR="00C67CB6" w:rsidRPr="006C1F3A" w:rsidRDefault="00C67CB6" w:rsidP="00C67CB6">
      <w:pPr>
        <w:pStyle w:val="sarah"/>
      </w:pPr>
      <w:r w:rsidRPr="006C1F3A">
        <w:t>Specialized Restoration Topic for TO Module: Topic specific for Transmission Operators</w:t>
      </w:r>
      <w:r>
        <w:t>.</w:t>
      </w:r>
    </w:p>
    <w:p w14:paraId="719E4538" w14:textId="77777777" w:rsidR="00C67CB6" w:rsidRPr="006C1F3A" w:rsidRDefault="00C67CB6" w:rsidP="00C67CB6">
      <w:pPr>
        <w:pStyle w:val="sarah"/>
      </w:pPr>
      <w:r w:rsidRPr="006C1F3A">
        <w:t>Specialized Restoration Topic for GO Module: Topic specific for Generator Operators/QSE</w:t>
      </w:r>
      <w:r>
        <w:t>s.</w:t>
      </w:r>
    </w:p>
    <w:p w14:paraId="5FD266B5" w14:textId="77777777" w:rsidR="00C67CB6" w:rsidRPr="006C1F3A" w:rsidRDefault="00C67CB6" w:rsidP="00C67CB6">
      <w:pPr>
        <w:pStyle w:val="sarah"/>
      </w:pPr>
      <w:r w:rsidRPr="006C1F3A">
        <w:t>Simulator Review Module: Macomber Map operation review and familiarization simulation</w:t>
      </w:r>
      <w:r>
        <w:t>.</w:t>
      </w:r>
    </w:p>
    <w:p w14:paraId="25BB2737" w14:textId="5CD59AA1" w:rsidR="00C67CB6" w:rsidRPr="006C1F3A" w:rsidRDefault="00C67CB6" w:rsidP="00C67CB6">
      <w:pPr>
        <w:pStyle w:val="sarah"/>
      </w:pPr>
      <w:r w:rsidRPr="006C1F3A">
        <w:t>Blackout, System Assessment, and Initial Restoration Module: Simulation starts with system running normally, events occur</w:t>
      </w:r>
      <w:r>
        <w:t>,</w:t>
      </w:r>
      <w:r w:rsidRPr="006C1F3A">
        <w:t xml:space="preserve"> and the system blacks out</w:t>
      </w:r>
      <w:r>
        <w:t xml:space="preserve">. </w:t>
      </w:r>
      <w:r w:rsidRPr="006C1F3A">
        <w:t>Use Phaser Simulator for Operator Training (PSOT) to show how the system fell apart. This will allow the operators to see how the system stresses can cause a blackout. Transmission Operators, Generator Operat</w:t>
      </w:r>
      <w:r>
        <w:t>or</w:t>
      </w:r>
      <w:r w:rsidRPr="006C1F3A">
        <w:t>s and ERCOT will assess system conditions. Planned outages for each Transmission Operator and Generator Operator will affect the restoration corridors. There will be small islands left in each area. The System Operators will</w:t>
      </w:r>
      <w:r w:rsidR="00637B6A">
        <w:t xml:space="preserve"> start the restoration</w:t>
      </w:r>
      <w:r w:rsidRPr="006C1F3A">
        <w:t>.</w:t>
      </w:r>
    </w:p>
    <w:p w14:paraId="17DC2D51" w14:textId="0402C106" w:rsidR="00C67CB6" w:rsidRPr="006C1F3A" w:rsidRDefault="00C67CB6" w:rsidP="00C67CB6">
      <w:pPr>
        <w:pStyle w:val="sarah"/>
      </w:pPr>
      <w:r w:rsidRPr="006C1F3A">
        <w:t xml:space="preserve">Stable Island Assessment Module: A pre-built case will be used where each island in the system is near the points of synchronization. The simulation will concentrate on stable island criteria, synchronization issues, determining </w:t>
      </w:r>
      <w:r>
        <w:t>iso</w:t>
      </w:r>
      <w:r w:rsidR="004D51A5">
        <w:t>ch</w:t>
      </w:r>
      <w:r w:rsidRPr="006C1F3A">
        <w:t>ronous (ISOC) units and issues with Constant Frequency Control.</w:t>
      </w:r>
    </w:p>
    <w:p w14:paraId="74C34913" w14:textId="77777777" w:rsidR="00C67CB6" w:rsidRPr="006C1F3A" w:rsidRDefault="00C67CB6" w:rsidP="00C67CB6">
      <w:pPr>
        <w:pStyle w:val="sarah"/>
      </w:pPr>
      <w:r w:rsidRPr="006C1F3A">
        <w:t>Cumulative System Restoration Module: The pilot week will start with the Blackout, System Assessment, and Initial Restoration Module, then</w:t>
      </w:r>
      <w:r>
        <w:t xml:space="preserve"> participants</w:t>
      </w:r>
      <w:r w:rsidRPr="006C1F3A">
        <w:t xml:space="preserve"> will perform the Stable Island Assessment module</w:t>
      </w:r>
      <w:r>
        <w:t>.</w:t>
      </w:r>
      <w:r w:rsidRPr="006C1F3A">
        <w:t xml:space="preserve"> </w:t>
      </w:r>
      <w:r>
        <w:t>On</w:t>
      </w:r>
      <w:r w:rsidRPr="006C1F3A">
        <w:t xml:space="preserve"> </w:t>
      </w:r>
      <w:r>
        <w:t>Day 3</w:t>
      </w:r>
      <w:r w:rsidRPr="006C1F3A">
        <w:t xml:space="preserve">, they will continue from where they left off on the Blackout, System Assessment, and Initial Restoration Module. Subsequent weeks will be presented with the Blackout, System Assessment, and Initial Restoration Module and the Stable Island Assessment module. However on </w:t>
      </w:r>
      <w:r>
        <w:t>the third</w:t>
      </w:r>
      <w:r w:rsidRPr="006C1F3A">
        <w:t xml:space="preserve"> morning, the operators will continue from where the previous week’s Cumulative System Restoration Module left off. The group will have access to previous week’s logs and a turnover sheet. This will allow each session to experience the different phases of restoration and will remove the need for the Special Session. There will be forced outages (multiple structures down in critical transmission paths or substation outages) that will impact this stage of restoration.</w:t>
      </w:r>
    </w:p>
    <w:p w14:paraId="02D75724" w14:textId="77777777" w:rsidR="00C67CB6" w:rsidRPr="006C1F3A" w:rsidRDefault="00C67CB6" w:rsidP="00C67CB6">
      <w:pPr>
        <w:pStyle w:val="sarah"/>
        <w:numPr>
          <w:ilvl w:val="0"/>
          <w:numId w:val="0"/>
        </w:numPr>
        <w:ind w:left="576"/>
      </w:pPr>
      <w:r w:rsidRPr="006C1F3A">
        <w:t>Previous restoration exercises have not simulated the restart of the Market. The Cumulative System Restoration Module will provide an opportunity to examine and test different system conditions for re-establishing the Market.</w:t>
      </w:r>
    </w:p>
    <w:p w14:paraId="1A36AFA9" w14:textId="77777777" w:rsidR="00C67CB6" w:rsidRPr="006C1F3A" w:rsidRDefault="00C67CB6" w:rsidP="00C67CB6">
      <w:pPr>
        <w:pStyle w:val="sarah"/>
      </w:pPr>
      <w:r w:rsidRPr="006C1F3A">
        <w:t>Feedback and Review</w:t>
      </w:r>
      <w:r>
        <w:t>.</w:t>
      </w:r>
      <w:r w:rsidRPr="006C1F3A">
        <w:t xml:space="preserve"> Operators will be asked to fill out an online </w:t>
      </w:r>
      <w:r>
        <w:t>f</w:t>
      </w:r>
      <w:r w:rsidRPr="006C1F3A">
        <w:t>eedback form prior to leaving and a review of the major events will be covered.</w:t>
      </w:r>
    </w:p>
    <w:p w14:paraId="3EFDA6FC" w14:textId="2179E5E7" w:rsidR="00C67CB6" w:rsidRDefault="00C67CB6" w:rsidP="00C67CB6">
      <w:pPr>
        <w:rPr>
          <w:rFonts w:cs="Arial"/>
          <w:b/>
          <w:bCs/>
          <w:iCs/>
          <w:color w:val="00ACC8" w:themeColor="accent1"/>
          <w:sz w:val="22"/>
          <w:szCs w:val="28"/>
        </w:rPr>
      </w:pPr>
      <w:bookmarkStart w:id="271" w:name="_Toc448137935"/>
    </w:p>
    <w:p w14:paraId="23FBF20E" w14:textId="6F6FF0EE" w:rsidR="00C67CB6" w:rsidRPr="00AE2B52" w:rsidRDefault="00C67CB6" w:rsidP="00C67CB6">
      <w:pPr>
        <w:pStyle w:val="Heading2"/>
        <w:numPr>
          <w:ilvl w:val="1"/>
          <w:numId w:val="25"/>
        </w:numPr>
      </w:pPr>
      <w:bookmarkStart w:id="272" w:name="_Toc448385988"/>
      <w:r w:rsidRPr="00AE2B52">
        <w:t>Generator/Load Modeling Data</w:t>
      </w:r>
      <w:bookmarkEnd w:id="271"/>
      <w:bookmarkEnd w:id="272"/>
    </w:p>
    <w:p w14:paraId="1381DB21" w14:textId="77777777" w:rsidR="00C67CB6" w:rsidRPr="00AE2B52" w:rsidRDefault="00C67CB6" w:rsidP="00C67CB6">
      <w:pPr>
        <w:pStyle w:val="BodyText"/>
        <w:jc w:val="both"/>
      </w:pPr>
      <w:r>
        <w:t xml:space="preserve">Requested </w:t>
      </w:r>
      <w:r w:rsidRPr="00AE2B52">
        <w:t xml:space="preserve">enhancements to the generator and load modeling in the Macomber Map </w:t>
      </w:r>
      <w:r>
        <w:t>are listed below.</w:t>
      </w:r>
    </w:p>
    <w:p w14:paraId="77C044DF" w14:textId="77777777" w:rsidR="00C67CB6" w:rsidRPr="00AE2B52" w:rsidRDefault="00C67CB6" w:rsidP="00C67CB6">
      <w:pPr>
        <w:pStyle w:val="bulletlevel1"/>
        <w:jc w:val="both"/>
      </w:pPr>
      <w:r w:rsidRPr="00AE2B52">
        <w:t>Lower Emergency Level (LEL) added to the Generator Control Panel and Generator Summary Display</w:t>
      </w:r>
    </w:p>
    <w:p w14:paraId="261F0E95" w14:textId="77777777" w:rsidR="00C67CB6" w:rsidRPr="00AE2B52" w:rsidRDefault="00C67CB6" w:rsidP="00C67CB6">
      <w:pPr>
        <w:pStyle w:val="bulletlevel1"/>
        <w:jc w:val="both"/>
      </w:pPr>
      <w:r w:rsidRPr="00AE2B52">
        <w:t>Only units capable of ISOC will have that option available</w:t>
      </w:r>
    </w:p>
    <w:p w14:paraId="107F2F71" w14:textId="77777777" w:rsidR="00C67CB6" w:rsidRPr="00AE2B52" w:rsidRDefault="00C67CB6" w:rsidP="00C67CB6">
      <w:pPr>
        <w:pStyle w:val="bulletlevel1"/>
        <w:jc w:val="both"/>
      </w:pPr>
      <w:r w:rsidRPr="00AE2B52">
        <w:t>Constant Frequency Cont</w:t>
      </w:r>
      <w:r>
        <w:t>r</w:t>
      </w:r>
      <w:r w:rsidRPr="00AE2B52">
        <w:t>ol updated for QSEs that are not currently available</w:t>
      </w:r>
    </w:p>
    <w:p w14:paraId="7A4BB633" w14:textId="77777777" w:rsidR="00C67CB6" w:rsidRPr="00AE2B52" w:rsidRDefault="00C67CB6" w:rsidP="00C67CB6">
      <w:pPr>
        <w:pStyle w:val="bulletlevel1"/>
        <w:jc w:val="both"/>
      </w:pPr>
      <w:r w:rsidRPr="00AE2B52">
        <w:t>Maximum load set in Macomber Map to be appropriate fraction of 70,000 MW of System Load</w:t>
      </w:r>
    </w:p>
    <w:p w14:paraId="4599AC8D" w14:textId="77777777" w:rsidR="00C67CB6" w:rsidRPr="00AE2B52" w:rsidRDefault="00C67CB6" w:rsidP="00C67CB6">
      <w:pPr>
        <w:pStyle w:val="bulletlevel1"/>
        <w:jc w:val="both"/>
      </w:pPr>
      <w:r w:rsidRPr="00AE2B52">
        <w:t>Reactive Devices and Auto Transformers AVRs set to Manual</w:t>
      </w:r>
    </w:p>
    <w:p w14:paraId="24D89A31" w14:textId="41167CA8" w:rsidR="0027485A" w:rsidRPr="00711A04" w:rsidRDefault="00C67CB6" w:rsidP="00711A04">
      <w:pPr>
        <w:pStyle w:val="bulletlevel1"/>
        <w:jc w:val="both"/>
      </w:pPr>
      <w:r w:rsidRPr="00AE2B52">
        <w:t>A system activity log for each TO and GO</w:t>
      </w:r>
      <w:bookmarkStart w:id="273" w:name="_Toc448137936"/>
    </w:p>
    <w:p w14:paraId="3865FEC2" w14:textId="77777777" w:rsidR="00DA3E5F" w:rsidRPr="00AE2B52" w:rsidRDefault="00DA3E5F" w:rsidP="00AE2B52">
      <w:pPr>
        <w:pStyle w:val="Heading1"/>
      </w:pPr>
      <w:bookmarkStart w:id="274" w:name="_Toc448137938"/>
      <w:bookmarkStart w:id="275" w:name="_Toc448385989"/>
      <w:bookmarkEnd w:id="273"/>
      <w:r w:rsidRPr="00AE2B52">
        <w:t>Recognition</w:t>
      </w:r>
      <w:bookmarkEnd w:id="274"/>
      <w:bookmarkEnd w:id="275"/>
    </w:p>
    <w:p w14:paraId="097857E8" w14:textId="56001E5D" w:rsidR="00C7592F" w:rsidRPr="00C7592F" w:rsidRDefault="00DA3E5F" w:rsidP="006B4791">
      <w:pPr>
        <w:pStyle w:val="BodyText"/>
        <w:jc w:val="both"/>
      </w:pPr>
      <w:r>
        <w:t xml:space="preserve">Credit for the success of this training activity goes to </w:t>
      </w:r>
      <w:r w:rsidR="00C474C3">
        <w:t>the</w:t>
      </w:r>
      <w:r>
        <w:t xml:space="preserve"> diverse team of </w:t>
      </w:r>
      <w:r w:rsidR="00C474C3">
        <w:t xml:space="preserve">actively involved </w:t>
      </w:r>
      <w:r>
        <w:t>trainers, engineers, technical experts and support personnel</w:t>
      </w:r>
      <w:r w:rsidR="00FA5547">
        <w:t xml:space="preserve">. </w:t>
      </w:r>
      <w:r>
        <w:t>These include Kelly Blackmer (former Manager of System Operations Training), Stacy Wozny (ERCOT System Operations Training Coordinator), ERCOT System Operations Trainers (John Jarmon, Erik Johnson, Brian Legg, Misty Revenew, Mark Spinner, and James Stone), Greeshma Nissankala, Murali Boddeti, Jithender Polusani, Karthik Gopinath, Paul Li, Tone Richmond, Kishore Rachamalla, Steve White, Richard Howard, Sreenivas Badri, Dave Dickenson, Bill Chastain, Jennifer Hibbard, Ray Landry, Jeff Simien, Yancy Harlow, Nate Gamble, and other Deskside support personnel including the ERCOT Helpdesk staff, the Citrix Support group, Jeremiah Smith, Jimmy Mizell, and other physical security personnel, and Mike Legatt. It is also important to recognize the efforts and cooperation of the ERCOT Black Start Working Group (BSWG).</w:t>
      </w:r>
    </w:p>
    <w:sectPr w:rsidR="00C7592F" w:rsidRPr="00C7592F" w:rsidSect="003C5767">
      <w:headerReference w:type="even" r:id="rId33"/>
      <w:footerReference w:type="default" r:id="rId34"/>
      <w:headerReference w:type="first" r:id="rId3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90AF9" w14:textId="77777777" w:rsidR="008E18F6" w:rsidRDefault="008E18F6">
      <w:r>
        <w:separator/>
      </w:r>
    </w:p>
  </w:endnote>
  <w:endnote w:type="continuationSeparator" w:id="0">
    <w:p w14:paraId="6CD4DE66" w14:textId="77777777" w:rsidR="008E18F6" w:rsidRDefault="008E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2C4CD" w14:textId="77777777" w:rsidR="00DA1DDF" w:rsidRPr="00F923C7" w:rsidRDefault="00DA1DDF"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DA1DDF" w:rsidRPr="00646598" w14:paraId="6642C4D4" w14:textId="77777777" w:rsidTr="00646598">
      <w:tc>
        <w:tcPr>
          <w:tcW w:w="2500" w:type="pct"/>
          <w:shd w:val="clear" w:color="auto" w:fill="auto"/>
          <w:vAlign w:val="center"/>
        </w:tcPr>
        <w:p w14:paraId="6642C4D2" w14:textId="77777777" w:rsidR="00DA1DDF" w:rsidRPr="00646598" w:rsidRDefault="00DA1DDF"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6642C4D3" w14:textId="23E4BB78" w:rsidR="00DA1DDF" w:rsidRPr="00646598" w:rsidRDefault="00DA1DDF" w:rsidP="002939B3">
          <w:pPr>
            <w:spacing w:before="40" w:after="40"/>
            <w:jc w:val="right"/>
            <w:rPr>
              <w:rFonts w:cs="Arial"/>
              <w:i/>
              <w:iCs/>
              <w:color w:val="00ACC8" w:themeColor="accent1"/>
              <w:sz w:val="18"/>
            </w:rPr>
          </w:pPr>
          <w:r>
            <w:rPr>
              <w:rFonts w:cs="Arial"/>
              <w:i/>
              <w:iCs/>
              <w:color w:val="00ACC8" w:themeColor="accent1"/>
              <w:sz w:val="18"/>
            </w:rPr>
            <w:t>April 2016</w:t>
          </w:r>
        </w:p>
      </w:tc>
    </w:tr>
  </w:tbl>
  <w:p w14:paraId="6642C4D5" w14:textId="77777777" w:rsidR="00DA1DDF" w:rsidRDefault="00DA1D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2C4D7" w14:textId="77777777" w:rsidR="00DA1DDF" w:rsidRPr="00F923C7" w:rsidRDefault="00DA1DDF"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637B6A">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2C4DA" w14:textId="77777777" w:rsidR="00DA1DDF" w:rsidRPr="0080518D" w:rsidRDefault="00DA1DDF"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637B6A">
      <w:rPr>
        <w:noProof/>
      </w:rPr>
      <w:t>12</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16FB7" w14:textId="77777777" w:rsidR="008E18F6" w:rsidRDefault="008E18F6">
      <w:r>
        <w:separator/>
      </w:r>
    </w:p>
  </w:footnote>
  <w:footnote w:type="continuationSeparator" w:id="0">
    <w:p w14:paraId="24770461" w14:textId="77777777" w:rsidR="008E18F6" w:rsidRDefault="008E1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2C4CC" w14:textId="2A7B3D9D" w:rsidR="00DA1DDF" w:rsidRPr="00F923C7" w:rsidRDefault="00DA1DDF" w:rsidP="00302001">
    <w:pPr>
      <w:pStyle w:val="Header"/>
      <w:tabs>
        <w:tab w:val="clear" w:pos="4320"/>
        <w:tab w:val="clear" w:pos="8640"/>
        <w:tab w:val="right" w:pos="9360"/>
      </w:tabs>
      <w:rPr>
        <w:rFonts w:cs="Arial"/>
        <w:sz w:val="16"/>
        <w:szCs w:val="16"/>
      </w:rPr>
    </w:pPr>
    <w:r>
      <w:rPr>
        <w:rFonts w:cs="Arial"/>
        <w:sz w:val="16"/>
        <w:szCs w:val="16"/>
      </w:rPr>
      <w:t>2016 Black Start Summary</w:t>
    </w:r>
    <w:r w:rsidRPr="00F923C7">
      <w:rPr>
        <w:rFonts w:cs="Arial"/>
        <w:sz w:val="16"/>
        <w:szCs w:val="16"/>
      </w:rPr>
      <w:tab/>
      <w:t xml:space="preserve">ERCOT </w:t>
    </w:r>
    <w:r>
      <w:rPr>
        <w:rFonts w:cs="Arial"/>
        <w:sz w:val="16"/>
        <w:szCs w:val="16"/>
      </w:rPr>
      <w:t>Limited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DA1DDF" w:rsidRPr="00646598" w14:paraId="6642C4D0" w14:textId="77777777" w:rsidTr="00646598">
      <w:tc>
        <w:tcPr>
          <w:tcW w:w="2500" w:type="pct"/>
          <w:shd w:val="clear" w:color="auto" w:fill="FFFFFF" w:themeFill="background1"/>
          <w:vAlign w:val="center"/>
        </w:tcPr>
        <w:p w14:paraId="6642C4CE" w14:textId="5EBCAAAB" w:rsidR="00DA1DDF" w:rsidRPr="00646598" w:rsidRDefault="00DA1DDF" w:rsidP="002939B3">
          <w:pPr>
            <w:pStyle w:val="Header"/>
            <w:spacing w:before="40" w:after="40"/>
            <w:rPr>
              <w:rFonts w:cs="Arial"/>
              <w:iCs/>
              <w:color w:val="00ACC8" w:themeColor="accent1"/>
              <w:sz w:val="16"/>
              <w:szCs w:val="16"/>
            </w:rPr>
          </w:pPr>
          <w:r>
            <w:rPr>
              <w:rFonts w:cs="Arial"/>
              <w:iCs/>
              <w:color w:val="00ACC8" w:themeColor="accent1"/>
              <w:sz w:val="18"/>
              <w:szCs w:val="16"/>
            </w:rPr>
            <w:t>ERCOT Limited</w:t>
          </w:r>
        </w:p>
      </w:tc>
      <w:tc>
        <w:tcPr>
          <w:tcW w:w="2500" w:type="pct"/>
          <w:shd w:val="clear" w:color="auto" w:fill="FFFFFF" w:themeFill="background1"/>
          <w:vAlign w:val="center"/>
        </w:tcPr>
        <w:p w14:paraId="6642C4CF" w14:textId="34F2F9CA" w:rsidR="00DA1DDF" w:rsidRPr="00646598" w:rsidRDefault="00DA1DDF" w:rsidP="002939B3">
          <w:pPr>
            <w:pStyle w:val="Header"/>
            <w:spacing w:before="40" w:after="40"/>
            <w:jc w:val="right"/>
            <w:rPr>
              <w:rFonts w:cs="Arial"/>
              <w:b/>
              <w:iCs/>
              <w:color w:val="00ACC8" w:themeColor="accent1"/>
              <w:sz w:val="18"/>
            </w:rPr>
          </w:pPr>
          <w:r>
            <w:rPr>
              <w:rFonts w:cs="Arial"/>
              <w:b/>
              <w:iCs/>
              <w:color w:val="00ACC8" w:themeColor="accent1"/>
              <w:sz w:val="18"/>
            </w:rPr>
            <w:t>Report</w:t>
          </w:r>
        </w:p>
      </w:tc>
    </w:tr>
  </w:tbl>
  <w:p w14:paraId="6642C4D1" w14:textId="77777777" w:rsidR="00DA1DDF" w:rsidRDefault="00DA1D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2C4D6" w14:textId="77777777" w:rsidR="00DA1DDF" w:rsidRDefault="00DA1D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2C4D8" w14:textId="77777777" w:rsidR="00DA1DDF" w:rsidRDefault="00DA1DD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2C4D9" w14:textId="77777777" w:rsidR="00DA1DDF" w:rsidRDefault="00DA1DD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2C4DB" w14:textId="77777777" w:rsidR="00DA1DDF" w:rsidRDefault="00DA1D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BCAE4BE"/>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start w:val="1"/>
      <w:numFmt w:val="bullet"/>
      <w:lvlText w:val=""/>
      <w:lvlJc w:val="left"/>
      <w:pPr>
        <w:tabs>
          <w:tab w:val="num" w:pos="3312"/>
        </w:tabs>
        <w:ind w:left="3312" w:hanging="360"/>
      </w:pPr>
      <w:rPr>
        <w:rFonts w:ascii="Wingdings" w:hAnsi="Wingdings" w:hint="default"/>
      </w:rPr>
    </w:lvl>
    <w:lvl w:ilvl="3" w:tplc="CB7CEED0">
      <w:start w:val="1"/>
      <w:numFmt w:val="decimal"/>
      <w:pStyle w:val="number"/>
      <w:lvlText w:val="%4."/>
      <w:lvlJc w:val="left"/>
      <w:pPr>
        <w:tabs>
          <w:tab w:val="num" w:pos="4032"/>
        </w:tabs>
        <w:ind w:left="4032" w:hanging="360"/>
      </w:pPr>
      <w:rPr>
        <w:rFonts w:hint="default"/>
      </w:rPr>
    </w:lvl>
    <w:lvl w:ilvl="4" w:tplc="04090003">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259D4190"/>
    <w:multiLevelType w:val="multilevel"/>
    <w:tmpl w:val="D6B6BC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D7E0638"/>
    <w:multiLevelType w:val="hybridMultilevel"/>
    <w:tmpl w:val="64544A38"/>
    <w:lvl w:ilvl="0" w:tplc="137A7DD0">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627A03"/>
    <w:multiLevelType w:val="hybridMultilevel"/>
    <w:tmpl w:val="477E1A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551A6"/>
    <w:multiLevelType w:val="hybridMultilevel"/>
    <w:tmpl w:val="2204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180229"/>
    <w:multiLevelType w:val="hybridMultilevel"/>
    <w:tmpl w:val="041AD53E"/>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B34346"/>
    <w:multiLevelType w:val="hybridMultilevel"/>
    <w:tmpl w:val="22E4057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4" w15:restartNumberingAfterBreak="0">
    <w:nsid w:val="5931750A"/>
    <w:multiLevelType w:val="hybridMultilevel"/>
    <w:tmpl w:val="BD56FE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5B5EFC"/>
    <w:multiLevelType w:val="hybridMultilevel"/>
    <w:tmpl w:val="6DAAA5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654D69"/>
    <w:multiLevelType w:val="hybridMultilevel"/>
    <w:tmpl w:val="0B88A328"/>
    <w:lvl w:ilvl="0" w:tplc="137A7DD0">
      <w:start w:val="1"/>
      <w:numFmt w:val="decimal"/>
      <w:pStyle w:val="sarah"/>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13"/>
  </w:num>
  <w:num w:numId="2">
    <w:abstractNumId w:val="23"/>
  </w:num>
  <w:num w:numId="3">
    <w:abstractNumId w:val="21"/>
  </w:num>
  <w:num w:numId="4">
    <w:abstractNumId w:val="22"/>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8"/>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6"/>
    <w:lvlOverride w:ilvl="0">
      <w:startOverride w:val="1"/>
    </w:lvlOverride>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 w:ilvl="0">
        <w:start w:val="1"/>
        <w:numFmt w:val="decimal"/>
        <w:pStyle w:val="Heading1"/>
        <w:lvlText w:val="%1."/>
        <w:lvlJc w:val="left"/>
        <w:pPr>
          <w:tabs>
            <w:tab w:val="num" w:pos="360"/>
          </w:tabs>
          <w:ind w:left="360" w:hanging="360"/>
        </w:pPr>
        <w:rPr>
          <w:rFonts w:hint="default"/>
        </w:rPr>
      </w:lvl>
    </w:lvlOverride>
    <w:lvlOverride w:ilvl="1">
      <w:lvl w:ilvl="1">
        <w:start w:val="1"/>
        <w:numFmt w:val="decimal"/>
        <w:pStyle w:val="Heading2"/>
        <w:lvlText w:val="%1.%2"/>
        <w:lvlJc w:val="left"/>
        <w:pPr>
          <w:tabs>
            <w:tab w:val="num" w:pos="792"/>
          </w:tabs>
          <w:ind w:left="792" w:hanging="432"/>
        </w:pPr>
        <w:rPr>
          <w:rFonts w:hint="default"/>
        </w:rPr>
      </w:lvl>
    </w:lvlOverride>
    <w:lvlOverride w:ilvl="2">
      <w:lvl w:ilvl="2">
        <w:start w:val="1"/>
        <w:numFmt w:val="decimal"/>
        <w:pStyle w:val="Heading3"/>
        <w:lvlText w:val="%1.%2.%3."/>
        <w:lvlJc w:val="left"/>
        <w:pPr>
          <w:tabs>
            <w:tab w:val="num" w:pos="3960"/>
          </w:tabs>
          <w:ind w:left="3960" w:hanging="720"/>
        </w:pPr>
        <w:rPr>
          <w:rFonts w:hint="default"/>
        </w:rPr>
      </w:lvl>
    </w:lvlOverride>
    <w:lvlOverride w:ilvl="3">
      <w:lvl w:ilvl="3">
        <w:start w:val="1"/>
        <w:numFmt w:val="decimal"/>
        <w:pStyle w:val="Heading4"/>
        <w:lvlText w:val="%1.%2.%3.%4."/>
        <w:lvlJc w:val="left"/>
        <w:pPr>
          <w:tabs>
            <w:tab w:val="num" w:pos="4867"/>
          </w:tabs>
          <w:ind w:left="5587" w:hanging="1440"/>
        </w:pPr>
        <w:rPr>
          <w:rFonts w:hint="default"/>
        </w:rPr>
      </w:lvl>
    </w:lvlOverride>
    <w:lvlOverride w:ilvl="4">
      <w:lvl w:ilvl="4">
        <w:start w:val="1"/>
        <w:numFmt w:val="decimal"/>
        <w:lvlText w:val="%1.%2.%3.%4.%5."/>
        <w:lvlJc w:val="left"/>
        <w:pPr>
          <w:tabs>
            <w:tab w:val="num" w:pos="727"/>
          </w:tabs>
          <w:ind w:left="439" w:hanging="792"/>
        </w:pPr>
        <w:rPr>
          <w:rFonts w:hint="default"/>
        </w:rPr>
      </w:lvl>
    </w:lvlOverride>
    <w:lvlOverride w:ilvl="5">
      <w:lvl w:ilvl="5">
        <w:start w:val="1"/>
        <w:numFmt w:val="decimal"/>
        <w:lvlText w:val="%1.%2.%3.%4.%5.%6."/>
        <w:lvlJc w:val="left"/>
        <w:pPr>
          <w:tabs>
            <w:tab w:val="num" w:pos="1087"/>
          </w:tabs>
          <w:ind w:left="943" w:hanging="936"/>
        </w:pPr>
        <w:rPr>
          <w:rFonts w:hint="default"/>
        </w:rPr>
      </w:lvl>
    </w:lvlOverride>
    <w:lvlOverride w:ilvl="6">
      <w:lvl w:ilvl="6">
        <w:start w:val="1"/>
        <w:numFmt w:val="decimal"/>
        <w:lvlText w:val="%1.%2.%3.%4.%5.%6.%7."/>
        <w:lvlJc w:val="left"/>
        <w:pPr>
          <w:tabs>
            <w:tab w:val="num" w:pos="1807"/>
          </w:tabs>
          <w:ind w:left="1447" w:hanging="1080"/>
        </w:pPr>
        <w:rPr>
          <w:rFonts w:hint="default"/>
        </w:rPr>
      </w:lvl>
    </w:lvlOverride>
    <w:lvlOverride w:ilvl="7">
      <w:lvl w:ilvl="7">
        <w:start w:val="1"/>
        <w:numFmt w:val="decimal"/>
        <w:lvlText w:val="%1.%2.%3.%4.%5.%6.%7.%8."/>
        <w:lvlJc w:val="left"/>
        <w:pPr>
          <w:tabs>
            <w:tab w:val="num" w:pos="2167"/>
          </w:tabs>
          <w:ind w:left="1951" w:hanging="1224"/>
        </w:pPr>
        <w:rPr>
          <w:rFonts w:hint="default"/>
        </w:rPr>
      </w:lvl>
    </w:lvlOverride>
    <w:lvlOverride w:ilvl="8">
      <w:lvl w:ilvl="8">
        <w:start w:val="1"/>
        <w:numFmt w:val="decimal"/>
        <w:lvlText w:val="%1.%2.%3.%4.%5.%6.%7.%8.%9."/>
        <w:lvlJc w:val="left"/>
        <w:pPr>
          <w:tabs>
            <w:tab w:val="num" w:pos="2887"/>
          </w:tabs>
          <w:ind w:left="2527" w:hanging="1440"/>
        </w:pPr>
        <w:rPr>
          <w:rFonts w:hint="default"/>
        </w:rPr>
      </w:lvl>
    </w:lvlOverride>
  </w:num>
  <w:num w:numId="26">
    <w:abstractNumId w:val="26"/>
    <w:lvlOverride w:ilvl="0">
      <w:startOverride w:val="1"/>
    </w:lvlOverride>
  </w:num>
  <w:num w:numId="27">
    <w:abstractNumId w:val="17"/>
  </w:num>
  <w:num w:numId="28">
    <w:abstractNumId w:val="25"/>
  </w:num>
  <w:num w:numId="29">
    <w:abstractNumId w:val="24"/>
  </w:num>
  <w:num w:numId="30">
    <w:abstractNumId w:val="15"/>
  </w:num>
  <w:num w:numId="31">
    <w:abstractNumId w:val="19"/>
  </w:num>
  <w:num w:numId="32">
    <w:abstractNumId w:val="16"/>
  </w:num>
  <w:num w:numId="33">
    <w:abstractNumId w:val="20"/>
  </w:num>
  <w:num w:numId="34">
    <w:abstractNumId w:val="12"/>
    <w:lvlOverride w:ilvl="0">
      <w:lvl w:ilvl="0">
        <w:start w:val="1"/>
        <w:numFmt w:val="decimal"/>
        <w:pStyle w:val="Heading1"/>
        <w:lvlText w:val="%1."/>
        <w:lvlJc w:val="left"/>
        <w:pPr>
          <w:tabs>
            <w:tab w:val="num" w:pos="360"/>
          </w:tabs>
          <w:ind w:left="360" w:hanging="360"/>
        </w:pPr>
        <w:rPr>
          <w:rFonts w:hint="default"/>
        </w:rPr>
      </w:lvl>
    </w:lvlOverride>
    <w:lvlOverride w:ilvl="1">
      <w:lvl w:ilvl="1">
        <w:start w:val="1"/>
        <w:numFmt w:val="decimal"/>
        <w:pStyle w:val="Heading2"/>
        <w:lvlText w:val="%1.%2"/>
        <w:lvlJc w:val="left"/>
        <w:pPr>
          <w:tabs>
            <w:tab w:val="num" w:pos="792"/>
          </w:tabs>
          <w:ind w:left="792" w:hanging="432"/>
        </w:pPr>
        <w:rPr>
          <w:rFonts w:hint="default"/>
        </w:rPr>
      </w:lvl>
    </w:lvlOverride>
    <w:lvlOverride w:ilvl="2">
      <w:lvl w:ilvl="2">
        <w:start w:val="1"/>
        <w:numFmt w:val="decimal"/>
        <w:pStyle w:val="Heading3"/>
        <w:lvlText w:val="%1.%2.%3."/>
        <w:lvlJc w:val="left"/>
        <w:pPr>
          <w:tabs>
            <w:tab w:val="num" w:pos="3960"/>
          </w:tabs>
          <w:ind w:left="3960" w:hanging="720"/>
        </w:pPr>
        <w:rPr>
          <w:rFonts w:hint="default"/>
        </w:rPr>
      </w:lvl>
    </w:lvlOverride>
    <w:lvlOverride w:ilvl="3">
      <w:lvl w:ilvl="3">
        <w:start w:val="1"/>
        <w:numFmt w:val="decimal"/>
        <w:pStyle w:val="Heading4"/>
        <w:lvlText w:val="%1.%2.%3.%4."/>
        <w:lvlJc w:val="left"/>
        <w:pPr>
          <w:tabs>
            <w:tab w:val="num" w:pos="4867"/>
          </w:tabs>
          <w:ind w:left="5587" w:hanging="1440"/>
        </w:pPr>
        <w:rPr>
          <w:rFonts w:hint="default"/>
        </w:rPr>
      </w:lvl>
    </w:lvlOverride>
    <w:lvlOverride w:ilvl="4">
      <w:lvl w:ilvl="4">
        <w:start w:val="1"/>
        <w:numFmt w:val="decimal"/>
        <w:lvlText w:val="%1.%2.%3.%4.%5."/>
        <w:lvlJc w:val="left"/>
        <w:pPr>
          <w:tabs>
            <w:tab w:val="num" w:pos="727"/>
          </w:tabs>
          <w:ind w:left="439" w:hanging="792"/>
        </w:pPr>
        <w:rPr>
          <w:rFonts w:hint="default"/>
        </w:rPr>
      </w:lvl>
    </w:lvlOverride>
    <w:lvlOverride w:ilvl="5">
      <w:lvl w:ilvl="5">
        <w:start w:val="1"/>
        <w:numFmt w:val="decimal"/>
        <w:lvlText w:val="%1.%2.%3.%4.%5.%6."/>
        <w:lvlJc w:val="left"/>
        <w:pPr>
          <w:tabs>
            <w:tab w:val="num" w:pos="1087"/>
          </w:tabs>
          <w:ind w:left="943" w:hanging="936"/>
        </w:pPr>
        <w:rPr>
          <w:rFonts w:hint="default"/>
        </w:rPr>
      </w:lvl>
    </w:lvlOverride>
    <w:lvlOverride w:ilvl="6">
      <w:lvl w:ilvl="6">
        <w:start w:val="1"/>
        <w:numFmt w:val="decimal"/>
        <w:lvlText w:val="%1.%2.%3.%4.%5.%6.%7."/>
        <w:lvlJc w:val="left"/>
        <w:pPr>
          <w:tabs>
            <w:tab w:val="num" w:pos="1807"/>
          </w:tabs>
          <w:ind w:left="1447" w:hanging="1080"/>
        </w:pPr>
        <w:rPr>
          <w:rFonts w:hint="default"/>
        </w:rPr>
      </w:lvl>
    </w:lvlOverride>
    <w:lvlOverride w:ilvl="7">
      <w:lvl w:ilvl="7">
        <w:start w:val="1"/>
        <w:numFmt w:val="decimal"/>
        <w:lvlText w:val="%1.%2.%3.%4.%5.%6.%7.%8."/>
        <w:lvlJc w:val="left"/>
        <w:pPr>
          <w:tabs>
            <w:tab w:val="num" w:pos="2167"/>
          </w:tabs>
          <w:ind w:left="1951" w:hanging="1224"/>
        </w:pPr>
        <w:rPr>
          <w:rFonts w:hint="default"/>
        </w:rPr>
      </w:lvl>
    </w:lvlOverride>
    <w:lvlOverride w:ilvl="8">
      <w:lvl w:ilvl="8">
        <w:start w:val="1"/>
        <w:numFmt w:val="decimal"/>
        <w:lvlText w:val="%1.%2.%3.%4.%5.%6.%7.%8.%9."/>
        <w:lvlJc w:val="left"/>
        <w:pPr>
          <w:tabs>
            <w:tab w:val="num" w:pos="2887"/>
          </w:tabs>
          <w:ind w:left="2527" w:hanging="1440"/>
        </w:pPr>
        <w:rPr>
          <w:rFonts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0EE0"/>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1DAF"/>
    <w:rsid w:val="00062311"/>
    <w:rsid w:val="00063F24"/>
    <w:rsid w:val="000660FD"/>
    <w:rsid w:val="0007013F"/>
    <w:rsid w:val="0007030C"/>
    <w:rsid w:val="0007384F"/>
    <w:rsid w:val="00074EC8"/>
    <w:rsid w:val="00082816"/>
    <w:rsid w:val="0008593E"/>
    <w:rsid w:val="00086FAF"/>
    <w:rsid w:val="00092415"/>
    <w:rsid w:val="00092FA1"/>
    <w:rsid w:val="000971C8"/>
    <w:rsid w:val="00097ACC"/>
    <w:rsid w:val="000A6C95"/>
    <w:rsid w:val="000A724A"/>
    <w:rsid w:val="000B0A53"/>
    <w:rsid w:val="000B15BD"/>
    <w:rsid w:val="000C0410"/>
    <w:rsid w:val="000C1A27"/>
    <w:rsid w:val="000C6FDE"/>
    <w:rsid w:val="000C6FF3"/>
    <w:rsid w:val="000D16B3"/>
    <w:rsid w:val="000D63C1"/>
    <w:rsid w:val="000D73B4"/>
    <w:rsid w:val="000D7806"/>
    <w:rsid w:val="000E1882"/>
    <w:rsid w:val="000E3A97"/>
    <w:rsid w:val="000E3E8A"/>
    <w:rsid w:val="000F3618"/>
    <w:rsid w:val="000F5056"/>
    <w:rsid w:val="000F5B18"/>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1636"/>
    <w:rsid w:val="00122C71"/>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2D20"/>
    <w:rsid w:val="00176272"/>
    <w:rsid w:val="00177778"/>
    <w:rsid w:val="00183540"/>
    <w:rsid w:val="00183D28"/>
    <w:rsid w:val="00185C59"/>
    <w:rsid w:val="00185E98"/>
    <w:rsid w:val="00191A0B"/>
    <w:rsid w:val="001A131B"/>
    <w:rsid w:val="001A1B56"/>
    <w:rsid w:val="001A3AC3"/>
    <w:rsid w:val="001A49F4"/>
    <w:rsid w:val="001B3654"/>
    <w:rsid w:val="001B6121"/>
    <w:rsid w:val="001C1B66"/>
    <w:rsid w:val="001C25FF"/>
    <w:rsid w:val="001C53C6"/>
    <w:rsid w:val="001C6428"/>
    <w:rsid w:val="001D3CD4"/>
    <w:rsid w:val="001D4A2D"/>
    <w:rsid w:val="001D6AFE"/>
    <w:rsid w:val="001E376F"/>
    <w:rsid w:val="001E5B2F"/>
    <w:rsid w:val="001E75E6"/>
    <w:rsid w:val="001F02CD"/>
    <w:rsid w:val="001F1640"/>
    <w:rsid w:val="001F362E"/>
    <w:rsid w:val="001F36CA"/>
    <w:rsid w:val="001F3F1B"/>
    <w:rsid w:val="001F4237"/>
    <w:rsid w:val="001F7C8D"/>
    <w:rsid w:val="00200290"/>
    <w:rsid w:val="00202D4D"/>
    <w:rsid w:val="00203190"/>
    <w:rsid w:val="00204369"/>
    <w:rsid w:val="002060D7"/>
    <w:rsid w:val="002118C9"/>
    <w:rsid w:val="002129A3"/>
    <w:rsid w:val="0021708C"/>
    <w:rsid w:val="002227A5"/>
    <w:rsid w:val="00223F83"/>
    <w:rsid w:val="00224872"/>
    <w:rsid w:val="00230AD9"/>
    <w:rsid w:val="00230C1B"/>
    <w:rsid w:val="002326F0"/>
    <w:rsid w:val="00234B7B"/>
    <w:rsid w:val="00237F2B"/>
    <w:rsid w:val="0024094C"/>
    <w:rsid w:val="00243795"/>
    <w:rsid w:val="00252F7C"/>
    <w:rsid w:val="0025322A"/>
    <w:rsid w:val="002535DA"/>
    <w:rsid w:val="00254584"/>
    <w:rsid w:val="0025762A"/>
    <w:rsid w:val="002601A4"/>
    <w:rsid w:val="002622DC"/>
    <w:rsid w:val="00262441"/>
    <w:rsid w:val="00263E95"/>
    <w:rsid w:val="00266343"/>
    <w:rsid w:val="00272F5D"/>
    <w:rsid w:val="002740EA"/>
    <w:rsid w:val="0027485A"/>
    <w:rsid w:val="00276D89"/>
    <w:rsid w:val="00276F60"/>
    <w:rsid w:val="002801D8"/>
    <w:rsid w:val="00281B16"/>
    <w:rsid w:val="0028233A"/>
    <w:rsid w:val="002825A6"/>
    <w:rsid w:val="0028261A"/>
    <w:rsid w:val="00286BF2"/>
    <w:rsid w:val="00287FB4"/>
    <w:rsid w:val="002928E2"/>
    <w:rsid w:val="002929E6"/>
    <w:rsid w:val="002931CE"/>
    <w:rsid w:val="002939B3"/>
    <w:rsid w:val="00294B4E"/>
    <w:rsid w:val="002972D1"/>
    <w:rsid w:val="00297D8C"/>
    <w:rsid w:val="002A1200"/>
    <w:rsid w:val="002A2B82"/>
    <w:rsid w:val="002A5458"/>
    <w:rsid w:val="002A758D"/>
    <w:rsid w:val="002B12C8"/>
    <w:rsid w:val="002B2E41"/>
    <w:rsid w:val="002B2FE4"/>
    <w:rsid w:val="002B47E7"/>
    <w:rsid w:val="002B5182"/>
    <w:rsid w:val="002B58A6"/>
    <w:rsid w:val="002C0C38"/>
    <w:rsid w:val="002C156B"/>
    <w:rsid w:val="002C5793"/>
    <w:rsid w:val="002D10AF"/>
    <w:rsid w:val="002D45D2"/>
    <w:rsid w:val="002D498C"/>
    <w:rsid w:val="002D4D91"/>
    <w:rsid w:val="002E21FD"/>
    <w:rsid w:val="002E2AA1"/>
    <w:rsid w:val="002E55A1"/>
    <w:rsid w:val="002E605E"/>
    <w:rsid w:val="002F1CCD"/>
    <w:rsid w:val="002F268D"/>
    <w:rsid w:val="002F3EC7"/>
    <w:rsid w:val="002F56C2"/>
    <w:rsid w:val="002F58B7"/>
    <w:rsid w:val="002F68F1"/>
    <w:rsid w:val="002F6AC0"/>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3B63"/>
    <w:rsid w:val="00334865"/>
    <w:rsid w:val="003348A5"/>
    <w:rsid w:val="00335F35"/>
    <w:rsid w:val="00337B14"/>
    <w:rsid w:val="003434F9"/>
    <w:rsid w:val="00353964"/>
    <w:rsid w:val="00355C0B"/>
    <w:rsid w:val="003574B6"/>
    <w:rsid w:val="00357BD3"/>
    <w:rsid w:val="00362FC8"/>
    <w:rsid w:val="0036371D"/>
    <w:rsid w:val="00363D03"/>
    <w:rsid w:val="00364865"/>
    <w:rsid w:val="00364CEE"/>
    <w:rsid w:val="00367F33"/>
    <w:rsid w:val="00371AA5"/>
    <w:rsid w:val="00372A69"/>
    <w:rsid w:val="00372F2A"/>
    <w:rsid w:val="00375CCE"/>
    <w:rsid w:val="0037733A"/>
    <w:rsid w:val="003773D6"/>
    <w:rsid w:val="00383EEE"/>
    <w:rsid w:val="00385204"/>
    <w:rsid w:val="00386149"/>
    <w:rsid w:val="0038636F"/>
    <w:rsid w:val="00387971"/>
    <w:rsid w:val="00390091"/>
    <w:rsid w:val="00390A89"/>
    <w:rsid w:val="00392B40"/>
    <w:rsid w:val="00396D60"/>
    <w:rsid w:val="00397FD4"/>
    <w:rsid w:val="003A13BB"/>
    <w:rsid w:val="003B23AC"/>
    <w:rsid w:val="003B3438"/>
    <w:rsid w:val="003B3CD5"/>
    <w:rsid w:val="003B4577"/>
    <w:rsid w:val="003B59E6"/>
    <w:rsid w:val="003C0537"/>
    <w:rsid w:val="003C0B0E"/>
    <w:rsid w:val="003C221E"/>
    <w:rsid w:val="003C4E29"/>
    <w:rsid w:val="003C5767"/>
    <w:rsid w:val="003D4462"/>
    <w:rsid w:val="003D6CFD"/>
    <w:rsid w:val="003E67BA"/>
    <w:rsid w:val="003F2E87"/>
    <w:rsid w:val="003F2FE1"/>
    <w:rsid w:val="003F3D05"/>
    <w:rsid w:val="003F6439"/>
    <w:rsid w:val="003F6BE0"/>
    <w:rsid w:val="003F7B1C"/>
    <w:rsid w:val="00400806"/>
    <w:rsid w:val="004021F0"/>
    <w:rsid w:val="0040249F"/>
    <w:rsid w:val="004027BB"/>
    <w:rsid w:val="00402F71"/>
    <w:rsid w:val="00405AA3"/>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569"/>
    <w:rsid w:val="00431912"/>
    <w:rsid w:val="00432FE8"/>
    <w:rsid w:val="004330A5"/>
    <w:rsid w:val="00434E97"/>
    <w:rsid w:val="0044031F"/>
    <w:rsid w:val="004406A8"/>
    <w:rsid w:val="00441AFB"/>
    <w:rsid w:val="00441D3A"/>
    <w:rsid w:val="00442A90"/>
    <w:rsid w:val="0044594C"/>
    <w:rsid w:val="004472D5"/>
    <w:rsid w:val="004502FA"/>
    <w:rsid w:val="004510CB"/>
    <w:rsid w:val="00455A55"/>
    <w:rsid w:val="004573DE"/>
    <w:rsid w:val="00457BDE"/>
    <w:rsid w:val="00457E70"/>
    <w:rsid w:val="00460F6D"/>
    <w:rsid w:val="004612B9"/>
    <w:rsid w:val="00461674"/>
    <w:rsid w:val="00462073"/>
    <w:rsid w:val="00462B08"/>
    <w:rsid w:val="00462B49"/>
    <w:rsid w:val="004630C0"/>
    <w:rsid w:val="004648C0"/>
    <w:rsid w:val="004676AC"/>
    <w:rsid w:val="00467AD6"/>
    <w:rsid w:val="00471667"/>
    <w:rsid w:val="004734CD"/>
    <w:rsid w:val="00481830"/>
    <w:rsid w:val="004822CF"/>
    <w:rsid w:val="004860E1"/>
    <w:rsid w:val="00493EB8"/>
    <w:rsid w:val="00493F86"/>
    <w:rsid w:val="0049468C"/>
    <w:rsid w:val="0049510B"/>
    <w:rsid w:val="00496D90"/>
    <w:rsid w:val="00496F7B"/>
    <w:rsid w:val="00496FF6"/>
    <w:rsid w:val="00497932"/>
    <w:rsid w:val="00497D58"/>
    <w:rsid w:val="004A161D"/>
    <w:rsid w:val="004A2903"/>
    <w:rsid w:val="004A3138"/>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D51A5"/>
    <w:rsid w:val="004E09FB"/>
    <w:rsid w:val="004E3C47"/>
    <w:rsid w:val="004E5B88"/>
    <w:rsid w:val="004E5C91"/>
    <w:rsid w:val="004E64CA"/>
    <w:rsid w:val="004E6C56"/>
    <w:rsid w:val="004E6DF5"/>
    <w:rsid w:val="004F607E"/>
    <w:rsid w:val="004F6F3C"/>
    <w:rsid w:val="00500B39"/>
    <w:rsid w:val="00502A7D"/>
    <w:rsid w:val="00505374"/>
    <w:rsid w:val="005073B3"/>
    <w:rsid w:val="00517A0D"/>
    <w:rsid w:val="0052177F"/>
    <w:rsid w:val="00522097"/>
    <w:rsid w:val="0052225C"/>
    <w:rsid w:val="00522381"/>
    <w:rsid w:val="00525CF3"/>
    <w:rsid w:val="005267C1"/>
    <w:rsid w:val="00527443"/>
    <w:rsid w:val="00533425"/>
    <w:rsid w:val="00534899"/>
    <w:rsid w:val="00536CB6"/>
    <w:rsid w:val="005418C2"/>
    <w:rsid w:val="00542C38"/>
    <w:rsid w:val="005453D8"/>
    <w:rsid w:val="00551688"/>
    <w:rsid w:val="00560713"/>
    <w:rsid w:val="005640DC"/>
    <w:rsid w:val="005649AD"/>
    <w:rsid w:val="0056504D"/>
    <w:rsid w:val="00565282"/>
    <w:rsid w:val="00566A4D"/>
    <w:rsid w:val="00575B31"/>
    <w:rsid w:val="00575D08"/>
    <w:rsid w:val="0058171C"/>
    <w:rsid w:val="00582334"/>
    <w:rsid w:val="0058275C"/>
    <w:rsid w:val="005832F0"/>
    <w:rsid w:val="005839FE"/>
    <w:rsid w:val="0058411B"/>
    <w:rsid w:val="005859CE"/>
    <w:rsid w:val="00590443"/>
    <w:rsid w:val="00594D46"/>
    <w:rsid w:val="005973B4"/>
    <w:rsid w:val="005A0CC6"/>
    <w:rsid w:val="005A0DC3"/>
    <w:rsid w:val="005A2A6D"/>
    <w:rsid w:val="005A49BC"/>
    <w:rsid w:val="005A67C6"/>
    <w:rsid w:val="005B1727"/>
    <w:rsid w:val="005B2D9C"/>
    <w:rsid w:val="005C0BD0"/>
    <w:rsid w:val="005D1800"/>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587D"/>
    <w:rsid w:val="00625AE8"/>
    <w:rsid w:val="006324C1"/>
    <w:rsid w:val="00633A9B"/>
    <w:rsid w:val="0063524F"/>
    <w:rsid w:val="00636763"/>
    <w:rsid w:val="00636B30"/>
    <w:rsid w:val="00637B6A"/>
    <w:rsid w:val="00637E59"/>
    <w:rsid w:val="00642F07"/>
    <w:rsid w:val="00645D58"/>
    <w:rsid w:val="006460ED"/>
    <w:rsid w:val="00646598"/>
    <w:rsid w:val="006472E5"/>
    <w:rsid w:val="0064774B"/>
    <w:rsid w:val="00647896"/>
    <w:rsid w:val="006479C4"/>
    <w:rsid w:val="006571ED"/>
    <w:rsid w:val="00660E1B"/>
    <w:rsid w:val="0066193C"/>
    <w:rsid w:val="0066232F"/>
    <w:rsid w:val="00663B3C"/>
    <w:rsid w:val="006668D3"/>
    <w:rsid w:val="00666BE1"/>
    <w:rsid w:val="00667E8C"/>
    <w:rsid w:val="006700C7"/>
    <w:rsid w:val="0067545B"/>
    <w:rsid w:val="0067568B"/>
    <w:rsid w:val="00675F88"/>
    <w:rsid w:val="00675FD0"/>
    <w:rsid w:val="00682108"/>
    <w:rsid w:val="006828CB"/>
    <w:rsid w:val="00683E0B"/>
    <w:rsid w:val="00684848"/>
    <w:rsid w:val="00685E4A"/>
    <w:rsid w:val="0068746C"/>
    <w:rsid w:val="00693C3F"/>
    <w:rsid w:val="00695628"/>
    <w:rsid w:val="006968BF"/>
    <w:rsid w:val="006972F6"/>
    <w:rsid w:val="006A0759"/>
    <w:rsid w:val="006A6C5A"/>
    <w:rsid w:val="006B015C"/>
    <w:rsid w:val="006B4791"/>
    <w:rsid w:val="006B7F04"/>
    <w:rsid w:val="006C1F3A"/>
    <w:rsid w:val="006C3CF5"/>
    <w:rsid w:val="006C45D2"/>
    <w:rsid w:val="006C48F4"/>
    <w:rsid w:val="006C4D7A"/>
    <w:rsid w:val="006C5D3C"/>
    <w:rsid w:val="006D0DCF"/>
    <w:rsid w:val="006D2CC0"/>
    <w:rsid w:val="006D451E"/>
    <w:rsid w:val="006D7AC8"/>
    <w:rsid w:val="006E1A40"/>
    <w:rsid w:val="006E35D0"/>
    <w:rsid w:val="006E489C"/>
    <w:rsid w:val="006E7031"/>
    <w:rsid w:val="006F0A00"/>
    <w:rsid w:val="006F260D"/>
    <w:rsid w:val="006F2D25"/>
    <w:rsid w:val="006F35FA"/>
    <w:rsid w:val="006F53BD"/>
    <w:rsid w:val="006F6EEE"/>
    <w:rsid w:val="0070321D"/>
    <w:rsid w:val="007071CC"/>
    <w:rsid w:val="007108B0"/>
    <w:rsid w:val="00710EC8"/>
    <w:rsid w:val="00711A04"/>
    <w:rsid w:val="00717235"/>
    <w:rsid w:val="00721F4E"/>
    <w:rsid w:val="00722090"/>
    <w:rsid w:val="00722CD5"/>
    <w:rsid w:val="00723AE4"/>
    <w:rsid w:val="007243DE"/>
    <w:rsid w:val="0072587A"/>
    <w:rsid w:val="007262C3"/>
    <w:rsid w:val="00727D39"/>
    <w:rsid w:val="0073049C"/>
    <w:rsid w:val="00732B7B"/>
    <w:rsid w:val="00733149"/>
    <w:rsid w:val="00733520"/>
    <w:rsid w:val="00734A0C"/>
    <w:rsid w:val="00735F97"/>
    <w:rsid w:val="00742A4C"/>
    <w:rsid w:val="00742F01"/>
    <w:rsid w:val="00744DF8"/>
    <w:rsid w:val="00752138"/>
    <w:rsid w:val="00753771"/>
    <w:rsid w:val="00754912"/>
    <w:rsid w:val="00755B1F"/>
    <w:rsid w:val="00755C31"/>
    <w:rsid w:val="00761E21"/>
    <w:rsid w:val="00766869"/>
    <w:rsid w:val="00766D2F"/>
    <w:rsid w:val="007701EB"/>
    <w:rsid w:val="007731ED"/>
    <w:rsid w:val="00774CD0"/>
    <w:rsid w:val="00775E85"/>
    <w:rsid w:val="007806E9"/>
    <w:rsid w:val="00780BFB"/>
    <w:rsid w:val="007810FD"/>
    <w:rsid w:val="007829CC"/>
    <w:rsid w:val="0078329E"/>
    <w:rsid w:val="007834FF"/>
    <w:rsid w:val="00785129"/>
    <w:rsid w:val="007854A0"/>
    <w:rsid w:val="0078592D"/>
    <w:rsid w:val="00785AF4"/>
    <w:rsid w:val="00786931"/>
    <w:rsid w:val="00787B2D"/>
    <w:rsid w:val="00790C95"/>
    <w:rsid w:val="00793432"/>
    <w:rsid w:val="00793D81"/>
    <w:rsid w:val="007973F8"/>
    <w:rsid w:val="00797708"/>
    <w:rsid w:val="007A2E95"/>
    <w:rsid w:val="007A3AB3"/>
    <w:rsid w:val="007A43B1"/>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4EFE"/>
    <w:rsid w:val="007E604B"/>
    <w:rsid w:val="007E6175"/>
    <w:rsid w:val="007E7B81"/>
    <w:rsid w:val="007F0FA1"/>
    <w:rsid w:val="007F4B10"/>
    <w:rsid w:val="007F4D4A"/>
    <w:rsid w:val="007F65C0"/>
    <w:rsid w:val="007F7D17"/>
    <w:rsid w:val="0080273A"/>
    <w:rsid w:val="00802847"/>
    <w:rsid w:val="00804F0C"/>
    <w:rsid w:val="0080518D"/>
    <w:rsid w:val="008112D5"/>
    <w:rsid w:val="00811871"/>
    <w:rsid w:val="008123FD"/>
    <w:rsid w:val="00813DF4"/>
    <w:rsid w:val="00817171"/>
    <w:rsid w:val="0082062E"/>
    <w:rsid w:val="00822895"/>
    <w:rsid w:val="00823868"/>
    <w:rsid w:val="00823DA8"/>
    <w:rsid w:val="008324D2"/>
    <w:rsid w:val="00834C0F"/>
    <w:rsid w:val="008400B5"/>
    <w:rsid w:val="00840411"/>
    <w:rsid w:val="0084619D"/>
    <w:rsid w:val="008471E6"/>
    <w:rsid w:val="0084767F"/>
    <w:rsid w:val="00847C44"/>
    <w:rsid w:val="008503EE"/>
    <w:rsid w:val="00850669"/>
    <w:rsid w:val="008509A7"/>
    <w:rsid w:val="00851EA9"/>
    <w:rsid w:val="00852ED8"/>
    <w:rsid w:val="008539F0"/>
    <w:rsid w:val="00854DB5"/>
    <w:rsid w:val="00856AF6"/>
    <w:rsid w:val="00856D80"/>
    <w:rsid w:val="008579E2"/>
    <w:rsid w:val="00857DA7"/>
    <w:rsid w:val="00857F0A"/>
    <w:rsid w:val="00864129"/>
    <w:rsid w:val="0086438D"/>
    <w:rsid w:val="0086679D"/>
    <w:rsid w:val="00870546"/>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097B"/>
    <w:rsid w:val="008B0DA4"/>
    <w:rsid w:val="008B280B"/>
    <w:rsid w:val="008B52B5"/>
    <w:rsid w:val="008B6E50"/>
    <w:rsid w:val="008C17B5"/>
    <w:rsid w:val="008C36BB"/>
    <w:rsid w:val="008C4E40"/>
    <w:rsid w:val="008C6198"/>
    <w:rsid w:val="008C65C8"/>
    <w:rsid w:val="008D2619"/>
    <w:rsid w:val="008D3283"/>
    <w:rsid w:val="008D34F7"/>
    <w:rsid w:val="008D3A6B"/>
    <w:rsid w:val="008D7B3E"/>
    <w:rsid w:val="008E14EC"/>
    <w:rsid w:val="008E18F6"/>
    <w:rsid w:val="008E3AF2"/>
    <w:rsid w:val="008E5A8B"/>
    <w:rsid w:val="008E6B74"/>
    <w:rsid w:val="008F0FDA"/>
    <w:rsid w:val="008F50BB"/>
    <w:rsid w:val="008F5E9F"/>
    <w:rsid w:val="008F633E"/>
    <w:rsid w:val="008F6FF2"/>
    <w:rsid w:val="009006ED"/>
    <w:rsid w:val="00901A03"/>
    <w:rsid w:val="00903D3A"/>
    <w:rsid w:val="009136F3"/>
    <w:rsid w:val="009151DA"/>
    <w:rsid w:val="00917787"/>
    <w:rsid w:val="00920733"/>
    <w:rsid w:val="009249C6"/>
    <w:rsid w:val="009348FB"/>
    <w:rsid w:val="009403D9"/>
    <w:rsid w:val="00940ECC"/>
    <w:rsid w:val="00942962"/>
    <w:rsid w:val="00943976"/>
    <w:rsid w:val="00944A93"/>
    <w:rsid w:val="00945F3D"/>
    <w:rsid w:val="00945F70"/>
    <w:rsid w:val="009477A7"/>
    <w:rsid w:val="009503C6"/>
    <w:rsid w:val="009504D1"/>
    <w:rsid w:val="00951C44"/>
    <w:rsid w:val="009532F9"/>
    <w:rsid w:val="00955EF9"/>
    <w:rsid w:val="009617E7"/>
    <w:rsid w:val="00961DBA"/>
    <w:rsid w:val="009653CB"/>
    <w:rsid w:val="009656AD"/>
    <w:rsid w:val="00965E67"/>
    <w:rsid w:val="009668C0"/>
    <w:rsid w:val="009700DE"/>
    <w:rsid w:val="00971171"/>
    <w:rsid w:val="00977590"/>
    <w:rsid w:val="00980F59"/>
    <w:rsid w:val="0098552A"/>
    <w:rsid w:val="00992261"/>
    <w:rsid w:val="0099334B"/>
    <w:rsid w:val="009955E2"/>
    <w:rsid w:val="00995D1D"/>
    <w:rsid w:val="00996272"/>
    <w:rsid w:val="00997179"/>
    <w:rsid w:val="009A4C07"/>
    <w:rsid w:val="009B77D5"/>
    <w:rsid w:val="009C1C29"/>
    <w:rsid w:val="009C3E59"/>
    <w:rsid w:val="009C497F"/>
    <w:rsid w:val="009C4A64"/>
    <w:rsid w:val="009C53A5"/>
    <w:rsid w:val="009D0A09"/>
    <w:rsid w:val="009D2CFE"/>
    <w:rsid w:val="009D4372"/>
    <w:rsid w:val="009D4F76"/>
    <w:rsid w:val="009D6A58"/>
    <w:rsid w:val="009D72B1"/>
    <w:rsid w:val="009D78F6"/>
    <w:rsid w:val="009D7A83"/>
    <w:rsid w:val="009E196C"/>
    <w:rsid w:val="009E496E"/>
    <w:rsid w:val="009E4E0A"/>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13BD"/>
    <w:rsid w:val="00A11BA2"/>
    <w:rsid w:val="00A155CB"/>
    <w:rsid w:val="00A160DE"/>
    <w:rsid w:val="00A210F1"/>
    <w:rsid w:val="00A23F7F"/>
    <w:rsid w:val="00A25EFD"/>
    <w:rsid w:val="00A30187"/>
    <w:rsid w:val="00A30CB5"/>
    <w:rsid w:val="00A3688C"/>
    <w:rsid w:val="00A37A36"/>
    <w:rsid w:val="00A44FED"/>
    <w:rsid w:val="00A4584E"/>
    <w:rsid w:val="00A45C9F"/>
    <w:rsid w:val="00A47C58"/>
    <w:rsid w:val="00A512B9"/>
    <w:rsid w:val="00A51B17"/>
    <w:rsid w:val="00A53056"/>
    <w:rsid w:val="00A5447A"/>
    <w:rsid w:val="00A5686C"/>
    <w:rsid w:val="00A6401B"/>
    <w:rsid w:val="00A64DB0"/>
    <w:rsid w:val="00A66F1C"/>
    <w:rsid w:val="00A741CE"/>
    <w:rsid w:val="00A74652"/>
    <w:rsid w:val="00A74924"/>
    <w:rsid w:val="00A7530C"/>
    <w:rsid w:val="00A867E2"/>
    <w:rsid w:val="00A9054F"/>
    <w:rsid w:val="00A9154B"/>
    <w:rsid w:val="00A936EB"/>
    <w:rsid w:val="00A95C70"/>
    <w:rsid w:val="00AA33FA"/>
    <w:rsid w:val="00AA38A0"/>
    <w:rsid w:val="00AA75EA"/>
    <w:rsid w:val="00AB0C08"/>
    <w:rsid w:val="00AB20C2"/>
    <w:rsid w:val="00AB3175"/>
    <w:rsid w:val="00AB36AA"/>
    <w:rsid w:val="00AB4483"/>
    <w:rsid w:val="00AB4709"/>
    <w:rsid w:val="00AB511E"/>
    <w:rsid w:val="00AB5469"/>
    <w:rsid w:val="00AC0417"/>
    <w:rsid w:val="00AC2C75"/>
    <w:rsid w:val="00AC4EB3"/>
    <w:rsid w:val="00AC4F79"/>
    <w:rsid w:val="00AC544F"/>
    <w:rsid w:val="00AD152D"/>
    <w:rsid w:val="00AD257E"/>
    <w:rsid w:val="00AD3B70"/>
    <w:rsid w:val="00AD613C"/>
    <w:rsid w:val="00AD78F2"/>
    <w:rsid w:val="00AD7AF0"/>
    <w:rsid w:val="00AE178E"/>
    <w:rsid w:val="00AE2240"/>
    <w:rsid w:val="00AE2B52"/>
    <w:rsid w:val="00AE5059"/>
    <w:rsid w:val="00AE5E78"/>
    <w:rsid w:val="00AE616C"/>
    <w:rsid w:val="00AE70D6"/>
    <w:rsid w:val="00AE70F7"/>
    <w:rsid w:val="00AE74A3"/>
    <w:rsid w:val="00AF392D"/>
    <w:rsid w:val="00B01F0F"/>
    <w:rsid w:val="00B0784A"/>
    <w:rsid w:val="00B12C09"/>
    <w:rsid w:val="00B133D4"/>
    <w:rsid w:val="00B135DB"/>
    <w:rsid w:val="00B13A99"/>
    <w:rsid w:val="00B14E9F"/>
    <w:rsid w:val="00B20F6B"/>
    <w:rsid w:val="00B21749"/>
    <w:rsid w:val="00B22D28"/>
    <w:rsid w:val="00B22EA7"/>
    <w:rsid w:val="00B236F7"/>
    <w:rsid w:val="00B25DC1"/>
    <w:rsid w:val="00B307D8"/>
    <w:rsid w:val="00B32B71"/>
    <w:rsid w:val="00B33B13"/>
    <w:rsid w:val="00B3669E"/>
    <w:rsid w:val="00B423D5"/>
    <w:rsid w:val="00B43C18"/>
    <w:rsid w:val="00B44532"/>
    <w:rsid w:val="00B4595F"/>
    <w:rsid w:val="00B468B2"/>
    <w:rsid w:val="00B54C8C"/>
    <w:rsid w:val="00B56617"/>
    <w:rsid w:val="00B56B49"/>
    <w:rsid w:val="00B5730A"/>
    <w:rsid w:val="00B60911"/>
    <w:rsid w:val="00B6133D"/>
    <w:rsid w:val="00B6412E"/>
    <w:rsid w:val="00B64EAB"/>
    <w:rsid w:val="00B66523"/>
    <w:rsid w:val="00B67A4A"/>
    <w:rsid w:val="00B7195A"/>
    <w:rsid w:val="00B72992"/>
    <w:rsid w:val="00B75C8F"/>
    <w:rsid w:val="00B7718B"/>
    <w:rsid w:val="00B817A0"/>
    <w:rsid w:val="00B828E1"/>
    <w:rsid w:val="00B86072"/>
    <w:rsid w:val="00B8748E"/>
    <w:rsid w:val="00B90201"/>
    <w:rsid w:val="00B90976"/>
    <w:rsid w:val="00B90DC0"/>
    <w:rsid w:val="00B92E0B"/>
    <w:rsid w:val="00B94E30"/>
    <w:rsid w:val="00B96050"/>
    <w:rsid w:val="00B97DAF"/>
    <w:rsid w:val="00B97E8C"/>
    <w:rsid w:val="00BA0EF3"/>
    <w:rsid w:val="00BA226D"/>
    <w:rsid w:val="00BB143C"/>
    <w:rsid w:val="00BB2CB2"/>
    <w:rsid w:val="00BB3F50"/>
    <w:rsid w:val="00BB555A"/>
    <w:rsid w:val="00BC09BE"/>
    <w:rsid w:val="00BC3DD6"/>
    <w:rsid w:val="00BD121D"/>
    <w:rsid w:val="00BD2232"/>
    <w:rsid w:val="00BD3486"/>
    <w:rsid w:val="00BD5032"/>
    <w:rsid w:val="00BE4AC3"/>
    <w:rsid w:val="00BE53BC"/>
    <w:rsid w:val="00BE6A48"/>
    <w:rsid w:val="00BF3340"/>
    <w:rsid w:val="00BF3708"/>
    <w:rsid w:val="00BF4973"/>
    <w:rsid w:val="00C00E60"/>
    <w:rsid w:val="00C03D02"/>
    <w:rsid w:val="00C066B8"/>
    <w:rsid w:val="00C07769"/>
    <w:rsid w:val="00C10665"/>
    <w:rsid w:val="00C12F9F"/>
    <w:rsid w:val="00C14165"/>
    <w:rsid w:val="00C15027"/>
    <w:rsid w:val="00C2257A"/>
    <w:rsid w:val="00C2650A"/>
    <w:rsid w:val="00C347F9"/>
    <w:rsid w:val="00C36F23"/>
    <w:rsid w:val="00C40A0E"/>
    <w:rsid w:val="00C426A4"/>
    <w:rsid w:val="00C4494D"/>
    <w:rsid w:val="00C456A9"/>
    <w:rsid w:val="00C469BB"/>
    <w:rsid w:val="00C46FB2"/>
    <w:rsid w:val="00C474C3"/>
    <w:rsid w:val="00C519B1"/>
    <w:rsid w:val="00C52051"/>
    <w:rsid w:val="00C57481"/>
    <w:rsid w:val="00C67CB6"/>
    <w:rsid w:val="00C67F49"/>
    <w:rsid w:val="00C71A66"/>
    <w:rsid w:val="00C7592F"/>
    <w:rsid w:val="00C77865"/>
    <w:rsid w:val="00C80F64"/>
    <w:rsid w:val="00C81B13"/>
    <w:rsid w:val="00C8203A"/>
    <w:rsid w:val="00C8521E"/>
    <w:rsid w:val="00C90B31"/>
    <w:rsid w:val="00C9681A"/>
    <w:rsid w:val="00C9705E"/>
    <w:rsid w:val="00CA00ED"/>
    <w:rsid w:val="00CA23D5"/>
    <w:rsid w:val="00CA27D3"/>
    <w:rsid w:val="00CB11F6"/>
    <w:rsid w:val="00CB3FCE"/>
    <w:rsid w:val="00CB65FF"/>
    <w:rsid w:val="00CB78B3"/>
    <w:rsid w:val="00CC7F18"/>
    <w:rsid w:val="00CD334E"/>
    <w:rsid w:val="00CD7B82"/>
    <w:rsid w:val="00CD7E4F"/>
    <w:rsid w:val="00CE1844"/>
    <w:rsid w:val="00CF0517"/>
    <w:rsid w:val="00CF116E"/>
    <w:rsid w:val="00CF4799"/>
    <w:rsid w:val="00CF4F7A"/>
    <w:rsid w:val="00CF5CF3"/>
    <w:rsid w:val="00CF7BD6"/>
    <w:rsid w:val="00D055CC"/>
    <w:rsid w:val="00D11CC9"/>
    <w:rsid w:val="00D122EC"/>
    <w:rsid w:val="00D147CF"/>
    <w:rsid w:val="00D16165"/>
    <w:rsid w:val="00D3212A"/>
    <w:rsid w:val="00D33718"/>
    <w:rsid w:val="00D35B45"/>
    <w:rsid w:val="00D3741E"/>
    <w:rsid w:val="00D40722"/>
    <w:rsid w:val="00D4400C"/>
    <w:rsid w:val="00D46EAE"/>
    <w:rsid w:val="00D474CD"/>
    <w:rsid w:val="00D536CE"/>
    <w:rsid w:val="00D53E12"/>
    <w:rsid w:val="00D5426C"/>
    <w:rsid w:val="00D55950"/>
    <w:rsid w:val="00D61C54"/>
    <w:rsid w:val="00D64094"/>
    <w:rsid w:val="00D64F0F"/>
    <w:rsid w:val="00D6610B"/>
    <w:rsid w:val="00D671D1"/>
    <w:rsid w:val="00D700FA"/>
    <w:rsid w:val="00D71A23"/>
    <w:rsid w:val="00D738F8"/>
    <w:rsid w:val="00D74274"/>
    <w:rsid w:val="00D75D9C"/>
    <w:rsid w:val="00D76CB5"/>
    <w:rsid w:val="00D774F1"/>
    <w:rsid w:val="00D824EA"/>
    <w:rsid w:val="00D82A8E"/>
    <w:rsid w:val="00D85443"/>
    <w:rsid w:val="00D91ADC"/>
    <w:rsid w:val="00D936B0"/>
    <w:rsid w:val="00D9404B"/>
    <w:rsid w:val="00DA0633"/>
    <w:rsid w:val="00DA1DDF"/>
    <w:rsid w:val="00DA3798"/>
    <w:rsid w:val="00DA3E5F"/>
    <w:rsid w:val="00DA445F"/>
    <w:rsid w:val="00DA6A59"/>
    <w:rsid w:val="00DA6B17"/>
    <w:rsid w:val="00DA6D2C"/>
    <w:rsid w:val="00DB12FA"/>
    <w:rsid w:val="00DB4A2A"/>
    <w:rsid w:val="00DB5D7A"/>
    <w:rsid w:val="00DB6347"/>
    <w:rsid w:val="00DC0E6B"/>
    <w:rsid w:val="00DC20D9"/>
    <w:rsid w:val="00DC3E52"/>
    <w:rsid w:val="00DC5CC7"/>
    <w:rsid w:val="00DD1B42"/>
    <w:rsid w:val="00DD3EFB"/>
    <w:rsid w:val="00DD5B0E"/>
    <w:rsid w:val="00DD68C9"/>
    <w:rsid w:val="00DD6ED3"/>
    <w:rsid w:val="00DD7911"/>
    <w:rsid w:val="00DE3654"/>
    <w:rsid w:val="00DE7BAC"/>
    <w:rsid w:val="00DF0FA9"/>
    <w:rsid w:val="00DF3055"/>
    <w:rsid w:val="00DF3423"/>
    <w:rsid w:val="00DF500E"/>
    <w:rsid w:val="00DF5BF1"/>
    <w:rsid w:val="00DF7137"/>
    <w:rsid w:val="00DF71A5"/>
    <w:rsid w:val="00E00A21"/>
    <w:rsid w:val="00E02EAF"/>
    <w:rsid w:val="00E1022D"/>
    <w:rsid w:val="00E10F05"/>
    <w:rsid w:val="00E17DCB"/>
    <w:rsid w:val="00E24401"/>
    <w:rsid w:val="00E249AD"/>
    <w:rsid w:val="00E25490"/>
    <w:rsid w:val="00E30CA3"/>
    <w:rsid w:val="00E30E79"/>
    <w:rsid w:val="00E33B32"/>
    <w:rsid w:val="00E37F02"/>
    <w:rsid w:val="00E41B17"/>
    <w:rsid w:val="00E45070"/>
    <w:rsid w:val="00E453F3"/>
    <w:rsid w:val="00E45412"/>
    <w:rsid w:val="00E47D07"/>
    <w:rsid w:val="00E5253A"/>
    <w:rsid w:val="00E529AD"/>
    <w:rsid w:val="00E52BA3"/>
    <w:rsid w:val="00E55CF9"/>
    <w:rsid w:val="00E608CD"/>
    <w:rsid w:val="00E63264"/>
    <w:rsid w:val="00E63C43"/>
    <w:rsid w:val="00E647C1"/>
    <w:rsid w:val="00E6715B"/>
    <w:rsid w:val="00E70674"/>
    <w:rsid w:val="00E72628"/>
    <w:rsid w:val="00E72C2D"/>
    <w:rsid w:val="00E7395A"/>
    <w:rsid w:val="00E73B65"/>
    <w:rsid w:val="00E779CA"/>
    <w:rsid w:val="00E80981"/>
    <w:rsid w:val="00E80E15"/>
    <w:rsid w:val="00E80F96"/>
    <w:rsid w:val="00E82308"/>
    <w:rsid w:val="00E8240A"/>
    <w:rsid w:val="00E843C1"/>
    <w:rsid w:val="00E84A0C"/>
    <w:rsid w:val="00E85FA6"/>
    <w:rsid w:val="00E90395"/>
    <w:rsid w:val="00E92FAD"/>
    <w:rsid w:val="00E93521"/>
    <w:rsid w:val="00E95A58"/>
    <w:rsid w:val="00E975BF"/>
    <w:rsid w:val="00EA007F"/>
    <w:rsid w:val="00EA01A7"/>
    <w:rsid w:val="00EA2B1F"/>
    <w:rsid w:val="00EA5577"/>
    <w:rsid w:val="00EA7E20"/>
    <w:rsid w:val="00EB48D2"/>
    <w:rsid w:val="00EB4C64"/>
    <w:rsid w:val="00EB7483"/>
    <w:rsid w:val="00EC0978"/>
    <w:rsid w:val="00EC0D6F"/>
    <w:rsid w:val="00EC2DCF"/>
    <w:rsid w:val="00EC380E"/>
    <w:rsid w:val="00EC4DBB"/>
    <w:rsid w:val="00EC5327"/>
    <w:rsid w:val="00EC5BE3"/>
    <w:rsid w:val="00ED126F"/>
    <w:rsid w:val="00ED53C1"/>
    <w:rsid w:val="00ED7F1C"/>
    <w:rsid w:val="00EE059E"/>
    <w:rsid w:val="00EE12C6"/>
    <w:rsid w:val="00EE3847"/>
    <w:rsid w:val="00EE569D"/>
    <w:rsid w:val="00EF2D28"/>
    <w:rsid w:val="00EF5090"/>
    <w:rsid w:val="00EF786E"/>
    <w:rsid w:val="00EF7C10"/>
    <w:rsid w:val="00F015B8"/>
    <w:rsid w:val="00F018DF"/>
    <w:rsid w:val="00F0215B"/>
    <w:rsid w:val="00F07EF0"/>
    <w:rsid w:val="00F11072"/>
    <w:rsid w:val="00F1405B"/>
    <w:rsid w:val="00F1484C"/>
    <w:rsid w:val="00F20592"/>
    <w:rsid w:val="00F20A02"/>
    <w:rsid w:val="00F230E2"/>
    <w:rsid w:val="00F233F5"/>
    <w:rsid w:val="00F2361B"/>
    <w:rsid w:val="00F25421"/>
    <w:rsid w:val="00F268EF"/>
    <w:rsid w:val="00F27C71"/>
    <w:rsid w:val="00F30849"/>
    <w:rsid w:val="00F31483"/>
    <w:rsid w:val="00F3168C"/>
    <w:rsid w:val="00F322F9"/>
    <w:rsid w:val="00F3232D"/>
    <w:rsid w:val="00F3350F"/>
    <w:rsid w:val="00F337F2"/>
    <w:rsid w:val="00F344A1"/>
    <w:rsid w:val="00F3460F"/>
    <w:rsid w:val="00F4119C"/>
    <w:rsid w:val="00F4555B"/>
    <w:rsid w:val="00F5219B"/>
    <w:rsid w:val="00F535F8"/>
    <w:rsid w:val="00F53C38"/>
    <w:rsid w:val="00F62AD0"/>
    <w:rsid w:val="00F63031"/>
    <w:rsid w:val="00F6438F"/>
    <w:rsid w:val="00F65957"/>
    <w:rsid w:val="00F6636F"/>
    <w:rsid w:val="00F6687D"/>
    <w:rsid w:val="00F66E58"/>
    <w:rsid w:val="00F731EB"/>
    <w:rsid w:val="00F73A82"/>
    <w:rsid w:val="00F76770"/>
    <w:rsid w:val="00F80DA1"/>
    <w:rsid w:val="00F822D8"/>
    <w:rsid w:val="00F82355"/>
    <w:rsid w:val="00F83286"/>
    <w:rsid w:val="00F83B1B"/>
    <w:rsid w:val="00F8792D"/>
    <w:rsid w:val="00F9164E"/>
    <w:rsid w:val="00F923C7"/>
    <w:rsid w:val="00F971E4"/>
    <w:rsid w:val="00F97D12"/>
    <w:rsid w:val="00FA1221"/>
    <w:rsid w:val="00FA286C"/>
    <w:rsid w:val="00FA3ECE"/>
    <w:rsid w:val="00FA41F8"/>
    <w:rsid w:val="00FA5547"/>
    <w:rsid w:val="00FA5F02"/>
    <w:rsid w:val="00FA6A0D"/>
    <w:rsid w:val="00FA7033"/>
    <w:rsid w:val="00FA7179"/>
    <w:rsid w:val="00FA7F13"/>
    <w:rsid w:val="00FB0EE9"/>
    <w:rsid w:val="00FC00A4"/>
    <w:rsid w:val="00FC09DC"/>
    <w:rsid w:val="00FC3E61"/>
    <w:rsid w:val="00FC4C76"/>
    <w:rsid w:val="00FD238E"/>
    <w:rsid w:val="00FD2407"/>
    <w:rsid w:val="00FD4A2D"/>
    <w:rsid w:val="00FE064B"/>
    <w:rsid w:val="00FE1614"/>
    <w:rsid w:val="00FE233C"/>
    <w:rsid w:val="00FE3341"/>
    <w:rsid w:val="00FE3F58"/>
    <w:rsid w:val="00FF1CCA"/>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42C48B"/>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F3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uiPriority w:val="59"/>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442A90"/>
    <w:pPr>
      <w:tabs>
        <w:tab w:val="left" w:pos="720"/>
        <w:tab w:val="right" w:leader="dot" w:pos="8630"/>
      </w:tabs>
      <w:ind w:left="187"/>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left" w:pos="648"/>
      </w:tabs>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A3E5F"/>
    <w:pPr>
      <w:spacing w:after="200" w:line="276" w:lineRule="auto"/>
      <w:ind w:left="720"/>
      <w:contextualSpacing/>
    </w:pPr>
    <w:rPr>
      <w:rFonts w:asciiTheme="minorHAnsi" w:eastAsiaTheme="minorEastAsia" w:hAnsiTheme="minorHAnsi" w:cstheme="minorBidi"/>
      <w:color w:val="auto"/>
      <w:sz w:val="22"/>
      <w:szCs w:val="22"/>
    </w:rPr>
  </w:style>
  <w:style w:type="paragraph" w:customStyle="1" w:styleId="smjnumberjustified">
    <w:name w:val="smj number justified"/>
    <w:aliases w:val="continue"/>
    <w:basedOn w:val="number"/>
    <w:link w:val="smjnumberjustifiedChar"/>
    <w:qFormat/>
    <w:rsid w:val="00590443"/>
  </w:style>
  <w:style w:type="character" w:customStyle="1" w:styleId="smjnumberjustifiedChar">
    <w:name w:val="smj number justified Char"/>
    <w:aliases w:val="continue Char"/>
    <w:basedOn w:val="numberChar"/>
    <w:link w:val="smjnumberjustified"/>
    <w:rsid w:val="00590443"/>
    <w:rPr>
      <w:rFonts w:ascii="Arial" w:hAnsi="Arial"/>
      <w:color w:val="5B6770" w:themeColor="accent2"/>
      <w:sz w:val="21"/>
      <w:szCs w:val="24"/>
    </w:rPr>
  </w:style>
  <w:style w:type="paragraph" w:customStyle="1" w:styleId="StylenumberJustified">
    <w:name w:val="Style number + Justified"/>
    <w:basedOn w:val="number"/>
    <w:rsid w:val="001E5B2F"/>
    <w:pPr>
      <w:tabs>
        <w:tab w:val="clear" w:pos="4032"/>
      </w:tabs>
      <w:ind w:left="936" w:hanging="288"/>
      <w:jc w:val="both"/>
    </w:pPr>
    <w:rPr>
      <w:szCs w:val="20"/>
    </w:rPr>
  </w:style>
  <w:style w:type="paragraph" w:customStyle="1" w:styleId="Style1">
    <w:name w:val="Style1"/>
    <w:basedOn w:val="number"/>
    <w:link w:val="Style1Char"/>
    <w:qFormat/>
    <w:rsid w:val="001E5B2F"/>
    <w:pPr>
      <w:tabs>
        <w:tab w:val="clear" w:pos="4032"/>
      </w:tabs>
      <w:ind w:left="648" w:hanging="288"/>
    </w:pPr>
  </w:style>
  <w:style w:type="character" w:customStyle="1" w:styleId="Style1Char">
    <w:name w:val="Style1 Char"/>
    <w:basedOn w:val="numberChar"/>
    <w:link w:val="Style1"/>
    <w:rsid w:val="001E5B2F"/>
    <w:rPr>
      <w:rFonts w:ascii="Arial" w:hAnsi="Arial"/>
      <w:color w:val="5B6770" w:themeColor="accent2"/>
      <w:sz w:val="21"/>
      <w:szCs w:val="24"/>
    </w:rPr>
  </w:style>
  <w:style w:type="paragraph" w:customStyle="1" w:styleId="sarah">
    <w:name w:val="sarah"/>
    <w:basedOn w:val="Normal"/>
    <w:qFormat/>
    <w:rsid w:val="00020EE0"/>
    <w:pPr>
      <w:numPr>
        <w:numId w:val="20"/>
      </w:numPr>
      <w:tabs>
        <w:tab w:val="left" w:pos="648"/>
      </w:tabs>
      <w:spacing w:after="120" w:line="260" w:lineRule="exact"/>
      <w:ind w:left="576" w:hanging="288"/>
      <w:jc w:val="both"/>
    </w:pPr>
    <w:rPr>
      <w:color w:val="5B6770"/>
      <w:sz w:val="21"/>
      <w:szCs w:val="21"/>
    </w:rPr>
  </w:style>
  <w:style w:type="paragraph" w:styleId="Revision">
    <w:name w:val="Revision"/>
    <w:hidden/>
    <w:uiPriority w:val="99"/>
    <w:semiHidden/>
    <w:rsid w:val="0068746C"/>
    <w:rPr>
      <w:rFonts w:ascii="Arial" w:hAnsi="Arial"/>
      <w:color w:val="5B6770"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png"/><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1.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3.xml"/><Relationship Id="rId32" Type="http://schemas.openxmlformats.org/officeDocument/2006/relationships/image" Target="media/image8.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chart" Target="charts/chart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hart" Target="charts/chart2.xml"/><Relationship Id="rId27" Type="http://schemas.openxmlformats.org/officeDocument/2006/relationships/image" Target="media/image6.png"/><Relationship Id="rId30" Type="http://schemas.openxmlformats.org/officeDocument/2006/relationships/chart" Target="charts/chart6.xml"/><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ep.ercot.com/sot/Training%20Cycles/2016/2016_Cycle1_BST/2016%20BLACK%20START%20TRAINING/ISLAND%20PROGRESSIONS/Graphical_MW_Restoration_Week_to_Wee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ep.ercot.com/sot/Training%20Cycles/2016/2016_Cycle1_BST/2016%20BLACK%20START%20TRAINING/ISLAND%20PROGRESSIONS/Graphical_MW_Restoration_Week_to_Wee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ep.ercot.com/sot/Training%20Cycles/2016/2016_Cycle1_BST/2016%20BLACK%20START%20TRAINING/ISLAND%20PROGRESSIONS/Graphical_MW_Restoration_Week_to_Wee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ep.ercot.com/sot/Training%20Cycles/2016/2016_Cycle1_BST/2016%20BLACK%20START%20TRAINING/ISLAND%20PROGRESSIONS/Graphical_MW_Restoration_Week_to_Week.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johnson\Desktop\Copy%20of%20Graphical_MW_Restoration_Week_to_Week.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ep.ercot.com/sot/Training%20Cycles/2016/2016_Cycle1_BST/2016%20BLACK%20START%20TRAINING/ISLAND%20PROGRESSIONS/Graphical_MW_Restoration_Week_to_Week.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ep.ercot.com/sot/Training%20Cycles/2016/2016_Cycle1_BST/2016%20BLACK%20START%20TRAINING/ISLAND%20PROGRESSIONS/Graphical_MW_Restoration_Week_to_Week.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Week 1:</a:t>
            </a:r>
            <a:r>
              <a:rPr lang="en-US" baseline="0"/>
              <a:t> MW vs Hour</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Sheet1!$A$2:$A$14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Sheet1!$B$2:$B$14</c:f>
              <c:numCache>
                <c:formatCode>General</c:formatCode>
                <c:ptCount val="13"/>
                <c:pt idx="1">
                  <c:v>174</c:v>
                </c:pt>
                <c:pt idx="2">
                  <c:v>169</c:v>
                </c:pt>
                <c:pt idx="3">
                  <c:v>485</c:v>
                </c:pt>
                <c:pt idx="4">
                  <c:v>671</c:v>
                </c:pt>
                <c:pt idx="5">
                  <c:v>1180</c:v>
                </c:pt>
                <c:pt idx="6">
                  <c:v>2137</c:v>
                </c:pt>
                <c:pt idx="7">
                  <c:v>3111</c:v>
                </c:pt>
                <c:pt idx="8">
                  <c:v>4113</c:v>
                </c:pt>
                <c:pt idx="9">
                  <c:v>4909</c:v>
                </c:pt>
                <c:pt idx="10">
                  <c:v>4919</c:v>
                </c:pt>
                <c:pt idx="11">
                  <c:v>5534</c:v>
                </c:pt>
                <c:pt idx="12">
                  <c:v>6593</c:v>
                </c:pt>
              </c:numCache>
            </c:numRef>
          </c:val>
          <c:smooth val="0"/>
        </c:ser>
        <c:dLbls>
          <c:showLegendKey val="0"/>
          <c:showVal val="0"/>
          <c:showCatName val="0"/>
          <c:showSerName val="0"/>
          <c:showPercent val="0"/>
          <c:showBubbleSize val="0"/>
        </c:dLbls>
        <c:smooth val="0"/>
        <c:axId val="139591472"/>
        <c:axId val="139953136"/>
      </c:lineChart>
      <c:catAx>
        <c:axId val="13959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953136"/>
        <c:crosses val="autoZero"/>
        <c:auto val="1"/>
        <c:lblAlgn val="ctr"/>
        <c:lblOffset val="100"/>
        <c:noMultiLvlLbl val="0"/>
      </c:catAx>
      <c:valAx>
        <c:axId val="139953136"/>
        <c:scaling>
          <c:orientation val="minMax"/>
          <c:max val="2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591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Week 2: MW vs Hour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Sheet1!$G$2:$G$14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Sheet1!$H$2:$H$14</c:f>
              <c:numCache>
                <c:formatCode>General</c:formatCode>
                <c:ptCount val="13"/>
                <c:pt idx="0">
                  <c:v>51</c:v>
                </c:pt>
                <c:pt idx="1">
                  <c:v>160</c:v>
                </c:pt>
                <c:pt idx="2">
                  <c:v>241</c:v>
                </c:pt>
                <c:pt idx="3">
                  <c:v>422</c:v>
                </c:pt>
                <c:pt idx="4">
                  <c:v>815</c:v>
                </c:pt>
                <c:pt idx="5">
                  <c:v>1553</c:v>
                </c:pt>
                <c:pt idx="6">
                  <c:v>1864</c:v>
                </c:pt>
                <c:pt idx="7">
                  <c:v>2825</c:v>
                </c:pt>
                <c:pt idx="8">
                  <c:v>5512</c:v>
                </c:pt>
                <c:pt idx="9">
                  <c:v>7862</c:v>
                </c:pt>
                <c:pt idx="10">
                  <c:v>9795</c:v>
                </c:pt>
                <c:pt idx="11">
                  <c:v>13873</c:v>
                </c:pt>
                <c:pt idx="12">
                  <c:v>16156</c:v>
                </c:pt>
              </c:numCache>
            </c:numRef>
          </c:val>
          <c:smooth val="0"/>
        </c:ser>
        <c:dLbls>
          <c:showLegendKey val="0"/>
          <c:showVal val="0"/>
          <c:showCatName val="0"/>
          <c:showSerName val="0"/>
          <c:showPercent val="0"/>
          <c:showBubbleSize val="0"/>
        </c:dLbls>
        <c:smooth val="0"/>
        <c:axId val="139169896"/>
        <c:axId val="138195808"/>
      </c:lineChart>
      <c:catAx>
        <c:axId val="139169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195808"/>
        <c:crosses val="autoZero"/>
        <c:auto val="1"/>
        <c:lblAlgn val="ctr"/>
        <c:lblOffset val="100"/>
        <c:noMultiLvlLbl val="0"/>
      </c:catAx>
      <c:valAx>
        <c:axId val="138195808"/>
        <c:scaling>
          <c:orientation val="minMax"/>
          <c:max val="2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169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Week 3: MW vs Hour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Sheet1!$M$2:$M$14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Sheet1!$N$2:$N$14</c:f>
              <c:numCache>
                <c:formatCode>General</c:formatCode>
                <c:ptCount val="13"/>
                <c:pt idx="0">
                  <c:v>50</c:v>
                </c:pt>
                <c:pt idx="1">
                  <c:v>130</c:v>
                </c:pt>
                <c:pt idx="2">
                  <c:v>337</c:v>
                </c:pt>
                <c:pt idx="3">
                  <c:v>599</c:v>
                </c:pt>
                <c:pt idx="4">
                  <c:v>1095</c:v>
                </c:pt>
                <c:pt idx="5">
                  <c:v>1625</c:v>
                </c:pt>
                <c:pt idx="6">
                  <c:v>1981</c:v>
                </c:pt>
                <c:pt idx="7">
                  <c:v>2410</c:v>
                </c:pt>
                <c:pt idx="8">
                  <c:v>2978</c:v>
                </c:pt>
                <c:pt idx="9">
                  <c:v>4223</c:v>
                </c:pt>
                <c:pt idx="10">
                  <c:v>6020</c:v>
                </c:pt>
                <c:pt idx="11">
                  <c:v>7373</c:v>
                </c:pt>
                <c:pt idx="12">
                  <c:v>8408</c:v>
                </c:pt>
              </c:numCache>
            </c:numRef>
          </c:val>
          <c:smooth val="0"/>
        </c:ser>
        <c:dLbls>
          <c:showLegendKey val="0"/>
          <c:showVal val="0"/>
          <c:showCatName val="0"/>
          <c:showSerName val="0"/>
          <c:showPercent val="0"/>
          <c:showBubbleSize val="0"/>
        </c:dLbls>
        <c:smooth val="0"/>
        <c:axId val="284701336"/>
        <c:axId val="284767944"/>
      </c:lineChart>
      <c:catAx>
        <c:axId val="284701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767944"/>
        <c:crosses val="autoZero"/>
        <c:auto val="1"/>
        <c:lblAlgn val="ctr"/>
        <c:lblOffset val="100"/>
        <c:noMultiLvlLbl val="0"/>
      </c:catAx>
      <c:valAx>
        <c:axId val="284767944"/>
        <c:scaling>
          <c:orientation val="minMax"/>
          <c:max val="2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701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Week 4: MW vs Hour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Sheet1!$S$2:$S$14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Sheet1!$T$2:$T$14</c:f>
              <c:numCache>
                <c:formatCode>General</c:formatCode>
                <c:ptCount val="13"/>
                <c:pt idx="0">
                  <c:v>77</c:v>
                </c:pt>
                <c:pt idx="1">
                  <c:v>225</c:v>
                </c:pt>
                <c:pt idx="2">
                  <c:v>454</c:v>
                </c:pt>
                <c:pt idx="3">
                  <c:v>892</c:v>
                </c:pt>
                <c:pt idx="4">
                  <c:v>1454</c:v>
                </c:pt>
                <c:pt idx="5">
                  <c:v>2081</c:v>
                </c:pt>
                <c:pt idx="6">
                  <c:v>2950</c:v>
                </c:pt>
                <c:pt idx="7">
                  <c:v>3830</c:v>
                </c:pt>
                <c:pt idx="8">
                  <c:v>5281</c:v>
                </c:pt>
                <c:pt idx="9">
                  <c:v>5761</c:v>
                </c:pt>
                <c:pt idx="10">
                  <c:v>6125</c:v>
                </c:pt>
                <c:pt idx="11">
                  <c:v>7532</c:v>
                </c:pt>
                <c:pt idx="12">
                  <c:v>8729</c:v>
                </c:pt>
              </c:numCache>
            </c:numRef>
          </c:val>
          <c:smooth val="0"/>
        </c:ser>
        <c:dLbls>
          <c:showLegendKey val="0"/>
          <c:showVal val="0"/>
          <c:showCatName val="0"/>
          <c:showSerName val="0"/>
          <c:showPercent val="0"/>
          <c:showBubbleSize val="0"/>
        </c:dLbls>
        <c:smooth val="0"/>
        <c:axId val="284884160"/>
        <c:axId val="284886592"/>
      </c:lineChart>
      <c:catAx>
        <c:axId val="28488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886592"/>
        <c:crosses val="autoZero"/>
        <c:auto val="1"/>
        <c:lblAlgn val="ctr"/>
        <c:lblOffset val="100"/>
        <c:noMultiLvlLbl val="0"/>
      </c:catAx>
      <c:valAx>
        <c:axId val="284886592"/>
        <c:scaling>
          <c:orientation val="minMax"/>
          <c:max val="2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884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Week 5: MW vs Hour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Sheet1!$Y$2:$Y$14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Sheet1!$Z$2:$Z$14</c:f>
              <c:numCache>
                <c:formatCode>General</c:formatCode>
                <c:ptCount val="13"/>
                <c:pt idx="0">
                  <c:v>41</c:v>
                </c:pt>
                <c:pt idx="1">
                  <c:v>135</c:v>
                </c:pt>
                <c:pt idx="2">
                  <c:v>262</c:v>
                </c:pt>
                <c:pt idx="3">
                  <c:v>403</c:v>
                </c:pt>
                <c:pt idx="4">
                  <c:v>1001</c:v>
                </c:pt>
                <c:pt idx="5">
                  <c:v>1235</c:v>
                </c:pt>
                <c:pt idx="6">
                  <c:v>2147</c:v>
                </c:pt>
                <c:pt idx="7">
                  <c:v>2902</c:v>
                </c:pt>
                <c:pt idx="8">
                  <c:v>3667</c:v>
                </c:pt>
                <c:pt idx="9">
                  <c:v>4000</c:v>
                </c:pt>
                <c:pt idx="10">
                  <c:v>5377</c:v>
                </c:pt>
                <c:pt idx="11">
                  <c:v>7947</c:v>
                </c:pt>
                <c:pt idx="12">
                  <c:v>11766</c:v>
                </c:pt>
              </c:numCache>
            </c:numRef>
          </c:val>
          <c:smooth val="0"/>
        </c:ser>
        <c:dLbls>
          <c:showLegendKey val="0"/>
          <c:showVal val="0"/>
          <c:showCatName val="0"/>
          <c:showSerName val="0"/>
          <c:showPercent val="0"/>
          <c:showBubbleSize val="0"/>
        </c:dLbls>
        <c:smooth val="0"/>
        <c:axId val="140198736"/>
        <c:axId val="90071328"/>
      </c:lineChart>
      <c:catAx>
        <c:axId val="1401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071328"/>
        <c:crosses val="autoZero"/>
        <c:auto val="1"/>
        <c:lblAlgn val="ctr"/>
        <c:lblOffset val="100"/>
        <c:noMultiLvlLbl val="0"/>
      </c:catAx>
      <c:valAx>
        <c:axId val="90071328"/>
        <c:scaling>
          <c:orientation val="minMax"/>
          <c:max val="25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198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Week 6: MW vs Hour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Sheet1!$AD$2:$AD$14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Sheet1!$AE$2:$AE$14</c:f>
              <c:numCache>
                <c:formatCode>General</c:formatCode>
                <c:ptCount val="13"/>
                <c:pt idx="0">
                  <c:v>55</c:v>
                </c:pt>
                <c:pt idx="1">
                  <c:v>166</c:v>
                </c:pt>
                <c:pt idx="2">
                  <c:v>362</c:v>
                </c:pt>
                <c:pt idx="3">
                  <c:v>731</c:v>
                </c:pt>
                <c:pt idx="4">
                  <c:v>1261</c:v>
                </c:pt>
                <c:pt idx="5">
                  <c:v>2030</c:v>
                </c:pt>
                <c:pt idx="6">
                  <c:v>3889</c:v>
                </c:pt>
                <c:pt idx="7">
                  <c:v>6011</c:v>
                </c:pt>
                <c:pt idx="8">
                  <c:v>7655</c:v>
                </c:pt>
                <c:pt idx="9">
                  <c:v>9513</c:v>
                </c:pt>
                <c:pt idx="10">
                  <c:v>11423</c:v>
                </c:pt>
                <c:pt idx="11">
                  <c:v>17072</c:v>
                </c:pt>
                <c:pt idx="12">
                  <c:v>22362</c:v>
                </c:pt>
              </c:numCache>
            </c:numRef>
          </c:val>
          <c:smooth val="0"/>
        </c:ser>
        <c:dLbls>
          <c:showLegendKey val="0"/>
          <c:showVal val="0"/>
          <c:showCatName val="0"/>
          <c:showSerName val="0"/>
          <c:showPercent val="0"/>
          <c:showBubbleSize val="0"/>
        </c:dLbls>
        <c:smooth val="0"/>
        <c:axId val="90070544"/>
        <c:axId val="90070152"/>
      </c:lineChart>
      <c:catAx>
        <c:axId val="9007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070152"/>
        <c:crosses val="autoZero"/>
        <c:auto val="1"/>
        <c:lblAlgn val="ctr"/>
        <c:lblOffset val="100"/>
        <c:noMultiLvlLbl val="0"/>
      </c:catAx>
      <c:valAx>
        <c:axId val="90070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070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Restoration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Sheet1!$A$37:$A$68</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numCache>
            </c:numRef>
          </c:cat>
          <c:val>
            <c:numRef>
              <c:f>Sheet1!$B$37:$B$68</c:f>
              <c:numCache>
                <c:formatCode>General</c:formatCode>
                <c:ptCount val="32"/>
                <c:pt idx="0">
                  <c:v>55</c:v>
                </c:pt>
                <c:pt idx="1">
                  <c:v>166</c:v>
                </c:pt>
                <c:pt idx="2">
                  <c:v>362</c:v>
                </c:pt>
                <c:pt idx="3">
                  <c:v>731</c:v>
                </c:pt>
                <c:pt idx="4">
                  <c:v>1261</c:v>
                </c:pt>
                <c:pt idx="5">
                  <c:v>2030</c:v>
                </c:pt>
                <c:pt idx="6">
                  <c:v>3889</c:v>
                </c:pt>
                <c:pt idx="7">
                  <c:v>6011</c:v>
                </c:pt>
                <c:pt idx="8">
                  <c:v>7655</c:v>
                </c:pt>
                <c:pt idx="9">
                  <c:v>9513</c:v>
                </c:pt>
                <c:pt idx="10">
                  <c:v>11423</c:v>
                </c:pt>
                <c:pt idx="11">
                  <c:v>17072</c:v>
                </c:pt>
                <c:pt idx="12">
                  <c:v>22362</c:v>
                </c:pt>
                <c:pt idx="13">
                  <c:v>22119</c:v>
                </c:pt>
                <c:pt idx="14">
                  <c:v>21438</c:v>
                </c:pt>
                <c:pt idx="15">
                  <c:v>19730</c:v>
                </c:pt>
                <c:pt idx="16">
                  <c:v>21221</c:v>
                </c:pt>
                <c:pt idx="17">
                  <c:v>23830</c:v>
                </c:pt>
                <c:pt idx="18">
                  <c:v>26805</c:v>
                </c:pt>
                <c:pt idx="19">
                  <c:v>27339</c:v>
                </c:pt>
                <c:pt idx="20">
                  <c:v>28421</c:v>
                </c:pt>
                <c:pt idx="21">
                  <c:v>30798</c:v>
                </c:pt>
                <c:pt idx="22">
                  <c:v>32469</c:v>
                </c:pt>
                <c:pt idx="23">
                  <c:v>32469</c:v>
                </c:pt>
                <c:pt idx="24">
                  <c:v>34657</c:v>
                </c:pt>
                <c:pt idx="25">
                  <c:v>37720</c:v>
                </c:pt>
                <c:pt idx="26">
                  <c:v>40620</c:v>
                </c:pt>
                <c:pt idx="27">
                  <c:v>41907</c:v>
                </c:pt>
                <c:pt idx="28">
                  <c:v>44969</c:v>
                </c:pt>
                <c:pt idx="29">
                  <c:v>46901</c:v>
                </c:pt>
                <c:pt idx="30">
                  <c:v>52388</c:v>
                </c:pt>
                <c:pt idx="31">
                  <c:v>56143</c:v>
                </c:pt>
              </c:numCache>
            </c:numRef>
          </c:val>
          <c:smooth val="0"/>
        </c:ser>
        <c:dLbls>
          <c:showLegendKey val="0"/>
          <c:showVal val="0"/>
          <c:showCatName val="0"/>
          <c:showSerName val="0"/>
          <c:showPercent val="0"/>
          <c:showBubbleSize val="0"/>
        </c:dLbls>
        <c:smooth val="0"/>
        <c:axId val="284233120"/>
        <c:axId val="284233512"/>
      </c:lineChart>
      <c:catAx>
        <c:axId val="28423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233512"/>
        <c:crosses val="autoZero"/>
        <c:auto val="1"/>
        <c:lblAlgn val="ctr"/>
        <c:lblOffset val="100"/>
        <c:noMultiLvlLbl val="0"/>
      </c:catAx>
      <c:valAx>
        <c:axId val="284233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233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schemas.microsoft.com/office/2006/documentManagement/types"/>
    <ds:schemaRef ds:uri="http://purl.org/dc/dcmitype/"/>
    <ds:schemaRef ds:uri="http://purl.org/dc/terms/"/>
    <ds:schemaRef ds:uri="http://purl.org/dc/elements/1.1/"/>
    <ds:schemaRef ds:uri="c34af464-7aa1-4edd-9be4-83dffc1cb926"/>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C25E1745-26A4-4F3A-B22A-C0E962C43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5E6D10-CC06-4429-BF09-AB9B4E8B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0</TotalTime>
  <Pages>16</Pages>
  <Words>3464</Words>
  <Characters>19748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23166</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Spinner, Mark</cp:lastModifiedBy>
  <cp:revision>2</cp:revision>
  <cp:lastPrinted>2016-01-26T23:30:00Z</cp:lastPrinted>
  <dcterms:created xsi:type="dcterms:W3CDTF">2016-05-17T14:10:00Z</dcterms:created>
  <dcterms:modified xsi:type="dcterms:W3CDTF">2016-05-17T14:10:00Z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0x010100BDA35E88E82CE54C93D2E1D31972296F</vt:lpwstr>
  </property>
</Properties>
</file>