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53" w:rsidRDefault="009326AC">
      <w:pPr>
        <w:rPr>
          <w:sz w:val="56"/>
          <w:szCs w:val="56"/>
        </w:rPr>
      </w:pPr>
      <w:r>
        <w:rPr>
          <w:sz w:val="56"/>
          <w:szCs w:val="56"/>
        </w:rPr>
        <w:t>May 24, 2016 RMR Workshop</w:t>
      </w:r>
    </w:p>
    <w:p w:rsidR="00BA7383" w:rsidRDefault="00BA7383">
      <w:pPr>
        <w:rPr>
          <w:sz w:val="28"/>
          <w:szCs w:val="56"/>
        </w:rPr>
      </w:pPr>
      <w:r>
        <w:rPr>
          <w:sz w:val="28"/>
          <w:szCs w:val="56"/>
        </w:rPr>
        <w:t>Issues List:</w:t>
      </w:r>
    </w:p>
    <w:p w:rsidR="00BA73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>NSO Notification Timeline</w:t>
      </w:r>
      <w:r w:rsidR="00D45283">
        <w:rPr>
          <w:sz w:val="28"/>
          <w:szCs w:val="56"/>
        </w:rPr>
        <w:t xml:space="preserve"> (in 25.502 Substantive Rule?)</w:t>
      </w:r>
    </w:p>
    <w:p w:rsidR="00BA73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>Obligation or Incentive For Early Notification</w:t>
      </w:r>
    </w:p>
    <w:p w:rsidR="00BA73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>Transmission Planning Assumptions – should ERCOT forecast retirements?</w:t>
      </w:r>
    </w:p>
    <w:p w:rsidR="00D45283" w:rsidRDefault="00D45283" w:rsidP="00D45283">
      <w:pPr>
        <w:pStyle w:val="ListParagraph"/>
        <w:numPr>
          <w:ilvl w:val="1"/>
          <w:numId w:val="1"/>
        </w:numPr>
        <w:rPr>
          <w:sz w:val="28"/>
          <w:szCs w:val="56"/>
        </w:rPr>
      </w:pPr>
      <w:r>
        <w:rPr>
          <w:sz w:val="28"/>
          <w:szCs w:val="56"/>
        </w:rPr>
        <w:t>Develop potential alternatives to potential retirements</w:t>
      </w:r>
    </w:p>
    <w:p w:rsidR="00BA73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>Get rid of transmission exit strategy for RMRs?</w:t>
      </w:r>
    </w:p>
    <w:p w:rsidR="00BA73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>RMR Study case assumptions and Risk Analysis (less conservative for RMR than for transmission planning studies?); RMR for transmission constraint criteria</w:t>
      </w:r>
      <w:bookmarkStart w:id="0" w:name="_GoBack"/>
      <w:bookmarkEnd w:id="0"/>
    </w:p>
    <w:p w:rsidR="00BA73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 xml:space="preserve">RMR for capacity criteria? </w:t>
      </w:r>
    </w:p>
    <w:p w:rsidR="00BA7383" w:rsidRPr="00D452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  <w:highlight w:val="yellow"/>
        </w:rPr>
      </w:pPr>
      <w:r w:rsidRPr="00D45283">
        <w:rPr>
          <w:sz w:val="28"/>
          <w:szCs w:val="56"/>
          <w:highlight w:val="yellow"/>
        </w:rPr>
        <w:t>Remove Output Schedule Option?</w:t>
      </w:r>
    </w:p>
    <w:p w:rsidR="00BA73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>RMR RUC Criteria transparency</w:t>
      </w:r>
    </w:p>
    <w:p w:rsidR="00BA7383" w:rsidRPr="00D452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  <w:highlight w:val="yellow"/>
        </w:rPr>
      </w:pPr>
      <w:r w:rsidRPr="00D45283">
        <w:rPr>
          <w:sz w:val="28"/>
          <w:szCs w:val="56"/>
          <w:highlight w:val="yellow"/>
        </w:rPr>
        <w:t>SCED dispatch for transmission constraint issues</w:t>
      </w:r>
    </w:p>
    <w:p w:rsidR="00BA7383" w:rsidRPr="00D45283" w:rsidRDefault="00BA7383" w:rsidP="00BA7383">
      <w:pPr>
        <w:pStyle w:val="ListParagraph"/>
        <w:numPr>
          <w:ilvl w:val="1"/>
          <w:numId w:val="1"/>
        </w:numPr>
        <w:rPr>
          <w:sz w:val="28"/>
          <w:szCs w:val="56"/>
          <w:highlight w:val="yellow"/>
        </w:rPr>
      </w:pPr>
      <w:r w:rsidRPr="00D45283">
        <w:rPr>
          <w:sz w:val="28"/>
          <w:szCs w:val="56"/>
          <w:highlight w:val="yellow"/>
        </w:rPr>
        <w:t>Mitigation</w:t>
      </w:r>
    </w:p>
    <w:p w:rsidR="005A57C6" w:rsidRPr="00D45283" w:rsidRDefault="005A57C6" w:rsidP="005A57C6">
      <w:pPr>
        <w:pStyle w:val="ListParagraph"/>
        <w:numPr>
          <w:ilvl w:val="0"/>
          <w:numId w:val="1"/>
        </w:numPr>
        <w:rPr>
          <w:sz w:val="28"/>
          <w:szCs w:val="56"/>
          <w:highlight w:val="yellow"/>
        </w:rPr>
      </w:pPr>
      <w:r>
        <w:rPr>
          <w:sz w:val="28"/>
          <w:szCs w:val="56"/>
        </w:rPr>
        <w:t xml:space="preserve"> </w:t>
      </w:r>
      <w:r w:rsidRPr="00D45283">
        <w:rPr>
          <w:sz w:val="28"/>
          <w:szCs w:val="56"/>
          <w:highlight w:val="yellow"/>
        </w:rPr>
        <w:t xml:space="preserve">Capital Contribution </w:t>
      </w:r>
      <w:r w:rsidR="002D4D6E" w:rsidRPr="00D45283">
        <w:rPr>
          <w:sz w:val="28"/>
          <w:szCs w:val="56"/>
          <w:highlight w:val="yellow"/>
        </w:rPr>
        <w:t>Claw back</w:t>
      </w:r>
    </w:p>
    <w:p w:rsidR="00D45283" w:rsidRPr="00D45283" w:rsidRDefault="00D45283" w:rsidP="005A57C6">
      <w:pPr>
        <w:pStyle w:val="ListParagraph"/>
        <w:numPr>
          <w:ilvl w:val="0"/>
          <w:numId w:val="1"/>
        </w:numPr>
        <w:rPr>
          <w:sz w:val="28"/>
          <w:szCs w:val="56"/>
          <w:highlight w:val="yellow"/>
        </w:rPr>
      </w:pPr>
      <w:r>
        <w:rPr>
          <w:sz w:val="28"/>
          <w:szCs w:val="56"/>
        </w:rPr>
        <w:t xml:space="preserve"> </w:t>
      </w:r>
      <w:r w:rsidRPr="00D45283">
        <w:rPr>
          <w:sz w:val="28"/>
          <w:szCs w:val="56"/>
          <w:highlight w:val="yellow"/>
        </w:rPr>
        <w:t>Capital Contribution definition</w:t>
      </w:r>
    </w:p>
    <w:p w:rsidR="005A57C6" w:rsidRPr="00D45283" w:rsidRDefault="005A57C6" w:rsidP="005A57C6">
      <w:pPr>
        <w:pStyle w:val="ListParagraph"/>
        <w:numPr>
          <w:ilvl w:val="0"/>
          <w:numId w:val="1"/>
        </w:numPr>
        <w:rPr>
          <w:sz w:val="28"/>
          <w:szCs w:val="56"/>
          <w:highlight w:val="yellow"/>
        </w:rPr>
      </w:pPr>
      <w:r>
        <w:rPr>
          <w:sz w:val="28"/>
          <w:szCs w:val="56"/>
        </w:rPr>
        <w:t xml:space="preserve"> </w:t>
      </w:r>
      <w:r w:rsidRPr="00D45283">
        <w:rPr>
          <w:sz w:val="28"/>
          <w:szCs w:val="56"/>
          <w:highlight w:val="yellow"/>
        </w:rPr>
        <w:t>Can a PUN be an MRA?</w:t>
      </w:r>
    </w:p>
    <w:p w:rsidR="005A57C6" w:rsidRDefault="005A57C6" w:rsidP="005A57C6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 xml:space="preserve"> Are there perverse incentives in the MRA language today?</w:t>
      </w:r>
    </w:p>
    <w:p w:rsidR="005A57C6" w:rsidRDefault="005A57C6" w:rsidP="005A57C6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 xml:space="preserve"> Contract length</w:t>
      </w:r>
    </w:p>
    <w:p w:rsidR="00D45283" w:rsidRDefault="00D45283" w:rsidP="00D45283">
      <w:pPr>
        <w:pStyle w:val="ListParagraph"/>
        <w:numPr>
          <w:ilvl w:val="1"/>
          <w:numId w:val="1"/>
        </w:numPr>
        <w:rPr>
          <w:sz w:val="28"/>
          <w:szCs w:val="56"/>
        </w:rPr>
      </w:pPr>
      <w:r>
        <w:rPr>
          <w:sz w:val="28"/>
          <w:szCs w:val="56"/>
        </w:rPr>
        <w:t>“significant investment” language</w:t>
      </w:r>
    </w:p>
    <w:p w:rsidR="00D45283" w:rsidRDefault="00D45283" w:rsidP="005A57C6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 xml:space="preserve"> Pre-RMR execution MRA process</w:t>
      </w:r>
    </w:p>
    <w:p w:rsidR="00D45283" w:rsidRDefault="00D45283" w:rsidP="005A57C6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 xml:space="preserve"> Contract language clean up</w:t>
      </w:r>
    </w:p>
    <w:p w:rsidR="00B20720" w:rsidRPr="00BA7383" w:rsidRDefault="00B20720" w:rsidP="005A57C6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 xml:space="preserve"> Does MRA have to solve the reliability issue or just provide equivalent mitigation?</w:t>
      </w:r>
    </w:p>
    <w:sectPr w:rsidR="00B20720" w:rsidRPr="00BA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44EB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2F"/>
    <w:rsid w:val="002D4D6E"/>
    <w:rsid w:val="005A57C6"/>
    <w:rsid w:val="005F1CD0"/>
    <w:rsid w:val="0067512F"/>
    <w:rsid w:val="009326AC"/>
    <w:rsid w:val="00B20720"/>
    <w:rsid w:val="00BA7383"/>
    <w:rsid w:val="00D45283"/>
    <w:rsid w:val="00E6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9CCCE-4B90-4338-9141-CD2A0F9E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PLWG 20160518</dc:creator>
  <cp:keywords/>
  <dc:description/>
  <cp:lastModifiedBy>ERCOT</cp:lastModifiedBy>
  <cp:revision>2</cp:revision>
  <dcterms:created xsi:type="dcterms:W3CDTF">2016-06-02T17:25:00Z</dcterms:created>
  <dcterms:modified xsi:type="dcterms:W3CDTF">2016-06-02T17:25:00Z</dcterms:modified>
</cp:coreProperties>
</file>