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BAC" w:rsidRDefault="007135BD"/>
    <w:tbl>
      <w:tblPr>
        <w:tblW w:w="13133" w:type="dxa"/>
        <w:tblInd w:w="-3" w:type="dxa"/>
        <w:tblLayout w:type="fixed"/>
        <w:tblCellMar>
          <w:left w:w="0" w:type="dxa"/>
          <w:right w:w="0" w:type="dxa"/>
        </w:tblCellMar>
        <w:tblLook w:val="04A0" w:firstRow="1" w:lastRow="0" w:firstColumn="1" w:lastColumn="0" w:noHBand="0" w:noVBand="1"/>
      </w:tblPr>
      <w:tblGrid>
        <w:gridCol w:w="1383"/>
        <w:gridCol w:w="6800"/>
        <w:gridCol w:w="4950"/>
      </w:tblGrid>
      <w:tr w:rsidR="00073875" w:rsidTr="007135BD">
        <w:trPr>
          <w:trHeight w:val="510"/>
        </w:trPr>
        <w:tc>
          <w:tcPr>
            <w:tcW w:w="1383" w:type="dxa"/>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073875" w:rsidRDefault="00073875">
            <w:pPr>
              <w:rPr>
                <w:b/>
                <w:bCs/>
                <w:color w:val="FFFFFF"/>
                <w:sz w:val="20"/>
                <w:szCs w:val="20"/>
              </w:rPr>
            </w:pPr>
            <w:r>
              <w:rPr>
                <w:b/>
                <w:bCs/>
                <w:color w:val="FFFFFF"/>
                <w:sz w:val="20"/>
                <w:szCs w:val="20"/>
              </w:rPr>
              <w:t xml:space="preserve">REV </w:t>
            </w:r>
            <w:bookmarkStart w:id="0" w:name="_GoBack"/>
            <w:bookmarkEnd w:id="0"/>
            <w:r>
              <w:rPr>
                <w:b/>
                <w:bCs/>
                <w:color w:val="FFFFFF"/>
                <w:sz w:val="20"/>
                <w:szCs w:val="20"/>
              </w:rPr>
              <w:t>REQ NO.</w:t>
            </w:r>
          </w:p>
        </w:tc>
        <w:tc>
          <w:tcPr>
            <w:tcW w:w="680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073875" w:rsidRDefault="00073875">
            <w:pPr>
              <w:rPr>
                <w:b/>
                <w:bCs/>
                <w:color w:val="FFFFFF"/>
                <w:sz w:val="20"/>
                <w:szCs w:val="20"/>
              </w:rPr>
            </w:pPr>
            <w:r>
              <w:rPr>
                <w:b/>
                <w:bCs/>
                <w:color w:val="FFFFFF"/>
                <w:sz w:val="20"/>
                <w:szCs w:val="20"/>
              </w:rPr>
              <w:t>DESCRIPTION</w:t>
            </w:r>
          </w:p>
        </w:tc>
        <w:tc>
          <w:tcPr>
            <w:tcW w:w="4950" w:type="dxa"/>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073875" w:rsidRDefault="00073875" w:rsidP="007135BD">
            <w:pPr>
              <w:rPr>
                <w:b/>
                <w:bCs/>
                <w:color w:val="FFFFFF"/>
                <w:sz w:val="20"/>
                <w:szCs w:val="20"/>
              </w:rPr>
            </w:pPr>
            <w:r>
              <w:rPr>
                <w:b/>
                <w:bCs/>
                <w:color w:val="FFFFFF"/>
                <w:sz w:val="20"/>
                <w:szCs w:val="20"/>
              </w:rPr>
              <w:t>ERCOT Opinion</w:t>
            </w:r>
          </w:p>
        </w:tc>
      </w:tr>
      <w:tr w:rsidR="00D95C41" w:rsidTr="007135BD">
        <w:trPr>
          <w:trHeight w:val="1897"/>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5C41" w:rsidRDefault="00D95C41">
            <w:pPr>
              <w:rPr>
                <w:b/>
                <w:bCs/>
                <w:color w:val="000000"/>
                <w:sz w:val="20"/>
                <w:szCs w:val="20"/>
              </w:rPr>
            </w:pPr>
            <w:r>
              <w:rPr>
                <w:b/>
                <w:bCs/>
                <w:color w:val="000000"/>
                <w:sz w:val="20"/>
                <w:szCs w:val="20"/>
              </w:rPr>
              <w:t>050NOGRR</w:t>
            </w:r>
          </w:p>
        </w:tc>
        <w:tc>
          <w:tcPr>
            <w:tcW w:w="6800" w:type="dxa"/>
            <w:tcBorders>
              <w:top w:val="nil"/>
              <w:left w:val="nil"/>
              <w:bottom w:val="single" w:sz="8" w:space="0" w:color="auto"/>
              <w:right w:val="single" w:sz="8" w:space="0" w:color="auto"/>
            </w:tcBorders>
            <w:tcMar>
              <w:top w:w="0" w:type="dxa"/>
              <w:left w:w="108" w:type="dxa"/>
              <w:bottom w:w="0" w:type="dxa"/>
              <w:right w:w="108" w:type="dxa"/>
            </w:tcMar>
          </w:tcPr>
          <w:p w:rsidR="00D95C41" w:rsidRPr="007135BD" w:rsidRDefault="007135BD">
            <w:pPr>
              <w:rPr>
                <w:rFonts w:asciiTheme="minorHAnsi" w:hAnsiTheme="minorHAnsi"/>
                <w:b/>
                <w:bCs/>
                <w:color w:val="000000"/>
                <w:sz w:val="20"/>
                <w:szCs w:val="20"/>
              </w:rPr>
            </w:pPr>
            <w:r w:rsidRPr="007135BD">
              <w:rPr>
                <w:rFonts w:asciiTheme="minorHAnsi" w:hAnsiTheme="minorHAnsi" w:cs="Arial"/>
                <w:b/>
                <w:sz w:val="20"/>
                <w:szCs w:val="20"/>
              </w:rPr>
              <w:t xml:space="preserve">Resolution of Reporting Issues Related to NPRR219. </w:t>
            </w:r>
            <w:r w:rsidRPr="007135BD">
              <w:rPr>
                <w:rFonts w:asciiTheme="minorHAnsi" w:hAnsiTheme="minorHAnsi" w:cs="Arial"/>
                <w:sz w:val="20"/>
                <w:szCs w:val="20"/>
              </w:rPr>
              <w:t>This Nodal Operating Guide Revision Request (NOGRR) proposes revisions to remove the requirement for ERCOT to produce several reports related to Outage Scheduling from the current Nodal Operating Guide and proposes inserting those requirements as grey-box language until such time ERCOT Systems can be changed to include only the Transmission Service Provider's (TSP's) Outages in the reports.</w:t>
            </w:r>
            <w:r w:rsidRPr="007135BD">
              <w:rPr>
                <w:rFonts w:asciiTheme="minorHAnsi" w:hAnsiTheme="minorHAnsi" w:cs="Arial"/>
                <w:sz w:val="20"/>
                <w:szCs w:val="20"/>
              </w:rPr>
              <w:t xml:space="preserve"> [</w:t>
            </w:r>
            <w:proofErr w:type="spellStart"/>
            <w:r w:rsidRPr="007135BD">
              <w:rPr>
                <w:rFonts w:asciiTheme="minorHAnsi" w:hAnsiTheme="minorHAnsi" w:cs="Arial"/>
                <w:sz w:val="20"/>
                <w:szCs w:val="20"/>
              </w:rPr>
              <w:t>CenterPoint</w:t>
            </w:r>
            <w:proofErr w:type="spellEnd"/>
            <w:r w:rsidRPr="007135BD">
              <w:rPr>
                <w:rFonts w:asciiTheme="minorHAnsi" w:hAnsiTheme="minorHAnsi" w:cs="Arial"/>
                <w:sz w:val="20"/>
                <w:szCs w:val="20"/>
              </w:rPr>
              <w:t xml:space="preserve"> Energy]</w:t>
            </w:r>
          </w:p>
        </w:tc>
        <w:tc>
          <w:tcPr>
            <w:tcW w:w="4950" w:type="dxa"/>
            <w:tcBorders>
              <w:top w:val="nil"/>
              <w:left w:val="nil"/>
              <w:bottom w:val="single" w:sz="8" w:space="0" w:color="auto"/>
              <w:right w:val="single" w:sz="8" w:space="0" w:color="auto"/>
            </w:tcBorders>
            <w:tcMar>
              <w:top w:w="0" w:type="dxa"/>
              <w:left w:w="108" w:type="dxa"/>
              <w:bottom w:w="0" w:type="dxa"/>
              <w:right w:w="108" w:type="dxa"/>
            </w:tcMar>
          </w:tcPr>
          <w:p w:rsidR="00D95C41" w:rsidRPr="00EC6837" w:rsidRDefault="00D95C41">
            <w:pPr>
              <w:rPr>
                <w:color w:val="000000"/>
                <w:sz w:val="20"/>
                <w:szCs w:val="20"/>
              </w:rPr>
            </w:pPr>
            <w:r>
              <w:rPr>
                <w:color w:val="000000"/>
                <w:sz w:val="20"/>
                <w:szCs w:val="20"/>
              </w:rPr>
              <w:t>ERCOT supports approval of NOGRR050.</w:t>
            </w:r>
          </w:p>
        </w:tc>
      </w:tr>
      <w:tr w:rsidR="00073875" w:rsidTr="007135BD">
        <w:trPr>
          <w:trHeight w:val="1150"/>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875" w:rsidRDefault="00073875">
            <w:pPr>
              <w:rPr>
                <w:b/>
                <w:bCs/>
                <w:color w:val="000000"/>
                <w:sz w:val="20"/>
                <w:szCs w:val="20"/>
              </w:rPr>
            </w:pPr>
            <w:r>
              <w:rPr>
                <w:b/>
                <w:bCs/>
                <w:color w:val="000000"/>
                <w:sz w:val="20"/>
                <w:szCs w:val="20"/>
              </w:rPr>
              <w:t>709NPRR</w:t>
            </w:r>
          </w:p>
        </w:tc>
        <w:tc>
          <w:tcPr>
            <w:tcW w:w="680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pPr>
              <w:rPr>
                <w:b/>
                <w:bCs/>
                <w:color w:val="000000"/>
                <w:sz w:val="20"/>
                <w:szCs w:val="20"/>
              </w:rPr>
            </w:pPr>
            <w:r>
              <w:rPr>
                <w:b/>
                <w:bCs/>
                <w:color w:val="000000"/>
                <w:sz w:val="20"/>
                <w:szCs w:val="20"/>
              </w:rPr>
              <w:t xml:space="preserve">Revisions to Alternative Dispute Resolution Procedure. </w:t>
            </w:r>
            <w:r>
              <w:rPr>
                <w:color w:val="000000"/>
                <w:sz w:val="20"/>
                <w:szCs w:val="20"/>
              </w:rPr>
              <w:t>This Nodal Protocol Revision Request (NPRR) modifies Section 20, Alternative Dispute Resolution Procedure, and clarifies certain related subsections in Section 9.14, Settlement and Billing Dispute Process.  [ERCOT]</w:t>
            </w:r>
          </w:p>
        </w:tc>
        <w:tc>
          <w:tcPr>
            <w:tcW w:w="4950" w:type="dxa"/>
            <w:tcBorders>
              <w:top w:val="nil"/>
              <w:left w:val="nil"/>
              <w:bottom w:val="single" w:sz="8" w:space="0" w:color="auto"/>
              <w:right w:val="single" w:sz="8" w:space="0" w:color="auto"/>
            </w:tcBorders>
            <w:tcMar>
              <w:top w:w="0" w:type="dxa"/>
              <w:left w:w="108" w:type="dxa"/>
              <w:bottom w:w="0" w:type="dxa"/>
              <w:right w:w="108" w:type="dxa"/>
            </w:tcMar>
          </w:tcPr>
          <w:p w:rsidR="00073875" w:rsidRDefault="00073875">
            <w:pPr>
              <w:rPr>
                <w:color w:val="000000"/>
                <w:sz w:val="20"/>
                <w:szCs w:val="20"/>
              </w:rPr>
            </w:pPr>
            <w:r w:rsidRPr="00EC6837">
              <w:rPr>
                <w:color w:val="000000"/>
                <w:sz w:val="20"/>
                <w:szCs w:val="20"/>
              </w:rPr>
              <w:t>ERCOT supports approval of NPRR709</w:t>
            </w:r>
            <w:r>
              <w:rPr>
                <w:color w:val="000000"/>
                <w:sz w:val="20"/>
                <w:szCs w:val="20"/>
              </w:rPr>
              <w:t>.</w:t>
            </w:r>
          </w:p>
        </w:tc>
      </w:tr>
      <w:tr w:rsidR="00073875" w:rsidTr="007135BD">
        <w:trPr>
          <w:trHeight w:val="1150"/>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754NPRR</w:t>
            </w:r>
          </w:p>
        </w:tc>
        <w:tc>
          <w:tcPr>
            <w:tcW w:w="680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 xml:space="preserve">Revise Load Distribution Factors Report Posting Frequency. </w:t>
            </w:r>
            <w:r>
              <w:rPr>
                <w:sz w:val="20"/>
                <w:szCs w:val="20"/>
              </w:rPr>
              <w:t>This Nodal Protocol Revision Request (NPRR) revises two provisions addressing the posting frequency for the Load forecast distribution factors report to require posting of the report only when the factors are changed. [ERCOT]</w:t>
            </w:r>
          </w:p>
        </w:tc>
        <w:tc>
          <w:tcPr>
            <w:tcW w:w="495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rsidP="00481337">
            <w:pPr>
              <w:rPr>
                <w:sz w:val="20"/>
                <w:szCs w:val="20"/>
              </w:rPr>
            </w:pPr>
            <w:r>
              <w:rPr>
                <w:color w:val="000000"/>
                <w:sz w:val="20"/>
                <w:szCs w:val="20"/>
              </w:rPr>
              <w:t xml:space="preserve">ERCOT supports approval of NPRR754.  </w:t>
            </w:r>
          </w:p>
        </w:tc>
      </w:tr>
      <w:tr w:rsidR="00073875" w:rsidTr="007135BD">
        <w:trPr>
          <w:trHeight w:val="1665"/>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758NPRR</w:t>
            </w:r>
          </w:p>
        </w:tc>
        <w:tc>
          <w:tcPr>
            <w:tcW w:w="680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 xml:space="preserve">Improved Transparency for Outages Potentially Having a High Economic Impact. </w:t>
            </w:r>
            <w:r>
              <w:rPr>
                <w:sz w:val="20"/>
                <w:szCs w:val="20"/>
              </w:rPr>
              <w:t>This Nodal Protocol Revision Request (NPRR) introduces language to: identify Outages that have historically resulted in high congestion costs, as adjusted through a stakeholder review process to account for upgrades and other changes that would affect the fidelity of this list as an indicator of Outages that might cause future congestion; encourage earlier submission of these Outages; formalize the process of rescheduling these Outages when they must be moved due to Forced Outages or later-arriving generator Outages; and provide improved transparency to Market Participants when Outages with this potential congestion impact are submitted with less than 90 days’ notice. Specific items proposed within this NPRR include: identification and posting of High Impact Transmission Elements (HITEs) and High Impact Outages (HIOs); and introduction of a Rescheduled Outage type. [ERCOT]</w:t>
            </w:r>
          </w:p>
        </w:tc>
        <w:tc>
          <w:tcPr>
            <w:tcW w:w="495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rsidP="00481337">
            <w:pPr>
              <w:rPr>
                <w:sz w:val="20"/>
                <w:szCs w:val="20"/>
              </w:rPr>
            </w:pPr>
            <w:r>
              <w:rPr>
                <w:color w:val="000000"/>
                <w:sz w:val="20"/>
                <w:szCs w:val="20"/>
              </w:rPr>
              <w:t xml:space="preserve">ERCOT supports approval of NPRR758.  </w:t>
            </w:r>
          </w:p>
        </w:tc>
      </w:tr>
      <w:tr w:rsidR="00073875" w:rsidTr="007135BD">
        <w:trPr>
          <w:trHeight w:val="1168"/>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761NPRR</w:t>
            </w:r>
          </w:p>
        </w:tc>
        <w:tc>
          <w:tcPr>
            <w:tcW w:w="680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 xml:space="preserve">As-Built Clarification to NPRR515, Day-Ahead Market Self-Commitment of Generation Resources. </w:t>
            </w:r>
            <w:r>
              <w:rPr>
                <w:sz w:val="20"/>
                <w:szCs w:val="20"/>
              </w:rPr>
              <w:t> This NPRR clarifies that a Resource will not be eligible for Day-Ahead Make-Whole Payment Startup Cost compensation when the DAM considers the Resource as having no cost to startup, per NPRR515. [ERCOT]</w:t>
            </w:r>
          </w:p>
        </w:tc>
        <w:tc>
          <w:tcPr>
            <w:tcW w:w="495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rsidP="00481337">
            <w:pPr>
              <w:rPr>
                <w:sz w:val="20"/>
                <w:szCs w:val="20"/>
              </w:rPr>
            </w:pPr>
            <w:r>
              <w:rPr>
                <w:color w:val="000000"/>
                <w:sz w:val="20"/>
                <w:szCs w:val="20"/>
              </w:rPr>
              <w:t xml:space="preserve">ERCOT supports approval of NPRR761.  </w:t>
            </w:r>
          </w:p>
        </w:tc>
      </w:tr>
      <w:tr w:rsidR="00073875" w:rsidTr="007135BD">
        <w:trPr>
          <w:trHeight w:val="2338"/>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762NPRR</w:t>
            </w:r>
          </w:p>
        </w:tc>
        <w:tc>
          <w:tcPr>
            <w:tcW w:w="680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 xml:space="preserve">Removal of Language Related to Responsive Reserve Provided by DC Ties. </w:t>
            </w:r>
            <w:r>
              <w:rPr>
                <w:sz w:val="20"/>
                <w:szCs w:val="20"/>
              </w:rPr>
              <w:t>  This Nodal Protocol Revision Request (NPRR) removes references to the provision of Responsive Reserve (RRS) across the Direct Current Ties (DC Ties). These references existed in the Zonal Protocols, and similar references have existed in the Operating Guides from at least 1997. However, to date, there are no ERCOT systems or procedures in place to award RRS to the DC Ties, and no project to add this functionality has ever been proposed. Without any funding for the necessary system changes, ERCOT has no mechanism for allowing the provision of RRS over the DC Ties. [ERCOT]</w:t>
            </w:r>
          </w:p>
        </w:tc>
        <w:tc>
          <w:tcPr>
            <w:tcW w:w="495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rsidP="00481337">
            <w:pPr>
              <w:rPr>
                <w:sz w:val="20"/>
                <w:szCs w:val="20"/>
              </w:rPr>
            </w:pPr>
            <w:r>
              <w:rPr>
                <w:color w:val="000000"/>
                <w:sz w:val="20"/>
                <w:szCs w:val="20"/>
              </w:rPr>
              <w:t xml:space="preserve">ERCOT supports approval of NPRR762. </w:t>
            </w:r>
          </w:p>
        </w:tc>
      </w:tr>
      <w:tr w:rsidR="00073875" w:rsidTr="007135BD">
        <w:trPr>
          <w:trHeight w:val="2860"/>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763NPRR</w:t>
            </w:r>
          </w:p>
        </w:tc>
        <w:tc>
          <w:tcPr>
            <w:tcW w:w="680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 xml:space="preserve">As-Built Clarification to NPRR553, Monthly BLT Payment and Charge for Presidio Exception.  </w:t>
            </w:r>
            <w:r>
              <w:rPr>
                <w:sz w:val="20"/>
                <w:szCs w:val="20"/>
              </w:rPr>
              <w:t> This Nodal Protocol Revision Request (NPRR) corrects the formula for the calculation of the Load-Allocated Monthly BLT Amount per QSE (LAMBLTAMT) in paragraph (3)(c) of Section 6.6.3.5 to reflect a charge, rather than a payment, to comport with the facial intent of NPRR553, Monthly BLT Payment and Charge for Presidio Exception, and with the system implementation of that charge. The title of NPRR553 references a charge (in addition to a payment) and the language preceding the formula expresses an intention to impose a charge. For these reasons, ERCOT believes that the omission of the required “-1” at the beginning of the formula was inadvertent and should be corrected. [ERCOT]</w:t>
            </w:r>
          </w:p>
        </w:tc>
        <w:tc>
          <w:tcPr>
            <w:tcW w:w="495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rsidP="00481337">
            <w:pPr>
              <w:rPr>
                <w:sz w:val="20"/>
                <w:szCs w:val="20"/>
              </w:rPr>
            </w:pPr>
            <w:r>
              <w:rPr>
                <w:color w:val="000000"/>
                <w:sz w:val="20"/>
                <w:szCs w:val="20"/>
              </w:rPr>
              <w:t xml:space="preserve">ERCOT supports approval of NPRR763.  </w:t>
            </w:r>
          </w:p>
        </w:tc>
      </w:tr>
      <w:tr w:rsidR="00073875" w:rsidTr="007135BD">
        <w:trPr>
          <w:trHeight w:val="2370"/>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764NPRR</w:t>
            </w:r>
          </w:p>
        </w:tc>
        <w:tc>
          <w:tcPr>
            <w:tcW w:w="680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 xml:space="preserve">QSE Capacity Short Calculations Based on an 80% Probability of Exceedance (P80).  </w:t>
            </w:r>
            <w:r>
              <w:rPr>
                <w:sz w:val="20"/>
                <w:szCs w:val="20"/>
              </w:rPr>
              <w:t xml:space="preserve">This Nodal Protocol Revision Request (NPRR) proposes to base Reliability Unit Commitment (RUC) capacity short calculations on the Wind-Powered Generation Resource Production Potential (WGRPP) for a Wind-powered Generation Resource (WGR) and the </w:t>
            </w:r>
            <w:proofErr w:type="spellStart"/>
            <w:r>
              <w:rPr>
                <w:sz w:val="20"/>
                <w:szCs w:val="20"/>
              </w:rPr>
              <w:t>PhotoVoltaic</w:t>
            </w:r>
            <w:proofErr w:type="spellEnd"/>
            <w:r>
              <w:rPr>
                <w:sz w:val="20"/>
                <w:szCs w:val="20"/>
              </w:rPr>
              <w:t xml:space="preserve"> Generation Resource Production Potential (PVGRPP) for a </w:t>
            </w:r>
            <w:proofErr w:type="spellStart"/>
            <w:r>
              <w:rPr>
                <w:sz w:val="20"/>
                <w:szCs w:val="20"/>
              </w:rPr>
              <w:t>PhotoVoltaic</w:t>
            </w:r>
            <w:proofErr w:type="spellEnd"/>
            <w:r>
              <w:rPr>
                <w:sz w:val="20"/>
                <w:szCs w:val="20"/>
              </w:rPr>
              <w:t xml:space="preserve"> Generation Resource (PVGR)–i.e., an 80% probability of exceedance (P80).  [ERCOT]</w:t>
            </w:r>
          </w:p>
        </w:tc>
        <w:tc>
          <w:tcPr>
            <w:tcW w:w="495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rsidP="00481337">
            <w:pPr>
              <w:rPr>
                <w:sz w:val="20"/>
                <w:szCs w:val="20"/>
              </w:rPr>
            </w:pPr>
            <w:r>
              <w:rPr>
                <w:color w:val="000000"/>
                <w:sz w:val="20"/>
                <w:szCs w:val="20"/>
              </w:rPr>
              <w:t xml:space="preserve">ERCOT supports approval of NPRR764.  </w:t>
            </w:r>
          </w:p>
        </w:tc>
      </w:tr>
      <w:tr w:rsidR="00073875" w:rsidTr="007135BD">
        <w:trPr>
          <w:trHeight w:val="1348"/>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765NPRR</w:t>
            </w:r>
          </w:p>
        </w:tc>
        <w:tc>
          <w:tcPr>
            <w:tcW w:w="680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 xml:space="preserve">Remove Vendor Names for Fuel Indices from the Protocols.  </w:t>
            </w:r>
            <w:r>
              <w:rPr>
                <w:sz w:val="20"/>
                <w:szCs w:val="20"/>
              </w:rPr>
              <w:t xml:space="preserve">This Nodal Protocol Revision Request (NPRR) eliminates the name of the publisher of the Fuel Index Price (FIP), Fuel Oil Price (FOP), and </w:t>
            </w:r>
            <w:proofErr w:type="spellStart"/>
            <w:r>
              <w:rPr>
                <w:sz w:val="20"/>
                <w:szCs w:val="20"/>
              </w:rPr>
              <w:t>Waha</w:t>
            </w:r>
            <w:proofErr w:type="spellEnd"/>
            <w:r>
              <w:rPr>
                <w:sz w:val="20"/>
                <w:szCs w:val="20"/>
              </w:rPr>
              <w:t xml:space="preserve"> Fuel Price (WFP) from the Protocols, and provides additional clarifying language regarding the use of a substitute source for daily fuel prices in the event that one is needed. [ERCOT]</w:t>
            </w:r>
          </w:p>
        </w:tc>
        <w:tc>
          <w:tcPr>
            <w:tcW w:w="495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rsidP="00481337">
            <w:pPr>
              <w:rPr>
                <w:sz w:val="20"/>
                <w:szCs w:val="20"/>
              </w:rPr>
            </w:pPr>
            <w:r>
              <w:rPr>
                <w:color w:val="000000"/>
                <w:sz w:val="20"/>
                <w:szCs w:val="20"/>
              </w:rPr>
              <w:t xml:space="preserve">ERCOT supports approval of NPRR765.  </w:t>
            </w:r>
          </w:p>
        </w:tc>
      </w:tr>
      <w:tr w:rsidR="00D95C41" w:rsidTr="007135BD">
        <w:trPr>
          <w:trHeight w:val="1665"/>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5C41" w:rsidRDefault="00D95C41">
            <w:pPr>
              <w:rPr>
                <w:b/>
                <w:bCs/>
                <w:sz w:val="20"/>
                <w:szCs w:val="20"/>
              </w:rPr>
            </w:pPr>
            <w:r>
              <w:rPr>
                <w:b/>
                <w:bCs/>
                <w:sz w:val="20"/>
                <w:szCs w:val="20"/>
              </w:rPr>
              <w:t>766NPRR</w:t>
            </w:r>
          </w:p>
        </w:tc>
        <w:tc>
          <w:tcPr>
            <w:tcW w:w="6800" w:type="dxa"/>
            <w:tcBorders>
              <w:top w:val="nil"/>
              <w:left w:val="nil"/>
              <w:bottom w:val="single" w:sz="8" w:space="0" w:color="auto"/>
              <w:right w:val="single" w:sz="8" w:space="0" w:color="auto"/>
            </w:tcBorders>
            <w:tcMar>
              <w:top w:w="0" w:type="dxa"/>
              <w:left w:w="108" w:type="dxa"/>
              <w:bottom w:w="0" w:type="dxa"/>
              <w:right w:w="108" w:type="dxa"/>
            </w:tcMar>
          </w:tcPr>
          <w:p w:rsidR="00D95C41" w:rsidRPr="008D1EE9" w:rsidRDefault="008D1EE9">
            <w:pPr>
              <w:rPr>
                <w:rFonts w:asciiTheme="minorHAnsi" w:hAnsiTheme="minorHAnsi"/>
                <w:b/>
                <w:bCs/>
                <w:sz w:val="20"/>
                <w:szCs w:val="20"/>
              </w:rPr>
            </w:pPr>
            <w:r w:rsidRPr="008D1EE9">
              <w:rPr>
                <w:rFonts w:asciiTheme="minorHAnsi" w:hAnsiTheme="minorHAnsi" w:cs="Arial"/>
                <w:b/>
                <w:sz w:val="20"/>
                <w:szCs w:val="20"/>
              </w:rPr>
              <w:t>Alignment of System-Wide Discount Factor Description with Operational Adjustments to RDF.</w:t>
            </w:r>
            <w:r w:rsidRPr="008D1EE9">
              <w:rPr>
                <w:rFonts w:asciiTheme="minorHAnsi" w:hAnsiTheme="minorHAnsi" w:cs="Arial"/>
                <w:sz w:val="20"/>
                <w:szCs w:val="20"/>
              </w:rPr>
              <w:t xml:space="preserve"> </w:t>
            </w:r>
            <w:r w:rsidRPr="008D1EE9">
              <w:rPr>
                <w:rFonts w:asciiTheme="minorHAnsi" w:hAnsiTheme="minorHAnsi" w:cs="Arial"/>
                <w:sz w:val="20"/>
                <w:szCs w:val="20"/>
              </w:rPr>
              <w:t>This Nodal Protocol Revision Request (NPRR) aligns the Protocol description of the system-wide discount factor with the proposed operational adjustment to the Reserve Discount Factor (RDF) in the Physical Responsive Capability (PRC) calculation, and aligns the posting for RDFs applicable to both Generation Resources and Load Resources.</w:t>
            </w:r>
            <w:r w:rsidRPr="008D1EE9">
              <w:rPr>
                <w:rFonts w:asciiTheme="minorHAnsi" w:hAnsiTheme="minorHAnsi" w:cs="Arial"/>
                <w:sz w:val="20"/>
                <w:szCs w:val="20"/>
              </w:rPr>
              <w:t xml:space="preserve"> [ERCOT]</w:t>
            </w:r>
          </w:p>
        </w:tc>
        <w:tc>
          <w:tcPr>
            <w:tcW w:w="4950" w:type="dxa"/>
            <w:tcBorders>
              <w:top w:val="nil"/>
              <w:left w:val="nil"/>
              <w:bottom w:val="single" w:sz="8" w:space="0" w:color="auto"/>
              <w:right w:val="single" w:sz="8" w:space="0" w:color="auto"/>
            </w:tcBorders>
            <w:tcMar>
              <w:top w:w="0" w:type="dxa"/>
              <w:left w:w="108" w:type="dxa"/>
              <w:bottom w:w="0" w:type="dxa"/>
              <w:right w:w="108" w:type="dxa"/>
            </w:tcMar>
          </w:tcPr>
          <w:p w:rsidR="00D95C41" w:rsidRDefault="00D95C41" w:rsidP="00481337">
            <w:pPr>
              <w:rPr>
                <w:color w:val="000000"/>
                <w:sz w:val="20"/>
                <w:szCs w:val="20"/>
              </w:rPr>
            </w:pPr>
            <w:r>
              <w:rPr>
                <w:color w:val="000000"/>
                <w:sz w:val="20"/>
                <w:szCs w:val="20"/>
              </w:rPr>
              <w:t>ERCOT supports approval of NPRR766.</w:t>
            </w:r>
          </w:p>
        </w:tc>
      </w:tr>
      <w:tr w:rsidR="00073875" w:rsidTr="007135BD">
        <w:trPr>
          <w:trHeight w:val="1665"/>
        </w:trPr>
        <w:tc>
          <w:tcPr>
            <w:tcW w:w="13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790SCR</w:t>
            </w:r>
          </w:p>
        </w:tc>
        <w:tc>
          <w:tcPr>
            <w:tcW w:w="6800" w:type="dxa"/>
            <w:tcBorders>
              <w:top w:val="nil"/>
              <w:left w:val="nil"/>
              <w:bottom w:val="single" w:sz="8" w:space="0" w:color="auto"/>
              <w:right w:val="single" w:sz="8" w:space="0" w:color="auto"/>
            </w:tcBorders>
            <w:tcMar>
              <w:top w:w="0" w:type="dxa"/>
              <w:left w:w="108" w:type="dxa"/>
              <w:bottom w:w="0" w:type="dxa"/>
              <w:right w:w="108" w:type="dxa"/>
            </w:tcMar>
            <w:hideMark/>
          </w:tcPr>
          <w:p w:rsidR="00073875" w:rsidRDefault="00073875">
            <w:pPr>
              <w:rPr>
                <w:b/>
                <w:bCs/>
                <w:sz w:val="20"/>
                <w:szCs w:val="20"/>
              </w:rPr>
            </w:pPr>
            <w:r>
              <w:rPr>
                <w:b/>
                <w:bCs/>
                <w:sz w:val="20"/>
                <w:szCs w:val="20"/>
              </w:rPr>
              <w:t xml:space="preserve">Wind Resource Power Production and Forecast Transparency.  </w:t>
            </w:r>
            <w:r>
              <w:rPr>
                <w:sz w:val="20"/>
                <w:szCs w:val="20"/>
              </w:rPr>
              <w:t>This System Change Request (SCR) requires ERCOT to implement an additional level of spatial granularity to the existing reporting of wind power production and forecasts.  The additional area is the Panhandle/North area, which is to be reported along with the stand-alone West Load Zone and the current system-wide and South/Houston Load Zone aggregations.  [DC Energy]</w:t>
            </w:r>
          </w:p>
        </w:tc>
        <w:tc>
          <w:tcPr>
            <w:tcW w:w="4950" w:type="dxa"/>
            <w:tcBorders>
              <w:top w:val="nil"/>
              <w:left w:val="nil"/>
              <w:bottom w:val="single" w:sz="8" w:space="0" w:color="auto"/>
              <w:right w:val="single" w:sz="8" w:space="0" w:color="auto"/>
            </w:tcBorders>
            <w:tcMar>
              <w:top w:w="0" w:type="dxa"/>
              <w:left w:w="108" w:type="dxa"/>
              <w:bottom w:w="0" w:type="dxa"/>
              <w:right w:w="108" w:type="dxa"/>
            </w:tcMar>
          </w:tcPr>
          <w:p w:rsidR="00073875" w:rsidRDefault="00F618C0">
            <w:pPr>
              <w:rPr>
                <w:sz w:val="20"/>
                <w:szCs w:val="20"/>
              </w:rPr>
            </w:pPr>
            <w:r>
              <w:rPr>
                <w:color w:val="000000"/>
                <w:sz w:val="20"/>
                <w:szCs w:val="20"/>
              </w:rPr>
              <w:t>ERCOT supports SCR</w:t>
            </w:r>
            <w:r w:rsidR="00073875">
              <w:rPr>
                <w:color w:val="000000"/>
                <w:sz w:val="20"/>
                <w:szCs w:val="20"/>
              </w:rPr>
              <w:t>790 since it provides an additional level of granularity and transparency to the existing wind power forecasting and production report.</w:t>
            </w:r>
          </w:p>
        </w:tc>
      </w:tr>
    </w:tbl>
    <w:p w:rsidR="00481337" w:rsidRDefault="00481337"/>
    <w:sectPr w:rsidR="00481337" w:rsidSect="0052149C">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49C" w:rsidRDefault="0052149C" w:rsidP="0052149C">
      <w:r>
        <w:separator/>
      </w:r>
    </w:p>
  </w:endnote>
  <w:endnote w:type="continuationSeparator" w:id="0">
    <w:p w:rsidR="0052149C" w:rsidRDefault="0052149C" w:rsidP="0052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49C" w:rsidRDefault="0052149C" w:rsidP="0052149C">
      <w:r>
        <w:separator/>
      </w:r>
    </w:p>
  </w:footnote>
  <w:footnote w:type="continuationSeparator" w:id="0">
    <w:p w:rsidR="0052149C" w:rsidRDefault="0052149C" w:rsidP="00521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49C" w:rsidRDefault="0052149C">
    <w:pPr>
      <w:pStyle w:val="Header"/>
    </w:pPr>
    <w:r>
      <w:t xml:space="preserve">ERCOT Opinions – </w:t>
    </w:r>
    <w:r w:rsidR="00B43841">
      <w:t>May 26, 2016</w:t>
    </w:r>
    <w:r>
      <w:t xml:space="preserve"> TAC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DFC"/>
    <w:rsid w:val="00073875"/>
    <w:rsid w:val="000B657E"/>
    <w:rsid w:val="0023111B"/>
    <w:rsid w:val="00481337"/>
    <w:rsid w:val="004D402C"/>
    <w:rsid w:val="0052149C"/>
    <w:rsid w:val="007135BD"/>
    <w:rsid w:val="008D1EE9"/>
    <w:rsid w:val="00B00E09"/>
    <w:rsid w:val="00B43841"/>
    <w:rsid w:val="00D37EBA"/>
    <w:rsid w:val="00D95C41"/>
    <w:rsid w:val="00EC6837"/>
    <w:rsid w:val="00F11DFC"/>
    <w:rsid w:val="00F61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A2F119-6433-4659-9270-EBF7C9C5B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DF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149C"/>
    <w:pPr>
      <w:tabs>
        <w:tab w:val="center" w:pos="4680"/>
        <w:tab w:val="right" w:pos="9360"/>
      </w:tabs>
    </w:pPr>
  </w:style>
  <w:style w:type="character" w:customStyle="1" w:styleId="HeaderChar">
    <w:name w:val="Header Char"/>
    <w:basedOn w:val="DefaultParagraphFont"/>
    <w:link w:val="Header"/>
    <w:uiPriority w:val="99"/>
    <w:rsid w:val="0052149C"/>
    <w:rPr>
      <w:rFonts w:ascii="Calibri" w:hAnsi="Calibri" w:cs="Times New Roman"/>
    </w:rPr>
  </w:style>
  <w:style w:type="paragraph" w:styleId="Footer">
    <w:name w:val="footer"/>
    <w:basedOn w:val="Normal"/>
    <w:link w:val="FooterChar"/>
    <w:uiPriority w:val="99"/>
    <w:unhideWhenUsed/>
    <w:rsid w:val="0052149C"/>
    <w:pPr>
      <w:tabs>
        <w:tab w:val="center" w:pos="4680"/>
        <w:tab w:val="right" w:pos="9360"/>
      </w:tabs>
    </w:pPr>
  </w:style>
  <w:style w:type="character" w:customStyle="1" w:styleId="FooterChar">
    <w:name w:val="Footer Char"/>
    <w:basedOn w:val="DefaultParagraphFont"/>
    <w:link w:val="Footer"/>
    <w:uiPriority w:val="99"/>
    <w:rsid w:val="0052149C"/>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506702">
      <w:bodyDiv w:val="1"/>
      <w:marLeft w:val="0"/>
      <w:marRight w:val="0"/>
      <w:marTop w:val="0"/>
      <w:marBottom w:val="0"/>
      <w:divBdr>
        <w:top w:val="none" w:sz="0" w:space="0" w:color="auto"/>
        <w:left w:val="none" w:sz="0" w:space="0" w:color="auto"/>
        <w:bottom w:val="none" w:sz="0" w:space="0" w:color="auto"/>
        <w:right w:val="none" w:sz="0" w:space="0" w:color="auto"/>
      </w:divBdr>
    </w:div>
    <w:div w:id="82058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albracht</dc:creator>
  <cp:keywords/>
  <dc:description/>
  <cp:lastModifiedBy>Brittney Albracht</cp:lastModifiedBy>
  <cp:revision>5</cp:revision>
  <dcterms:created xsi:type="dcterms:W3CDTF">2016-05-19T19:47:00Z</dcterms:created>
  <dcterms:modified xsi:type="dcterms:W3CDTF">2016-05-25T20:08:00Z</dcterms:modified>
</cp:coreProperties>
</file>