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A" w:rsidRPr="001432E9" w:rsidRDefault="00740E68">
      <w:pPr>
        <w:rPr>
          <w:b/>
          <w:sz w:val="28"/>
        </w:rPr>
      </w:pPr>
      <w:r w:rsidRPr="001432E9">
        <w:rPr>
          <w:b/>
          <w:sz w:val="28"/>
        </w:rPr>
        <w:t>PLWG Report to ROS on Load Scaling Techniques</w:t>
      </w:r>
    </w:p>
    <w:p w:rsidR="00740E68" w:rsidRDefault="00740E68" w:rsidP="00740E68">
      <w:r>
        <w:t>In June 2014, the Reliability and Operations Subcommittee assigned</w:t>
      </w:r>
      <w:r w:rsidR="00C20AE7">
        <w:t xml:space="preserve"> PLWG</w:t>
      </w:r>
      <w:r>
        <w:t xml:space="preserve"> the task of reviewing various load scaling methodologies available to transmission planners and evaluating their appropriateness. This </w:t>
      </w:r>
      <w:r w:rsidR="00C20AE7">
        <w:t>outline is intended to assist in drafting a report</w:t>
      </w:r>
      <w:r>
        <w:t xml:space="preserve"> to fulfill that assignment.</w:t>
      </w:r>
      <w:r w:rsidR="00AC7BF1">
        <w:t xml:space="preserve"> </w:t>
      </w:r>
      <w:r w:rsidR="00582CC6">
        <w:t>This outline and the discussions needed to complete a full report are</w:t>
      </w:r>
      <w:bookmarkStart w:id="0" w:name="_GoBack"/>
      <w:bookmarkEnd w:id="0"/>
      <w:r w:rsidR="0077111A">
        <w:t xml:space="preserve"> not intended to replace the discussions that are necessary to move PGRR042 forward. </w:t>
      </w:r>
    </w:p>
    <w:p w:rsidR="00740E68" w:rsidRDefault="00AB11EF" w:rsidP="00740E68">
      <w:pPr>
        <w:pStyle w:val="ListParagraph"/>
        <w:numPr>
          <w:ilvl w:val="0"/>
          <w:numId w:val="3"/>
        </w:numPr>
      </w:pPr>
      <w:r>
        <w:t xml:space="preserve">Drivers of the necessity </w:t>
      </w:r>
      <w:r w:rsidR="00740E68">
        <w:t>of load scaling</w:t>
      </w:r>
    </w:p>
    <w:p w:rsidR="00740E68" w:rsidRDefault="00740E68" w:rsidP="00740E68">
      <w:pPr>
        <w:pStyle w:val="ListParagraph"/>
        <w:numPr>
          <w:ilvl w:val="1"/>
          <w:numId w:val="3"/>
        </w:numPr>
      </w:pPr>
      <w:r>
        <w:t>Evaluate impact of varying load assumptions</w:t>
      </w:r>
    </w:p>
    <w:p w:rsidR="00740E68" w:rsidRDefault="00740E68" w:rsidP="00740E68">
      <w:pPr>
        <w:pStyle w:val="ListParagraph"/>
        <w:numPr>
          <w:ilvl w:val="2"/>
          <w:numId w:val="3"/>
        </w:numPr>
      </w:pPr>
      <w:r>
        <w:t>Changes in rate of load growth over time</w:t>
      </w:r>
    </w:p>
    <w:p w:rsidR="00740E68" w:rsidRDefault="00740E68" w:rsidP="00740E68">
      <w:pPr>
        <w:pStyle w:val="ListParagraph"/>
        <w:numPr>
          <w:ilvl w:val="2"/>
          <w:numId w:val="3"/>
        </w:numPr>
      </w:pPr>
      <w:r>
        <w:t>Evaluation of large load additions</w:t>
      </w:r>
    </w:p>
    <w:p w:rsidR="00740E68" w:rsidRDefault="00740E68" w:rsidP="00740E68">
      <w:pPr>
        <w:pStyle w:val="ListParagraph"/>
        <w:numPr>
          <w:ilvl w:val="3"/>
          <w:numId w:val="3"/>
        </w:numPr>
      </w:pPr>
      <w:r>
        <w:t>Integration of existing loads outside of ERCOT (LP&amp;L for example)</w:t>
      </w:r>
    </w:p>
    <w:p w:rsidR="00740E68" w:rsidRDefault="00740E68" w:rsidP="00740E68">
      <w:pPr>
        <w:pStyle w:val="ListParagraph"/>
        <w:numPr>
          <w:ilvl w:val="3"/>
          <w:numId w:val="3"/>
        </w:numPr>
      </w:pPr>
      <w:r>
        <w:t>New loads resulting from economic activity (pipeline, factory, …)</w:t>
      </w:r>
    </w:p>
    <w:p w:rsidR="00E75E8C" w:rsidRDefault="00E75E8C" w:rsidP="00E75E8C">
      <w:pPr>
        <w:pStyle w:val="ListParagraph"/>
        <w:numPr>
          <w:ilvl w:val="2"/>
          <w:numId w:val="3"/>
        </w:numPr>
      </w:pPr>
      <w:r>
        <w:t>Meet NERC requirements for studying sensitivities</w:t>
      </w:r>
    </w:p>
    <w:p w:rsidR="00740E68" w:rsidRDefault="00740E68" w:rsidP="00740E68">
      <w:pPr>
        <w:pStyle w:val="ListParagraph"/>
        <w:numPr>
          <w:ilvl w:val="1"/>
          <w:numId w:val="3"/>
        </w:numPr>
      </w:pPr>
      <w:r>
        <w:t>Evaluate impact of varying generation assumptions</w:t>
      </w:r>
    </w:p>
    <w:p w:rsidR="00AC7BF1" w:rsidRDefault="00AC7BF1" w:rsidP="00740E68">
      <w:pPr>
        <w:pStyle w:val="ListParagraph"/>
        <w:numPr>
          <w:ilvl w:val="2"/>
          <w:numId w:val="3"/>
        </w:numPr>
      </w:pPr>
      <w:r>
        <w:t>Adjusting for extraordinary dispatch assumptions</w:t>
      </w:r>
    </w:p>
    <w:p w:rsidR="00740E68" w:rsidRDefault="00740E68" w:rsidP="00740E68">
      <w:pPr>
        <w:pStyle w:val="ListParagraph"/>
        <w:numPr>
          <w:ilvl w:val="2"/>
          <w:numId w:val="3"/>
        </w:numPr>
      </w:pPr>
      <w:r>
        <w:t>Changes in dispatch</w:t>
      </w:r>
    </w:p>
    <w:p w:rsidR="00740E68" w:rsidRDefault="00740E68" w:rsidP="00740E68">
      <w:pPr>
        <w:pStyle w:val="ListParagraph"/>
        <w:numPr>
          <w:ilvl w:val="2"/>
          <w:numId w:val="3"/>
        </w:numPr>
      </w:pPr>
      <w:r>
        <w:t>Addition of new generation</w:t>
      </w:r>
    </w:p>
    <w:p w:rsidR="00740E68" w:rsidRDefault="00740E68" w:rsidP="00740E68">
      <w:pPr>
        <w:pStyle w:val="ListParagraph"/>
        <w:numPr>
          <w:ilvl w:val="1"/>
          <w:numId w:val="3"/>
        </w:numPr>
      </w:pPr>
      <w:r>
        <w:t>Achieve a load/generation balance resulting</w:t>
      </w:r>
      <w:r w:rsidR="00E75E8C">
        <w:t xml:space="preserve"> from non-coincident peak load representation in power flow cases (SSWG models)</w:t>
      </w:r>
    </w:p>
    <w:p w:rsidR="00E75E8C" w:rsidRDefault="00AC7BF1" w:rsidP="00AC7BF1">
      <w:pPr>
        <w:pStyle w:val="ListParagraph"/>
        <w:numPr>
          <w:ilvl w:val="0"/>
          <w:numId w:val="3"/>
        </w:numPr>
      </w:pPr>
      <w:r>
        <w:t xml:space="preserve">Identifying an appropriate study area </w:t>
      </w:r>
    </w:p>
    <w:p w:rsidR="00AC7BF1" w:rsidRDefault="00AC7BF1" w:rsidP="00AC7BF1">
      <w:pPr>
        <w:pStyle w:val="ListParagraph"/>
        <w:numPr>
          <w:ilvl w:val="1"/>
          <w:numId w:val="3"/>
        </w:numPr>
      </w:pPr>
      <w:r>
        <w:t>Definitions</w:t>
      </w:r>
    </w:p>
    <w:p w:rsidR="00AC7BF1" w:rsidRDefault="00AC7BF1" w:rsidP="00AC7BF1">
      <w:pPr>
        <w:pStyle w:val="ListParagraph"/>
        <w:numPr>
          <w:ilvl w:val="2"/>
          <w:numId w:val="3"/>
        </w:numPr>
      </w:pPr>
      <w:r>
        <w:t>Radial Systems</w:t>
      </w:r>
    </w:p>
    <w:p w:rsidR="00AC7BF1" w:rsidRDefault="00AC7BF1" w:rsidP="00AC7BF1">
      <w:pPr>
        <w:pStyle w:val="ListParagraph"/>
        <w:numPr>
          <w:ilvl w:val="2"/>
          <w:numId w:val="3"/>
        </w:numPr>
      </w:pPr>
      <w:r>
        <w:t xml:space="preserve">Integrated Systems </w:t>
      </w:r>
    </w:p>
    <w:p w:rsidR="00AC7BF1" w:rsidRDefault="00AC7BF1" w:rsidP="00AC7BF1">
      <w:pPr>
        <w:pStyle w:val="ListParagraph"/>
        <w:numPr>
          <w:ilvl w:val="3"/>
          <w:numId w:val="3"/>
        </w:numPr>
      </w:pPr>
      <w:r>
        <w:t>limited area non-radial</w:t>
      </w:r>
    </w:p>
    <w:p w:rsidR="00AC7BF1" w:rsidRDefault="00AC7BF1" w:rsidP="00AC7BF1">
      <w:pPr>
        <w:pStyle w:val="ListParagraph"/>
        <w:numPr>
          <w:ilvl w:val="3"/>
          <w:numId w:val="3"/>
        </w:numPr>
      </w:pPr>
      <w:r>
        <w:t>ERCOT wide</w:t>
      </w:r>
    </w:p>
    <w:p w:rsidR="00AC7BF1" w:rsidRDefault="00AC7BF1" w:rsidP="00FF1ED9">
      <w:pPr>
        <w:pStyle w:val="ListParagraph"/>
        <w:numPr>
          <w:ilvl w:val="2"/>
          <w:numId w:val="3"/>
        </w:numPr>
      </w:pPr>
      <w:r>
        <w:t>Transmission Interface</w:t>
      </w:r>
    </w:p>
    <w:p w:rsidR="00E75E8C" w:rsidRDefault="00114A6E" w:rsidP="00E75E8C">
      <w:pPr>
        <w:pStyle w:val="ListParagraph"/>
        <w:numPr>
          <w:ilvl w:val="1"/>
          <w:numId w:val="3"/>
        </w:numPr>
      </w:pPr>
      <w:r>
        <w:t>Criteria for evaluating appropriateness</w:t>
      </w:r>
      <w:r w:rsidR="00E75E8C">
        <w:t>.</w:t>
      </w:r>
    </w:p>
    <w:p w:rsidR="00AA5ED7" w:rsidRDefault="00AA5ED7" w:rsidP="00114A6E">
      <w:pPr>
        <w:pStyle w:val="ListParagraph"/>
        <w:numPr>
          <w:ilvl w:val="2"/>
          <w:numId w:val="3"/>
        </w:numPr>
      </w:pPr>
      <w:r>
        <w:t>Establishing an appropriate stressed condition</w:t>
      </w:r>
    </w:p>
    <w:p w:rsidR="00114A6E" w:rsidRDefault="00114A6E" w:rsidP="000D1014">
      <w:pPr>
        <w:pStyle w:val="ListParagraph"/>
        <w:numPr>
          <w:ilvl w:val="2"/>
          <w:numId w:val="3"/>
        </w:numPr>
      </w:pPr>
      <w:r>
        <w:t>Use of historical data</w:t>
      </w:r>
    </w:p>
    <w:p w:rsidR="00E75E8C" w:rsidRDefault="00E75E8C" w:rsidP="00E75E8C">
      <w:pPr>
        <w:pStyle w:val="ListParagraph"/>
        <w:numPr>
          <w:ilvl w:val="0"/>
          <w:numId w:val="3"/>
        </w:numPr>
      </w:pPr>
      <w:r>
        <w:t>Methods</w:t>
      </w:r>
      <w:r w:rsidR="0077111A">
        <w:t xml:space="preserve"> for performing load scaling</w:t>
      </w:r>
      <w:r w:rsidR="00AB11EF">
        <w:t>.</w:t>
      </w:r>
    </w:p>
    <w:p w:rsidR="00E75E8C" w:rsidRDefault="00E75E8C" w:rsidP="00E75E8C">
      <w:pPr>
        <w:pStyle w:val="ListParagraph"/>
        <w:numPr>
          <w:ilvl w:val="1"/>
          <w:numId w:val="3"/>
        </w:numPr>
      </w:pPr>
      <w:r>
        <w:t>Load to Generation – single area</w:t>
      </w:r>
    </w:p>
    <w:p w:rsidR="00E75E8C" w:rsidRDefault="00E75E8C" w:rsidP="00E75E8C">
      <w:pPr>
        <w:pStyle w:val="ListParagraph"/>
        <w:numPr>
          <w:ilvl w:val="1"/>
          <w:numId w:val="3"/>
        </w:numPr>
      </w:pPr>
      <w:r>
        <w:t>Load to Generation – multiple area</w:t>
      </w:r>
    </w:p>
    <w:p w:rsidR="00E75E8C" w:rsidRDefault="001432E9" w:rsidP="00E75E8C">
      <w:pPr>
        <w:pStyle w:val="ListParagraph"/>
        <w:numPr>
          <w:ilvl w:val="1"/>
          <w:numId w:val="3"/>
        </w:numPr>
      </w:pPr>
      <w:r>
        <w:t>Load to Load – multiple area</w:t>
      </w:r>
    </w:p>
    <w:p w:rsidR="00AB11EF" w:rsidRDefault="00AB11EF" w:rsidP="00AB11EF">
      <w:pPr>
        <w:pStyle w:val="ListParagraph"/>
        <w:numPr>
          <w:ilvl w:val="0"/>
          <w:numId w:val="3"/>
        </w:numPr>
      </w:pPr>
      <w:r>
        <w:t xml:space="preserve">Assessing appropriateness of </w:t>
      </w:r>
      <w:r w:rsidR="00C41C56">
        <w:t xml:space="preserve">the </w:t>
      </w:r>
      <w:r>
        <w:t>base case resulting from load scaling</w:t>
      </w:r>
      <w:r w:rsidR="007137C2">
        <w:t xml:space="preserve"> for studying</w:t>
      </w:r>
    </w:p>
    <w:p w:rsidR="00AB11EF" w:rsidRDefault="007137C2" w:rsidP="00AB11EF">
      <w:pPr>
        <w:pStyle w:val="ListParagraph"/>
        <w:numPr>
          <w:ilvl w:val="1"/>
          <w:numId w:val="3"/>
        </w:numPr>
      </w:pPr>
      <w:r>
        <w:t>Radial Systems</w:t>
      </w:r>
    </w:p>
    <w:p w:rsidR="007137C2" w:rsidRDefault="007137C2" w:rsidP="00AB11EF">
      <w:pPr>
        <w:pStyle w:val="ListParagraph"/>
        <w:numPr>
          <w:ilvl w:val="1"/>
          <w:numId w:val="3"/>
        </w:numPr>
      </w:pPr>
      <w:r>
        <w:t>Integrated Systems – within a limited area of study</w:t>
      </w:r>
    </w:p>
    <w:p w:rsidR="00AB11EF" w:rsidRDefault="007137C2" w:rsidP="00AB11EF">
      <w:pPr>
        <w:pStyle w:val="ListParagraph"/>
        <w:numPr>
          <w:ilvl w:val="1"/>
          <w:numId w:val="3"/>
        </w:numPr>
      </w:pPr>
      <w:r>
        <w:t>Integrated Systems – ERCOT wide</w:t>
      </w:r>
    </w:p>
    <w:p w:rsidR="007137C2" w:rsidRDefault="007137C2" w:rsidP="007137C2">
      <w:pPr>
        <w:pStyle w:val="ListParagraph"/>
        <w:numPr>
          <w:ilvl w:val="1"/>
          <w:numId w:val="3"/>
        </w:numPr>
      </w:pPr>
      <w:r>
        <w:t>Transmission Interfaces</w:t>
      </w:r>
    </w:p>
    <w:p w:rsidR="001432E9" w:rsidRDefault="00C41C56" w:rsidP="001432E9">
      <w:pPr>
        <w:pStyle w:val="ListParagraph"/>
        <w:numPr>
          <w:ilvl w:val="0"/>
          <w:numId w:val="3"/>
        </w:numPr>
      </w:pPr>
      <w:r>
        <w:t>Summary</w:t>
      </w:r>
    </w:p>
    <w:sectPr w:rsidR="0014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65C9"/>
    <w:multiLevelType w:val="hybridMultilevel"/>
    <w:tmpl w:val="F28C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7EA"/>
    <w:multiLevelType w:val="hybridMultilevel"/>
    <w:tmpl w:val="308A715E"/>
    <w:lvl w:ilvl="0" w:tplc="693EF49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701D2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68"/>
    <w:rsid w:val="00114A6E"/>
    <w:rsid w:val="001432E9"/>
    <w:rsid w:val="00283E4A"/>
    <w:rsid w:val="00523CFC"/>
    <w:rsid w:val="00582CC6"/>
    <w:rsid w:val="007137C2"/>
    <w:rsid w:val="00740E68"/>
    <w:rsid w:val="0077111A"/>
    <w:rsid w:val="009F6773"/>
    <w:rsid w:val="00AA5ED7"/>
    <w:rsid w:val="00AB11EF"/>
    <w:rsid w:val="00AC7BF1"/>
    <w:rsid w:val="00C20AE7"/>
    <w:rsid w:val="00C41C56"/>
    <w:rsid w:val="00E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33E3E-6C05-445E-AE6F-7C93A9B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E6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E6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E6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E6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E6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E6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E6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E6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E6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FC"/>
    <w:pPr>
      <w:numPr>
        <w:numId w:val="1"/>
      </w:numPr>
      <w:spacing w:after="200" w:line="276" w:lineRule="auto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40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E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E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E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E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E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LCRA TSC</dc:creator>
  <cp:keywords/>
  <dc:description/>
  <cp:lastModifiedBy>LCRA TSC</cp:lastModifiedBy>
  <cp:revision>7</cp:revision>
  <dcterms:created xsi:type="dcterms:W3CDTF">2016-05-12T12:25:00Z</dcterms:created>
  <dcterms:modified xsi:type="dcterms:W3CDTF">2016-05-12T16:45:00Z</dcterms:modified>
</cp:coreProperties>
</file>