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F013DE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color w:val="000000"/>
          <w:sz w:val="22"/>
          <w:szCs w:val="22"/>
        </w:rPr>
        <w:t>WebEx</w:t>
      </w:r>
      <w:r w:rsidR="006B3554">
        <w:rPr>
          <w:rFonts w:asciiTheme="minorHAnsi" w:hAnsiTheme="minorHAnsi"/>
          <w:b/>
          <w:color w:val="000000"/>
          <w:sz w:val="22"/>
          <w:szCs w:val="22"/>
        </w:rPr>
        <w:t xml:space="preserve"> Only</w:t>
      </w:r>
    </w:p>
    <w:p w:rsidR="00C56154" w:rsidRPr="00D853CA" w:rsidRDefault="006B3554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February 23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AM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C7696D" w:rsidRPr="009432B8" w:rsidRDefault="0033188A" w:rsidP="00C7696D">
      <w:pPr>
        <w:pStyle w:val="PlainText"/>
        <w:ind w:left="720"/>
        <w:rPr>
          <w:color w:val="000000"/>
        </w:rPr>
      </w:pPr>
      <w:hyperlink r:id="rId9" w:tgtFrame="_blank" w:history="1">
        <w:r w:rsidR="00C7696D" w:rsidRPr="009432B8">
          <w:rPr>
            <w:rStyle w:val="Hyperlink"/>
          </w:rPr>
          <w:t>http://ercot.webex.com</w:t>
        </w:r>
      </w:hyperlink>
    </w:p>
    <w:p w:rsidR="00A27879" w:rsidRPr="00A27879" w:rsidRDefault="00A27879" w:rsidP="00A27879">
      <w:pPr>
        <w:ind w:left="720"/>
        <w:rPr>
          <w:rFonts w:ascii="Calibri" w:eastAsiaTheme="minorHAnsi" w:hAnsi="Calibri"/>
          <w:color w:val="000000"/>
          <w:sz w:val="22"/>
          <w:szCs w:val="22"/>
        </w:rPr>
      </w:pPr>
      <w:r w:rsidRPr="00A27879">
        <w:rPr>
          <w:rFonts w:ascii="Calibri" w:eastAsiaTheme="minorHAnsi" w:hAnsi="Calibri"/>
          <w:color w:val="000000"/>
          <w:sz w:val="22"/>
          <w:szCs w:val="22"/>
        </w:rPr>
        <w:t>Teleconference: 877-668-4493</w:t>
      </w:r>
    </w:p>
    <w:p w:rsidR="00A27879" w:rsidRPr="00A27879" w:rsidRDefault="00A27879" w:rsidP="00A27879">
      <w:pPr>
        <w:ind w:left="720"/>
        <w:rPr>
          <w:rFonts w:ascii="Calibri" w:eastAsiaTheme="minorHAnsi" w:hAnsi="Calibri"/>
          <w:color w:val="000000"/>
          <w:sz w:val="22"/>
          <w:szCs w:val="22"/>
        </w:rPr>
      </w:pPr>
      <w:r w:rsidRPr="00A27879">
        <w:rPr>
          <w:rFonts w:ascii="Calibri" w:eastAsiaTheme="minorHAnsi" w:hAnsi="Calibri"/>
          <w:color w:val="000000"/>
          <w:sz w:val="22"/>
          <w:szCs w:val="22"/>
        </w:rPr>
        <w:t>Meeting number: 621 329 653</w:t>
      </w:r>
    </w:p>
    <w:p w:rsidR="00AB156D" w:rsidRDefault="00A27879" w:rsidP="00A27879">
      <w:pPr>
        <w:ind w:left="720"/>
        <w:rPr>
          <w:rFonts w:ascii="Calibri" w:eastAsiaTheme="minorHAnsi" w:hAnsi="Calibri"/>
          <w:color w:val="000000"/>
          <w:sz w:val="22"/>
          <w:szCs w:val="22"/>
        </w:rPr>
      </w:pPr>
      <w:r w:rsidRPr="00A27879">
        <w:rPr>
          <w:rFonts w:ascii="Calibri" w:eastAsiaTheme="minorHAnsi" w:hAnsi="Calibri"/>
          <w:color w:val="000000"/>
          <w:sz w:val="22"/>
          <w:szCs w:val="22"/>
        </w:rPr>
        <w:t xml:space="preserve">Meeting password: </w:t>
      </w:r>
      <w:proofErr w:type="spellStart"/>
      <w:r w:rsidRPr="00A27879">
        <w:rPr>
          <w:rFonts w:ascii="Calibri" w:eastAsiaTheme="minorHAnsi" w:hAnsi="Calibri"/>
          <w:color w:val="000000"/>
          <w:sz w:val="22"/>
          <w:szCs w:val="22"/>
        </w:rPr>
        <w:t>Mdwg</w:t>
      </w:r>
      <w:proofErr w:type="spellEnd"/>
    </w:p>
    <w:p w:rsidR="00D07151" w:rsidRDefault="00D07151" w:rsidP="00A27879">
      <w:pPr>
        <w:ind w:left="720"/>
        <w:rPr>
          <w:rFonts w:ascii="Calibri" w:eastAsiaTheme="minorHAnsi" w:hAnsi="Calibri"/>
          <w:color w:val="000000"/>
          <w:sz w:val="22"/>
          <w:szCs w:val="22"/>
        </w:rPr>
      </w:pPr>
    </w:p>
    <w:p w:rsidR="00D07151" w:rsidRDefault="00F21251" w:rsidP="00D07151">
      <w:pPr>
        <w:rPr>
          <w:rFonts w:ascii="Calibri" w:eastAsiaTheme="minorHAnsi" w:hAnsi="Calibri"/>
          <w:color w:val="000000"/>
          <w:sz w:val="22"/>
          <w:szCs w:val="22"/>
          <w:u w:val="single"/>
        </w:rPr>
      </w:pPr>
      <w:r>
        <w:rPr>
          <w:rFonts w:ascii="Calibri" w:eastAsiaTheme="minorHAnsi" w:hAnsi="Calibri"/>
          <w:color w:val="000000"/>
          <w:sz w:val="22"/>
          <w:szCs w:val="22"/>
          <w:u w:val="single"/>
        </w:rPr>
        <w:t xml:space="preserve">WebEx </w:t>
      </w:r>
      <w:r w:rsidR="00D07151" w:rsidRPr="00D07151">
        <w:rPr>
          <w:rFonts w:ascii="Calibri" w:eastAsiaTheme="minorHAnsi" w:hAnsi="Calibri"/>
          <w:color w:val="000000"/>
          <w:sz w:val="22"/>
          <w:szCs w:val="22"/>
          <w:u w:val="single"/>
        </w:rPr>
        <w:t>Attendees</w:t>
      </w:r>
    </w:p>
    <w:p w:rsidR="00D07151" w:rsidRDefault="00D07151" w:rsidP="00D07151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Julie Thomas – Luminant</w:t>
      </w:r>
    </w:p>
    <w:p w:rsidR="00D07151" w:rsidRDefault="00D07151" w:rsidP="00D07151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Kaci Jacobs – TXU Energy</w:t>
      </w:r>
    </w:p>
    <w:p w:rsidR="00D07151" w:rsidRDefault="00D07151" w:rsidP="00D07151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Jamie Lavas – ERCOT</w:t>
      </w:r>
    </w:p>
    <w:p w:rsidR="00D07151" w:rsidRDefault="00C14BDE" w:rsidP="00D07151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Eddie </w:t>
      </w:r>
      <w:proofErr w:type="spellStart"/>
      <w:r w:rsidR="00FD7D31">
        <w:rPr>
          <w:rFonts w:ascii="Calibri" w:eastAsiaTheme="minorHAnsi" w:hAnsi="Calibri"/>
          <w:color w:val="000000"/>
          <w:sz w:val="22"/>
          <w:szCs w:val="22"/>
        </w:rPr>
        <w:t>Silat</w:t>
      </w:r>
      <w:proofErr w:type="spellEnd"/>
      <w:r>
        <w:rPr>
          <w:rFonts w:ascii="Calibri" w:eastAsiaTheme="minorHAnsi" w:hAnsi="Calibri"/>
          <w:color w:val="000000"/>
          <w:sz w:val="22"/>
          <w:szCs w:val="22"/>
        </w:rPr>
        <w:t xml:space="preserve"> </w:t>
      </w:r>
      <w:r w:rsidR="00CB0F86">
        <w:rPr>
          <w:rFonts w:ascii="Calibri" w:eastAsiaTheme="minorHAnsi" w:hAnsi="Calibri"/>
          <w:color w:val="000000"/>
          <w:sz w:val="22"/>
          <w:szCs w:val="22"/>
        </w:rPr>
        <w:t>–</w:t>
      </w:r>
      <w:r>
        <w:rPr>
          <w:rFonts w:ascii="Calibri" w:eastAsiaTheme="minorHAnsi" w:hAnsi="Calibri"/>
          <w:color w:val="000000"/>
          <w:sz w:val="22"/>
          <w:szCs w:val="22"/>
        </w:rPr>
        <w:t xml:space="preserve"> </w:t>
      </w:r>
      <w:r w:rsidR="00FD7D31">
        <w:rPr>
          <w:rFonts w:ascii="Calibri" w:eastAsiaTheme="minorHAnsi" w:hAnsi="Calibri"/>
          <w:color w:val="000000"/>
          <w:sz w:val="22"/>
          <w:szCs w:val="22"/>
        </w:rPr>
        <w:t>Sharyland</w:t>
      </w:r>
    </w:p>
    <w:p w:rsidR="00CB0F86" w:rsidRDefault="009A6AEB" w:rsidP="00D07151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Michelle Trenary – TPS</w:t>
      </w:r>
    </w:p>
    <w:p w:rsidR="009A6AEB" w:rsidRDefault="009A6AEB" w:rsidP="00D07151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Taylor Woodruff – Oncor</w:t>
      </w:r>
    </w:p>
    <w:p w:rsidR="009A6AEB" w:rsidRDefault="009A6AEB" w:rsidP="00D07151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Carolyn Reed – CenterPoint</w:t>
      </w:r>
    </w:p>
    <w:p w:rsidR="009A6AEB" w:rsidRDefault="009A6AEB" w:rsidP="00D07151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Tracy Richter – ERCOT</w:t>
      </w:r>
    </w:p>
    <w:p w:rsidR="00CB0F86" w:rsidRDefault="009A6AEB" w:rsidP="00D07151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Jane Cates – ERCOT</w:t>
      </w:r>
    </w:p>
    <w:p w:rsidR="00CB0F86" w:rsidRDefault="00FD7D31" w:rsidP="00D07151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Daniel Spence – DME</w:t>
      </w:r>
    </w:p>
    <w:p w:rsidR="00AB044A" w:rsidRDefault="00AB044A" w:rsidP="00D07151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Lindsay Butterfield </w:t>
      </w:r>
      <w:r w:rsidR="006925B1">
        <w:rPr>
          <w:rFonts w:ascii="Calibri" w:eastAsiaTheme="minorHAnsi" w:hAnsi="Calibri"/>
          <w:color w:val="000000"/>
          <w:sz w:val="22"/>
          <w:szCs w:val="22"/>
        </w:rPr>
        <w:t>–</w:t>
      </w:r>
      <w:r>
        <w:rPr>
          <w:rFonts w:ascii="Calibri" w:eastAsiaTheme="minorHAnsi" w:hAnsi="Calibri"/>
          <w:color w:val="000000"/>
          <w:sz w:val="22"/>
          <w:szCs w:val="22"/>
        </w:rPr>
        <w:t xml:space="preserve"> ERCOT</w:t>
      </w:r>
    </w:p>
    <w:p w:rsidR="006925B1" w:rsidRDefault="006925B1" w:rsidP="00D07151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Jennifer </w:t>
      </w:r>
      <w:proofErr w:type="spellStart"/>
      <w:r>
        <w:rPr>
          <w:rFonts w:ascii="Calibri" w:eastAsiaTheme="minorHAnsi" w:hAnsi="Calibri"/>
          <w:color w:val="000000"/>
          <w:sz w:val="22"/>
          <w:szCs w:val="22"/>
        </w:rPr>
        <w:t>Bevill</w:t>
      </w:r>
      <w:proofErr w:type="spellEnd"/>
      <w:r>
        <w:rPr>
          <w:rFonts w:ascii="Calibri" w:eastAsiaTheme="minorHAnsi" w:hAnsi="Calibri"/>
          <w:color w:val="000000"/>
          <w:sz w:val="22"/>
          <w:szCs w:val="22"/>
        </w:rPr>
        <w:t xml:space="preserve"> – </w:t>
      </w:r>
      <w:r w:rsidR="00AC4B94">
        <w:rPr>
          <w:rFonts w:ascii="Calibri" w:eastAsiaTheme="minorHAnsi" w:hAnsi="Calibri"/>
          <w:color w:val="000000"/>
          <w:sz w:val="22"/>
          <w:szCs w:val="22"/>
        </w:rPr>
        <w:t>CES</w:t>
      </w:r>
    </w:p>
    <w:p w:rsidR="006925B1" w:rsidRDefault="006925B1" w:rsidP="00D07151">
      <w:pPr>
        <w:rPr>
          <w:rFonts w:ascii="Calibri" w:eastAsiaTheme="minorHAnsi" w:hAnsi="Calibri"/>
          <w:color w:val="000000"/>
          <w:sz w:val="22"/>
          <w:szCs w:val="22"/>
        </w:rPr>
      </w:pPr>
      <w:proofErr w:type="spellStart"/>
      <w:r>
        <w:rPr>
          <w:rFonts w:ascii="Calibri" w:eastAsiaTheme="minorHAnsi" w:hAnsi="Calibri"/>
          <w:color w:val="000000"/>
          <w:sz w:val="22"/>
          <w:szCs w:val="22"/>
        </w:rPr>
        <w:t>Tru</w:t>
      </w:r>
      <w:proofErr w:type="spellEnd"/>
      <w:r>
        <w:rPr>
          <w:rFonts w:ascii="Calibri" w:eastAsiaTheme="minorHAnsi" w:hAnsi="Calibri"/>
          <w:color w:val="000000"/>
          <w:sz w:val="22"/>
          <w:szCs w:val="22"/>
        </w:rPr>
        <w:t xml:space="preserve"> Robertson – Garland P&amp;L</w:t>
      </w:r>
    </w:p>
    <w:p w:rsidR="00000625" w:rsidRDefault="00000625" w:rsidP="00D07151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Cory Phillips </w:t>
      </w:r>
      <w:r w:rsidR="00D1298F">
        <w:rPr>
          <w:rFonts w:ascii="Calibri" w:eastAsiaTheme="minorHAnsi" w:hAnsi="Calibri"/>
          <w:color w:val="000000"/>
          <w:sz w:val="22"/>
          <w:szCs w:val="22"/>
        </w:rPr>
        <w:t>–</w:t>
      </w:r>
      <w:r>
        <w:rPr>
          <w:rFonts w:ascii="Calibri" w:eastAsiaTheme="minorHAnsi" w:hAnsi="Calibri"/>
          <w:color w:val="000000"/>
          <w:sz w:val="22"/>
          <w:szCs w:val="22"/>
        </w:rPr>
        <w:t xml:space="preserve"> ERCOT</w:t>
      </w:r>
    </w:p>
    <w:p w:rsidR="00D1298F" w:rsidRDefault="00D1298F" w:rsidP="00D07151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Brian </w:t>
      </w:r>
      <w:proofErr w:type="spellStart"/>
      <w:r>
        <w:rPr>
          <w:rFonts w:ascii="Calibri" w:eastAsiaTheme="minorHAnsi" w:hAnsi="Calibri"/>
          <w:color w:val="000000"/>
          <w:sz w:val="22"/>
          <w:szCs w:val="22"/>
        </w:rPr>
        <w:t>Brandaw</w:t>
      </w:r>
      <w:proofErr w:type="spellEnd"/>
      <w:r>
        <w:rPr>
          <w:rFonts w:ascii="Calibri" w:eastAsiaTheme="minorHAnsi" w:hAnsi="Calibri"/>
          <w:color w:val="000000"/>
          <w:sz w:val="22"/>
          <w:szCs w:val="22"/>
        </w:rPr>
        <w:t xml:space="preserve"> – ERCOT</w:t>
      </w:r>
    </w:p>
    <w:p w:rsidR="00D1298F" w:rsidRDefault="00D1298F" w:rsidP="00D07151">
      <w:pPr>
        <w:rPr>
          <w:rFonts w:ascii="Calibri" w:eastAsiaTheme="minorHAnsi" w:hAnsi="Calibri"/>
          <w:color w:val="000000"/>
          <w:sz w:val="22"/>
          <w:szCs w:val="22"/>
        </w:rPr>
      </w:pPr>
      <w:proofErr w:type="gramStart"/>
      <w:r>
        <w:rPr>
          <w:rFonts w:ascii="Calibri" w:eastAsiaTheme="minorHAnsi" w:hAnsi="Calibri"/>
          <w:color w:val="000000"/>
          <w:sz w:val="22"/>
          <w:szCs w:val="22"/>
        </w:rPr>
        <w:t>Bryan ?</w:t>
      </w:r>
      <w:proofErr w:type="gramEnd"/>
      <w:r>
        <w:rPr>
          <w:rFonts w:ascii="Calibri" w:eastAsiaTheme="minorHAnsi" w:hAnsi="Calibri"/>
          <w:color w:val="000000"/>
          <w:sz w:val="22"/>
          <w:szCs w:val="22"/>
        </w:rPr>
        <w:t xml:space="preserve"> - </w:t>
      </w:r>
      <w:r w:rsidR="0079332A">
        <w:rPr>
          <w:rFonts w:ascii="Calibri" w:eastAsiaTheme="minorHAnsi" w:hAnsi="Calibri"/>
          <w:color w:val="000000"/>
          <w:sz w:val="22"/>
          <w:szCs w:val="22"/>
        </w:rPr>
        <w:t>Unknown</w:t>
      </w:r>
    </w:p>
    <w:p w:rsidR="00D1298F" w:rsidRDefault="00D1298F" w:rsidP="00D07151">
      <w:pPr>
        <w:rPr>
          <w:rFonts w:ascii="Calibri" w:eastAsiaTheme="minorHAnsi" w:hAnsi="Calibri"/>
          <w:color w:val="000000"/>
          <w:sz w:val="22"/>
          <w:szCs w:val="22"/>
        </w:rPr>
      </w:pPr>
    </w:p>
    <w:p w:rsidR="00A27879" w:rsidRPr="00D853CA" w:rsidRDefault="00A27879" w:rsidP="00A27879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10800" w:type="dxa"/>
        <w:tblInd w:w="-162" w:type="dxa"/>
        <w:tblLook w:val="01E0" w:firstRow="1" w:lastRow="1" w:firstColumn="1" w:lastColumn="1" w:noHBand="0" w:noVBand="0"/>
      </w:tblPr>
      <w:tblGrid>
        <w:gridCol w:w="523"/>
        <w:gridCol w:w="8117"/>
        <w:gridCol w:w="990"/>
        <w:gridCol w:w="1170"/>
      </w:tblGrid>
      <w:tr w:rsidR="00AB156D" w:rsidRPr="00D853CA" w:rsidTr="00EC6D9C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8117" w:type="dxa"/>
          </w:tcPr>
          <w:p w:rsidR="00AB156D" w:rsidRPr="0067327D" w:rsidRDefault="00AB156D" w:rsidP="006A71C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  <w:r w:rsidR="009A454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A71CE">
              <w:rPr>
                <w:rFonts w:asciiTheme="minorHAnsi" w:hAnsiTheme="minorHAnsi"/>
                <w:sz w:val="22"/>
                <w:szCs w:val="22"/>
              </w:rPr>
              <w:t>–</w:t>
            </w:r>
            <w:r w:rsidR="009A454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A71CE">
              <w:rPr>
                <w:rFonts w:asciiTheme="minorHAnsi" w:hAnsiTheme="minorHAnsi"/>
                <w:color w:val="FF0000"/>
                <w:sz w:val="22"/>
                <w:szCs w:val="22"/>
              </w:rPr>
              <w:t>no changes made</w:t>
            </w:r>
            <w:bookmarkStart w:id="4" w:name="_GoBack"/>
            <w:bookmarkEnd w:id="4"/>
          </w:p>
        </w:tc>
        <w:tc>
          <w:tcPr>
            <w:tcW w:w="99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F75BEE" w:rsidP="00F75BE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EC6D9C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8117" w:type="dxa"/>
          </w:tcPr>
          <w:p w:rsidR="00AB156D" w:rsidRPr="0067327D" w:rsidRDefault="00D02EDB" w:rsidP="00666CBB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  <w:r w:rsidR="009A4542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666CBB">
              <w:rPr>
                <w:rFonts w:asciiTheme="minorHAnsi" w:hAnsiTheme="minorHAnsi"/>
                <w:color w:val="FF0000"/>
                <w:sz w:val="22"/>
                <w:szCs w:val="22"/>
              </w:rPr>
              <w:t>performed</w:t>
            </w:r>
          </w:p>
        </w:tc>
        <w:tc>
          <w:tcPr>
            <w:tcW w:w="99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EC6D9C">
        <w:trPr>
          <w:trHeight w:val="405"/>
        </w:trPr>
        <w:tc>
          <w:tcPr>
            <w:tcW w:w="523" w:type="dxa"/>
          </w:tcPr>
          <w:p w:rsidR="00D02EDB" w:rsidRPr="0067327D" w:rsidRDefault="00D02EDB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8117" w:type="dxa"/>
          </w:tcPr>
          <w:p w:rsidR="00D02EDB" w:rsidRPr="0067327D" w:rsidRDefault="00D02EDB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  <w:r w:rsidR="009A4542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9A4542" w:rsidRPr="009A4542">
              <w:rPr>
                <w:rFonts w:asciiTheme="minorHAnsi" w:hAnsiTheme="minorHAnsi"/>
                <w:color w:val="FF0000"/>
                <w:sz w:val="22"/>
                <w:szCs w:val="22"/>
              </w:rPr>
              <w:t>no changes made</w:t>
            </w:r>
          </w:p>
        </w:tc>
        <w:tc>
          <w:tcPr>
            <w:tcW w:w="990" w:type="dxa"/>
          </w:tcPr>
          <w:p w:rsidR="00D02EDB" w:rsidRPr="0067327D" w:rsidRDefault="00D02EDB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EC6D9C">
        <w:trPr>
          <w:trHeight w:val="954"/>
        </w:trPr>
        <w:tc>
          <w:tcPr>
            <w:tcW w:w="523" w:type="dxa"/>
          </w:tcPr>
          <w:p w:rsidR="00F75BEE" w:rsidRPr="0067327D" w:rsidRDefault="00D02EDB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4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117" w:type="dxa"/>
          </w:tcPr>
          <w:p w:rsidR="00F75BEE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COPS Update</w:t>
            </w:r>
            <w:r w:rsidR="00815B70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815B70" w:rsidRPr="00815B70">
              <w:rPr>
                <w:rFonts w:asciiTheme="minorHAnsi" w:hAnsiTheme="minorHAnsi"/>
                <w:color w:val="FF0000"/>
                <w:sz w:val="22"/>
                <w:szCs w:val="22"/>
              </w:rPr>
              <w:t>reviewed MDWG update deck to COPS presented February 10, 2016</w:t>
            </w:r>
          </w:p>
          <w:p w:rsidR="00F75BEE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2016 MDWG Leadership</w:t>
            </w:r>
            <w:r w:rsidR="00815B70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815B70" w:rsidRPr="00815B70">
              <w:rPr>
                <w:rFonts w:asciiTheme="minorHAnsi" w:hAnsiTheme="minorHAnsi"/>
                <w:color w:val="FF0000"/>
                <w:sz w:val="22"/>
                <w:szCs w:val="22"/>
              </w:rPr>
              <w:t>noted</w:t>
            </w:r>
          </w:p>
          <w:p w:rsidR="00F75BEE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MDWG Scope</w:t>
            </w:r>
            <w:r w:rsidR="00815B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749C">
              <w:rPr>
                <w:rFonts w:asciiTheme="minorHAnsi" w:hAnsiTheme="minorHAnsi"/>
                <w:sz w:val="22"/>
                <w:szCs w:val="22"/>
              </w:rPr>
              <w:t>–</w:t>
            </w:r>
            <w:r w:rsidR="00815B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749C" w:rsidRPr="008D749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Michelle </w:t>
            </w:r>
            <w:r w:rsidR="008D749C">
              <w:rPr>
                <w:rFonts w:asciiTheme="minorHAnsi" w:hAnsiTheme="minorHAnsi"/>
                <w:color w:val="FF0000"/>
                <w:sz w:val="22"/>
                <w:szCs w:val="22"/>
              </w:rPr>
              <w:t>will</w:t>
            </w:r>
            <w:r w:rsidR="008D749C" w:rsidRPr="008D749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send out a notice to MPs</w:t>
            </w:r>
            <w:r w:rsidR="008D749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through TAC </w:t>
            </w:r>
            <w:r w:rsidR="005B2A67">
              <w:rPr>
                <w:rFonts w:asciiTheme="minorHAnsi" w:hAnsiTheme="minorHAnsi"/>
                <w:color w:val="FF0000"/>
                <w:sz w:val="22"/>
                <w:szCs w:val="22"/>
              </w:rPr>
              <w:t>ListServe</w:t>
            </w:r>
            <w:r w:rsidR="008D749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of the new MDWG and its new scope</w:t>
            </w:r>
            <w:r w:rsidR="008D749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D749C" w:rsidRPr="00676750" w:rsidRDefault="008D749C" w:rsidP="008D749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76750">
              <w:rPr>
                <w:rFonts w:asciiTheme="minorHAnsi" w:hAnsiTheme="minorHAnsi"/>
                <w:color w:val="FF0000"/>
                <w:sz w:val="22"/>
                <w:szCs w:val="22"/>
              </w:rPr>
              <w:t>Reviewed MDWG scope document</w:t>
            </w:r>
          </w:p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Vote to disband MISUG</w:t>
            </w:r>
            <w:r w:rsidR="005B2A67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5B2A67" w:rsidRPr="005B2A67">
              <w:rPr>
                <w:rFonts w:asciiTheme="minorHAnsi" w:hAnsiTheme="minorHAnsi"/>
                <w:color w:val="FF0000"/>
                <w:sz w:val="22"/>
                <w:szCs w:val="22"/>
              </w:rPr>
              <w:t>noted</w:t>
            </w:r>
          </w:p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F75BEE" w:rsidRPr="0067327D" w:rsidRDefault="00F75BEE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75BEE" w:rsidRPr="0067327D" w:rsidRDefault="00F75BEE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EC6D9C">
        <w:trPr>
          <w:trHeight w:val="954"/>
        </w:trPr>
        <w:tc>
          <w:tcPr>
            <w:tcW w:w="523" w:type="dxa"/>
          </w:tcPr>
          <w:p w:rsidR="006B3554" w:rsidRPr="0067327D" w:rsidRDefault="00E75F31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117" w:type="dxa"/>
          </w:tcPr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NOGRR084</w:t>
            </w:r>
          </w:p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NOGRR084 – Daily Grid Ops Report – In process</w:t>
            </w:r>
          </w:p>
          <w:p w:rsidR="005B2A67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Review of internal discussions at ERCOT</w:t>
            </w:r>
            <w:r w:rsidR="005B2A67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</w:p>
          <w:p w:rsidR="005B2A67" w:rsidRPr="005B2A67" w:rsidRDefault="005B2A67" w:rsidP="000C26E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Language changes</w:t>
            </w:r>
            <w:r w:rsidRPr="005B2A6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to be approved by ERCOT for presentment at the next MDWG meeting in March</w:t>
            </w:r>
          </w:p>
        </w:tc>
        <w:tc>
          <w:tcPr>
            <w:tcW w:w="990" w:type="dxa"/>
          </w:tcPr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Jamie Lavas</w:t>
            </w:r>
          </w:p>
        </w:tc>
        <w:tc>
          <w:tcPr>
            <w:tcW w:w="1170" w:type="dxa"/>
          </w:tcPr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EC6D9C">
        <w:trPr>
          <w:trHeight w:val="621"/>
        </w:trPr>
        <w:tc>
          <w:tcPr>
            <w:tcW w:w="523" w:type="dxa"/>
          </w:tcPr>
          <w:p w:rsidR="006B3554" w:rsidRPr="0067327D" w:rsidDel="00B32631" w:rsidRDefault="00E75F31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6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117" w:type="dxa"/>
          </w:tcPr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Reports to be Automated</w:t>
            </w:r>
          </w:p>
          <w:p w:rsidR="006B3554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Update on CEE</w:t>
            </w:r>
            <w:r w:rsidR="00AB044A">
              <w:rPr>
                <w:rFonts w:asciiTheme="minorHAnsi" w:hAnsiTheme="minorHAnsi"/>
                <w:sz w:val="22"/>
                <w:szCs w:val="22"/>
              </w:rPr>
              <w:t>R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 xml:space="preserve"> funding and next steps</w:t>
            </w:r>
          </w:p>
          <w:p w:rsidR="0020149E" w:rsidRDefault="0020149E" w:rsidP="0020149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F3DDD">
              <w:rPr>
                <w:rFonts w:asciiTheme="minorHAnsi" w:hAnsiTheme="minorHAnsi"/>
                <w:color w:val="FF0000"/>
                <w:sz w:val="22"/>
                <w:szCs w:val="22"/>
              </w:rPr>
              <w:lastRenderedPageBreak/>
              <w:t xml:space="preserve">ERCOT created 3 CEERs, </w:t>
            </w:r>
            <w:r w:rsidR="005F7B78" w:rsidRPr="000F3D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with </w:t>
            </w:r>
            <w:r w:rsidRPr="000F3DDD">
              <w:rPr>
                <w:rFonts w:asciiTheme="minorHAnsi" w:hAnsiTheme="minorHAnsi"/>
                <w:color w:val="FF0000"/>
                <w:sz w:val="22"/>
                <w:szCs w:val="22"/>
              </w:rPr>
              <w:t>each report bundled into a CEER and Request for Change (RFC)</w:t>
            </w:r>
          </w:p>
          <w:p w:rsidR="00753489" w:rsidRPr="000F3DDD" w:rsidRDefault="00753489" w:rsidP="0020149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F3DDD">
              <w:rPr>
                <w:rFonts w:asciiTheme="minorHAnsi" w:hAnsiTheme="minorHAnsi"/>
                <w:color w:val="FF0000"/>
                <w:sz w:val="22"/>
                <w:szCs w:val="22"/>
              </w:rPr>
              <w:t>Each report will have its own RFC number and should be expected for release by end of the year</w:t>
            </w:r>
          </w:p>
          <w:p w:rsidR="0020149E" w:rsidRPr="00753489" w:rsidRDefault="0020149E" w:rsidP="00753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EC6D9C">
        <w:trPr>
          <w:trHeight w:val="549"/>
        </w:trPr>
        <w:tc>
          <w:tcPr>
            <w:tcW w:w="523" w:type="dxa"/>
          </w:tcPr>
          <w:p w:rsidR="006B3554" w:rsidRPr="0067327D" w:rsidRDefault="00E75F31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lastRenderedPageBreak/>
              <w:t>7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117" w:type="dxa"/>
          </w:tcPr>
          <w:p w:rsidR="006B3554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 xml:space="preserve">Load Forecast Distribution Factors Report </w:t>
            </w:r>
            <w:r w:rsidR="00E75F31" w:rsidRPr="0067327D">
              <w:rPr>
                <w:rFonts w:asciiTheme="minorHAnsi" w:hAnsiTheme="minorHAnsi"/>
                <w:sz w:val="22"/>
                <w:szCs w:val="22"/>
              </w:rPr>
              <w:t>Frequency</w:t>
            </w:r>
          </w:p>
          <w:p w:rsidR="00226723" w:rsidRPr="00753489" w:rsidRDefault="003F37D0" w:rsidP="0022672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75348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Previously reported this would be a daily </w:t>
            </w:r>
            <w:r w:rsidR="006368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run at 5am but SCR is noted it </w:t>
            </w:r>
            <w:r w:rsidRPr="0075348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would be event driven published </w:t>
            </w:r>
            <w:r w:rsidR="004C2C7C" w:rsidRPr="00753489">
              <w:rPr>
                <w:rFonts w:asciiTheme="minorHAnsi" w:hAnsiTheme="minorHAnsi"/>
                <w:color w:val="FF0000"/>
                <w:sz w:val="22"/>
                <w:szCs w:val="22"/>
              </w:rPr>
              <w:t>when it changes which may only be once a month</w:t>
            </w:r>
          </w:p>
          <w:p w:rsidR="00904AA8" w:rsidRPr="00753489" w:rsidRDefault="00904AA8" w:rsidP="0022672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753489">
              <w:rPr>
                <w:rFonts w:asciiTheme="minorHAnsi" w:hAnsiTheme="minorHAnsi"/>
                <w:color w:val="FF0000"/>
                <w:sz w:val="22"/>
                <w:szCs w:val="22"/>
              </w:rPr>
              <w:t>Update - PUC approved list of reports to be decommissioned</w:t>
            </w:r>
          </w:p>
          <w:p w:rsidR="00753489" w:rsidRPr="003F37D0" w:rsidRDefault="00753489" w:rsidP="0022672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753489">
              <w:rPr>
                <w:rFonts w:asciiTheme="minorHAnsi" w:hAnsiTheme="minorHAnsi"/>
                <w:color w:val="FF0000"/>
                <w:sz w:val="22"/>
                <w:szCs w:val="22"/>
              </w:rPr>
              <w:t>Went to PRS and remanded back to COPS</w:t>
            </w:r>
          </w:p>
        </w:tc>
        <w:tc>
          <w:tcPr>
            <w:tcW w:w="990" w:type="dxa"/>
          </w:tcPr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EC6D9C">
        <w:trPr>
          <w:trHeight w:val="549"/>
        </w:trPr>
        <w:tc>
          <w:tcPr>
            <w:tcW w:w="523" w:type="dxa"/>
          </w:tcPr>
          <w:p w:rsidR="006B3554" w:rsidRPr="0067327D" w:rsidRDefault="00E75F31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8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117" w:type="dxa"/>
          </w:tcPr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Open Items</w:t>
            </w:r>
          </w:p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Zero/Null Data in SCED GRD report – Moved to R2</w:t>
            </w:r>
            <w:r w:rsidR="00904AA8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904AA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Moved to </w:t>
            </w:r>
            <w:r w:rsidR="00904AA8" w:rsidRPr="00904AA8">
              <w:rPr>
                <w:rFonts w:asciiTheme="minorHAnsi" w:hAnsiTheme="minorHAnsi"/>
                <w:color w:val="FF0000"/>
                <w:sz w:val="22"/>
                <w:szCs w:val="22"/>
              </w:rPr>
              <w:t>R3</w:t>
            </w:r>
            <w:r w:rsidR="00904AA8">
              <w:rPr>
                <w:rFonts w:asciiTheme="minorHAnsi" w:hAnsiTheme="minorHAnsi"/>
                <w:color w:val="FF0000"/>
                <w:sz w:val="22"/>
                <w:szCs w:val="22"/>
              </w:rPr>
              <w:t>,</w:t>
            </w:r>
            <w:r w:rsidR="00904AA8" w:rsidRPr="00904AA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scheduled for June 14</w:t>
            </w:r>
            <w:r w:rsidR="00904AA8" w:rsidRPr="00904AA8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th</w:t>
            </w:r>
            <w:r w:rsidR="00904AA8" w:rsidRPr="00904AA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– 16th</w:t>
            </w:r>
          </w:p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EC6D9C">
        <w:trPr>
          <w:trHeight w:val="711"/>
        </w:trPr>
        <w:tc>
          <w:tcPr>
            <w:tcW w:w="523" w:type="dxa"/>
          </w:tcPr>
          <w:p w:rsidR="006B3554" w:rsidRPr="0067327D" w:rsidRDefault="00E75F31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9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117" w:type="dxa"/>
          </w:tcPr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Disclosure Data User Guides</w:t>
            </w:r>
          </w:p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Review of comments</w:t>
            </w:r>
          </w:p>
          <w:p w:rsidR="006B3554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Final version?</w:t>
            </w:r>
            <w:r w:rsidR="002F22E0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2F22E0" w:rsidRPr="000F3DDD" w:rsidRDefault="002F22E0" w:rsidP="002F22E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F3DDD">
              <w:rPr>
                <w:rFonts w:asciiTheme="minorHAnsi" w:hAnsiTheme="minorHAnsi"/>
                <w:color w:val="FF0000"/>
                <w:sz w:val="22"/>
                <w:szCs w:val="22"/>
              </w:rPr>
              <w:t>Th</w:t>
            </w:r>
            <w:r w:rsidR="008C5E2A" w:rsidRPr="000F3DDD">
              <w:rPr>
                <w:rFonts w:asciiTheme="minorHAnsi" w:hAnsiTheme="minorHAnsi"/>
                <w:color w:val="FF0000"/>
                <w:sz w:val="22"/>
                <w:szCs w:val="22"/>
              </w:rPr>
              <w:t>e</w:t>
            </w:r>
            <w:r w:rsidRPr="000F3D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8C5E2A" w:rsidRPr="000F3D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guide has been completed and </w:t>
            </w:r>
            <w:r w:rsidR="00D73EB6" w:rsidRPr="000F3D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published on the </w:t>
            </w:r>
            <w:r w:rsidRPr="000F3D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User Guides page under </w:t>
            </w:r>
            <w:r w:rsidR="00D73EB6" w:rsidRPr="000F3D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the </w:t>
            </w:r>
            <w:r w:rsidRPr="000F3DDD">
              <w:rPr>
                <w:rFonts w:asciiTheme="minorHAnsi" w:hAnsiTheme="minorHAnsi"/>
                <w:color w:val="FF0000"/>
                <w:sz w:val="22"/>
                <w:szCs w:val="22"/>
              </w:rPr>
              <w:t>Wholesale section</w:t>
            </w:r>
          </w:p>
          <w:p w:rsidR="006B5A25" w:rsidRPr="000F3DDD" w:rsidRDefault="006B5A25" w:rsidP="002F22E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F3DDD">
              <w:rPr>
                <w:rFonts w:asciiTheme="minorHAnsi" w:hAnsiTheme="minorHAnsi"/>
                <w:color w:val="FF0000"/>
                <w:sz w:val="22"/>
                <w:szCs w:val="22"/>
              </w:rPr>
              <w:t>ERCOT requests feedback from MPs regarding all other guides listed for potential modifications</w:t>
            </w:r>
          </w:p>
          <w:p w:rsidR="002E2AF5" w:rsidRPr="000F3DDD" w:rsidRDefault="002E2AF5" w:rsidP="002F22E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F3DDD">
              <w:rPr>
                <w:rFonts w:asciiTheme="minorHAnsi" w:hAnsiTheme="minorHAnsi"/>
                <w:color w:val="FF0000"/>
                <w:sz w:val="22"/>
                <w:szCs w:val="22"/>
              </w:rPr>
              <w:t>Data Definition Language</w:t>
            </w:r>
            <w:r w:rsidR="00D91925" w:rsidRPr="000F3D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(DDL) to be consolidated and placed in zip file by ERCOT</w:t>
            </w:r>
          </w:p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EC6D9C">
        <w:trPr>
          <w:trHeight w:val="486"/>
        </w:trPr>
        <w:tc>
          <w:tcPr>
            <w:tcW w:w="523" w:type="dxa"/>
          </w:tcPr>
          <w:p w:rsidR="00F75BEE" w:rsidRPr="0067327D" w:rsidRDefault="00E75F31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10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117" w:type="dxa"/>
          </w:tcPr>
          <w:p w:rsidR="00F75BEE" w:rsidRPr="0067327D" w:rsidRDefault="00F75BEE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Review of Market Data Transparency SLAs</w:t>
            </w:r>
          </w:p>
          <w:p w:rsidR="00E75F31" w:rsidRDefault="00E75F31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To be continued, if necessary</w:t>
            </w:r>
            <w:r w:rsidR="00D1298F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D1298F" w:rsidRPr="00CC503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Dave had a conflict and was unable to attend, Jaime stated </w:t>
            </w:r>
            <w:r w:rsidR="00CC503B" w:rsidRPr="00CC503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she would provide </w:t>
            </w:r>
            <w:r w:rsidR="00BC70C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to him </w:t>
            </w:r>
            <w:r w:rsidR="00CC503B" w:rsidRPr="00CC503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any questions </w:t>
            </w:r>
            <w:r w:rsidR="00BC70CF">
              <w:rPr>
                <w:rFonts w:asciiTheme="minorHAnsi" w:hAnsiTheme="minorHAnsi"/>
                <w:color w:val="FF0000"/>
                <w:sz w:val="22"/>
                <w:szCs w:val="22"/>
              </w:rPr>
              <w:t>which may</w:t>
            </w:r>
            <w:r w:rsidR="00CC503B" w:rsidRPr="00CC503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come up</w:t>
            </w:r>
          </w:p>
          <w:p w:rsidR="00D1298F" w:rsidRDefault="000F3DDD" w:rsidP="00D1298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F3D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Reviewed document and comments noted for </w:t>
            </w:r>
            <w:r w:rsidR="00E50321">
              <w:rPr>
                <w:rFonts w:asciiTheme="minorHAnsi" w:hAnsiTheme="minorHAnsi"/>
                <w:color w:val="FF0000"/>
                <w:sz w:val="22"/>
                <w:szCs w:val="22"/>
              </w:rPr>
              <w:t>ERCOT</w:t>
            </w:r>
            <w:r w:rsidRPr="000F3D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to take back and review for next meeting discussion</w:t>
            </w:r>
            <w:r w:rsidR="00E50321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for updates and to identify if it needs to be brought before COPS for approval</w:t>
            </w:r>
          </w:p>
          <w:p w:rsidR="003B084E" w:rsidRDefault="003A5E5B" w:rsidP="00D1298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Jamie Lavas, </w:t>
            </w:r>
            <w:r w:rsidR="00AA1895" w:rsidRPr="00EB0E96">
              <w:rPr>
                <w:rFonts w:asciiTheme="minorHAnsi" w:hAnsiTheme="minorHAnsi"/>
                <w:color w:val="FF0000"/>
                <w:sz w:val="22"/>
                <w:szCs w:val="22"/>
              </w:rPr>
              <w:t>ERCOT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,</w:t>
            </w:r>
            <w:r w:rsidR="00AA1895" w:rsidRPr="00EB0E9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noted that any EMIL report that ends in “CD” does not have retry capability</w:t>
            </w:r>
          </w:p>
          <w:p w:rsidR="004454E6" w:rsidRDefault="004454E6" w:rsidP="00D1298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Julie Thomas, Luminant, noted ERCOT incident log had not been updated for the incident in January 2016</w:t>
            </w:r>
          </w:p>
          <w:p w:rsidR="00E75F31" w:rsidRPr="00E50321" w:rsidRDefault="00E75F31" w:rsidP="00E50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F75BEE" w:rsidRPr="0067327D" w:rsidRDefault="00F75BEE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75BEE" w:rsidRPr="0067327D" w:rsidRDefault="00E75F31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15 min</w:t>
            </w:r>
          </w:p>
        </w:tc>
      </w:tr>
      <w:tr w:rsidR="00CC3FAC" w:rsidRPr="00D853CA" w:rsidTr="00EC6D9C">
        <w:trPr>
          <w:trHeight w:val="711"/>
        </w:trPr>
        <w:tc>
          <w:tcPr>
            <w:tcW w:w="523" w:type="dxa"/>
          </w:tcPr>
          <w:p w:rsidR="00CC3FAC" w:rsidRPr="0067327D" w:rsidRDefault="007E0200" w:rsidP="00E75F31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E75F31"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117" w:type="dxa"/>
          </w:tcPr>
          <w:p w:rsidR="00CC3FAC" w:rsidRPr="0067327D" w:rsidRDefault="00CC3FAC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3B7A8E" w:rsidRDefault="00417CAC" w:rsidP="00C14BD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ERCOT to provide update – </w:t>
            </w:r>
          </w:p>
          <w:p w:rsidR="003B7A8E" w:rsidRPr="003B7A8E" w:rsidRDefault="00417CAC" w:rsidP="003B7A8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3B7A8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ERCOT </w:t>
            </w:r>
            <w:r w:rsidR="003B7A8E" w:rsidRPr="003B7A8E">
              <w:rPr>
                <w:rFonts w:asciiTheme="minorHAnsi" w:hAnsiTheme="minorHAnsi"/>
                <w:color w:val="FF0000"/>
                <w:sz w:val="22"/>
                <w:szCs w:val="22"/>
              </w:rPr>
              <w:t>to provide content and direction for sponsorship at next MDWG</w:t>
            </w:r>
          </w:p>
          <w:p w:rsidR="00CC3FAC" w:rsidRPr="003B7A8E" w:rsidRDefault="003B7A8E" w:rsidP="003B7A8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3B7A8E">
              <w:rPr>
                <w:rFonts w:asciiTheme="minorHAnsi" w:hAnsiTheme="minorHAnsi"/>
                <w:color w:val="FF0000"/>
                <w:sz w:val="22"/>
                <w:szCs w:val="22"/>
              </w:rPr>
              <w:t>ERCOT will decide if a second mailbox will need to be created for feedback from MPs</w:t>
            </w:r>
            <w:r w:rsidR="00417CAC" w:rsidRPr="003B7A8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</w:p>
          <w:p w:rsidR="00A26CCD" w:rsidRPr="003B7A8E" w:rsidRDefault="00A26CCD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3B7A8E">
              <w:rPr>
                <w:rFonts w:asciiTheme="minorHAnsi" w:hAnsiTheme="minorHAnsi"/>
                <w:sz w:val="22"/>
                <w:szCs w:val="22"/>
              </w:rPr>
              <w:t>Business case discussion</w:t>
            </w:r>
            <w:r w:rsidR="00E75F31" w:rsidRPr="003B7A8E">
              <w:rPr>
                <w:rFonts w:asciiTheme="minorHAnsi" w:hAnsiTheme="minorHAnsi"/>
                <w:sz w:val="22"/>
                <w:szCs w:val="22"/>
              </w:rPr>
              <w:t xml:space="preserve"> – DME</w:t>
            </w:r>
          </w:p>
          <w:p w:rsidR="00732F0B" w:rsidRPr="00C319F1" w:rsidRDefault="00C76A04" w:rsidP="00732F0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319F1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Daniel Spence, DME, </w:t>
            </w:r>
            <w:r w:rsidR="003B7A8E" w:rsidRPr="00C319F1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presented deck on what it took for DME to </w:t>
            </w:r>
            <w:r w:rsidR="00732F0B" w:rsidRPr="00C319F1">
              <w:rPr>
                <w:rFonts w:asciiTheme="minorHAnsi" w:hAnsiTheme="minorHAnsi"/>
                <w:color w:val="FF0000"/>
                <w:sz w:val="22"/>
                <w:szCs w:val="22"/>
              </w:rPr>
              <w:t>perform</w:t>
            </w:r>
            <w:r w:rsidR="003B7A8E" w:rsidRPr="00C319F1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EWS redesign, focusing on the “Get Reports” function</w:t>
            </w:r>
          </w:p>
          <w:p w:rsidR="00732F0B" w:rsidRPr="00732F0B" w:rsidRDefault="00732F0B" w:rsidP="00732F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C3FAC" w:rsidRPr="0067327D" w:rsidRDefault="00CC3FAC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CC3FAC" w:rsidRPr="0067327D" w:rsidRDefault="00CC3FAC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F04" w:rsidRPr="00D853CA" w:rsidTr="00EC6D9C">
        <w:trPr>
          <w:trHeight w:val="360"/>
        </w:trPr>
        <w:tc>
          <w:tcPr>
            <w:tcW w:w="523" w:type="dxa"/>
          </w:tcPr>
          <w:p w:rsidR="00F97F04" w:rsidRPr="0067327D" w:rsidRDefault="00F97F0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8117" w:type="dxa"/>
          </w:tcPr>
          <w:p w:rsidR="00F97F04" w:rsidRDefault="00F97F0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C319F1" w:rsidRPr="00997090" w:rsidRDefault="00C319F1" w:rsidP="00C319F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997090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Planning links </w:t>
            </w:r>
            <w:r w:rsidR="00997090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are </w:t>
            </w:r>
            <w:r w:rsidRPr="00997090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ongoing and added to the Release spreadsheet after </w:t>
            </w:r>
            <w:r w:rsidR="00997090">
              <w:rPr>
                <w:rFonts w:asciiTheme="minorHAnsi" w:hAnsiTheme="minorHAnsi"/>
                <w:color w:val="FF0000"/>
                <w:sz w:val="22"/>
                <w:szCs w:val="22"/>
              </w:rPr>
              <w:t>t</w:t>
            </w:r>
            <w:r w:rsidRPr="00997090">
              <w:rPr>
                <w:rFonts w:asciiTheme="minorHAnsi" w:hAnsiTheme="minorHAnsi"/>
                <w:color w:val="FF0000"/>
                <w:sz w:val="22"/>
                <w:szCs w:val="22"/>
              </w:rPr>
              <w:t>he fact</w:t>
            </w:r>
          </w:p>
          <w:p w:rsidR="00C319F1" w:rsidRPr="00997090" w:rsidRDefault="00997090" w:rsidP="00C319F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997090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ERCOT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m</w:t>
            </w:r>
            <w:r w:rsidR="00C319F1" w:rsidRPr="00997090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aking changes to branding with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dashboard</w:t>
            </w:r>
            <w:r w:rsidR="00C319F1" w:rsidRPr="00997090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, naming,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and color changes</w:t>
            </w:r>
          </w:p>
          <w:p w:rsidR="00C319F1" w:rsidRPr="0067327D" w:rsidRDefault="00C319F1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97F04" w:rsidRPr="0067327D" w:rsidRDefault="00F97F0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lastRenderedPageBreak/>
              <w:t>R2 –  April</w:t>
            </w:r>
          </w:p>
          <w:p w:rsidR="00C319F1" w:rsidRDefault="00F97F0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Status on R1</w:t>
            </w:r>
            <w:r w:rsidR="00C319F1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</w:p>
          <w:p w:rsidR="00C319F1" w:rsidRPr="00C319F1" w:rsidRDefault="005B53F2" w:rsidP="00C319F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ERCOT states release w</w:t>
            </w:r>
            <w:r w:rsidR="00C319F1" w:rsidRPr="00C319F1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ent well, links are there </w:t>
            </w:r>
          </w:p>
          <w:p w:rsidR="00F97F04" w:rsidRPr="00EC6D9C" w:rsidRDefault="00C319F1" w:rsidP="00C319F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C319F1">
              <w:rPr>
                <w:rFonts w:asciiTheme="minorHAnsi" w:hAnsiTheme="minorHAnsi"/>
                <w:color w:val="FF0000"/>
                <w:sz w:val="22"/>
                <w:szCs w:val="22"/>
              </w:rPr>
              <w:t>Grouping of 48 reports were regrouped and reposted due to inconsistency with calculation</w:t>
            </w:r>
          </w:p>
          <w:p w:rsidR="00EC6D9C" w:rsidRPr="00EC6D9C" w:rsidRDefault="00EC6D9C" w:rsidP="00EC6D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F97F04" w:rsidRPr="0067327D" w:rsidRDefault="00F97F04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97F04" w:rsidRPr="0067327D" w:rsidRDefault="00F97F04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EC6D9C">
        <w:trPr>
          <w:trHeight w:val="360"/>
        </w:trPr>
        <w:tc>
          <w:tcPr>
            <w:tcW w:w="523" w:type="dxa"/>
          </w:tcPr>
          <w:p w:rsidR="007E31CC" w:rsidRPr="0067327D" w:rsidRDefault="009432B8" w:rsidP="00F97F04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F97F04"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117" w:type="dxa"/>
          </w:tcPr>
          <w:p w:rsidR="00CE223D" w:rsidRDefault="00F97F04" w:rsidP="00C14BD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Future Meeting Schedule</w:t>
            </w:r>
          </w:p>
          <w:p w:rsidR="00EC6D9C" w:rsidRPr="000B6D2C" w:rsidRDefault="00EC6D9C" w:rsidP="00EC6D9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B6D2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Meeting schedule was not reserved on </w:t>
            </w:r>
            <w:r w:rsidR="008E4F31" w:rsidRPr="000B6D2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ERCOT </w:t>
            </w:r>
            <w:r w:rsidRPr="000B6D2C">
              <w:rPr>
                <w:rFonts w:asciiTheme="minorHAnsi" w:hAnsiTheme="minorHAnsi"/>
                <w:color w:val="FF0000"/>
                <w:sz w:val="22"/>
                <w:szCs w:val="22"/>
              </w:rPr>
              <w:t>calendar timely</w:t>
            </w:r>
            <w:r w:rsidR="008E4F31" w:rsidRPr="000B6D2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resulting in conflict with AMWG for March, April, May and August meetings</w:t>
            </w:r>
          </w:p>
          <w:p w:rsidR="008E4F31" w:rsidRPr="000B6D2C" w:rsidRDefault="008E4F31" w:rsidP="00EC6D9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B6D2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Group agreed to change to </w:t>
            </w:r>
          </w:p>
          <w:p w:rsidR="008E4F31" w:rsidRPr="000B6D2C" w:rsidRDefault="008E4F31" w:rsidP="008E4F31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B6D2C">
              <w:rPr>
                <w:rFonts w:asciiTheme="minorHAnsi" w:hAnsiTheme="minorHAnsi"/>
                <w:color w:val="FF0000"/>
                <w:sz w:val="22"/>
                <w:szCs w:val="22"/>
              </w:rPr>
              <w:t>March 29</w:t>
            </w:r>
            <w:r w:rsidRPr="000B6D2C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th</w:t>
            </w:r>
          </w:p>
          <w:p w:rsidR="008E4F31" w:rsidRPr="000B6D2C" w:rsidRDefault="008E4F31" w:rsidP="008E4F31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B6D2C">
              <w:rPr>
                <w:rFonts w:asciiTheme="minorHAnsi" w:hAnsiTheme="minorHAnsi"/>
                <w:color w:val="FF0000"/>
                <w:sz w:val="22"/>
                <w:szCs w:val="22"/>
              </w:rPr>
              <w:t>April 25</w:t>
            </w:r>
            <w:r w:rsidRPr="000B6D2C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th</w:t>
            </w:r>
          </w:p>
          <w:p w:rsidR="008E4F31" w:rsidRPr="000B6D2C" w:rsidRDefault="008E4F31" w:rsidP="008E4F31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B6D2C">
              <w:rPr>
                <w:rFonts w:asciiTheme="minorHAnsi" w:hAnsiTheme="minorHAnsi"/>
                <w:color w:val="FF0000"/>
                <w:sz w:val="22"/>
                <w:szCs w:val="22"/>
              </w:rPr>
              <w:t>May 31</w:t>
            </w:r>
            <w:r w:rsidRPr="000B6D2C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st</w:t>
            </w:r>
          </w:p>
          <w:p w:rsidR="008E4F31" w:rsidRPr="000B6D2C" w:rsidRDefault="008E4F31" w:rsidP="008E4F31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B6D2C">
              <w:rPr>
                <w:rFonts w:asciiTheme="minorHAnsi" w:hAnsiTheme="minorHAnsi"/>
                <w:color w:val="FF0000"/>
                <w:sz w:val="22"/>
                <w:szCs w:val="22"/>
              </w:rPr>
              <w:t>August 30th</w:t>
            </w:r>
          </w:p>
          <w:p w:rsidR="00A26CCD" w:rsidRPr="008E4F31" w:rsidRDefault="008E4F31" w:rsidP="008E4F31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0B6D2C">
              <w:rPr>
                <w:rFonts w:asciiTheme="minorHAnsi" w:hAnsiTheme="minorHAnsi"/>
                <w:color w:val="FF0000"/>
                <w:sz w:val="22"/>
                <w:szCs w:val="22"/>
              </w:rPr>
              <w:t>Timeframes remain the same</w:t>
            </w:r>
          </w:p>
        </w:tc>
        <w:tc>
          <w:tcPr>
            <w:tcW w:w="990" w:type="dxa"/>
          </w:tcPr>
          <w:p w:rsidR="007E31CC" w:rsidRPr="0067327D" w:rsidRDefault="007E31CC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7E31CC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EC6D9C">
        <w:trPr>
          <w:trHeight w:val="387"/>
        </w:trPr>
        <w:tc>
          <w:tcPr>
            <w:tcW w:w="523" w:type="dxa"/>
          </w:tcPr>
          <w:p w:rsidR="007E31CC" w:rsidRPr="0067327D" w:rsidRDefault="007E31CC" w:rsidP="00F97F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7" w:type="dxa"/>
          </w:tcPr>
          <w:p w:rsidR="00753489" w:rsidRDefault="005B53F2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</w:t>
            </w:r>
            <w:r w:rsidR="00753489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342E0F" w:rsidRPr="00342E0F">
              <w:rPr>
                <w:rFonts w:asciiTheme="minorHAnsi" w:hAnsiTheme="minorHAnsi"/>
                <w:color w:val="FF0000"/>
                <w:sz w:val="22"/>
                <w:szCs w:val="22"/>
              </w:rPr>
              <w:t>Black Start training participants had comments/suggestions on MIS provided to Jamie Lavas and requests</w:t>
            </w:r>
            <w:r w:rsidR="00342E0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if others have questions or comments to please send to her.</w:t>
            </w:r>
          </w:p>
          <w:p w:rsidR="00753489" w:rsidRDefault="00753489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990" w:type="dxa"/>
          </w:tcPr>
          <w:p w:rsidR="007E31CC" w:rsidRPr="0067327D" w:rsidRDefault="007E31CC" w:rsidP="00C14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tr w:rsidR="00AB156D" w:rsidRPr="00D853CA" w:rsidTr="00EC6D9C">
        <w:trPr>
          <w:trHeight w:val="360"/>
        </w:trPr>
        <w:tc>
          <w:tcPr>
            <w:tcW w:w="523" w:type="dxa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117" w:type="dxa"/>
          </w:tcPr>
          <w:p w:rsidR="00E75F31" w:rsidRDefault="00E75F31" w:rsidP="004A5C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5F31" w:rsidRDefault="00E75F31" w:rsidP="004A5C5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B156D" w:rsidRPr="0067327D" w:rsidRDefault="004A5C58" w:rsidP="004A5C5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</w:tc>
        <w:tc>
          <w:tcPr>
            <w:tcW w:w="990" w:type="dxa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bookmarkEnd w:id="0"/>
    <w:bookmarkEnd w:id="1"/>
    <w:bookmarkEnd w:id="2"/>
    <w:bookmarkEnd w:id="3"/>
    <w:p w:rsidR="00AB156D" w:rsidRDefault="00DF3757" w:rsidP="00C7696D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Tuesday</w:t>
      </w:r>
      <w:r w:rsidR="00B26380">
        <w:rPr>
          <w:rFonts w:asciiTheme="minorHAnsi" w:hAnsiTheme="minorHAnsi"/>
          <w:sz w:val="22"/>
          <w:szCs w:val="22"/>
        </w:rPr>
        <w:t xml:space="preserve">, </w:t>
      </w:r>
      <w:r w:rsidR="00E75F31">
        <w:rPr>
          <w:rFonts w:asciiTheme="minorHAnsi" w:hAnsiTheme="minorHAnsi"/>
          <w:sz w:val="22"/>
          <w:szCs w:val="22"/>
        </w:rPr>
        <w:t>March 22</w:t>
      </w:r>
      <w:r w:rsidR="00CC3FAC">
        <w:rPr>
          <w:rFonts w:asciiTheme="minorHAnsi" w:hAnsiTheme="minorHAnsi"/>
          <w:sz w:val="22"/>
          <w:szCs w:val="22"/>
        </w:rPr>
        <w:t>, 2016</w:t>
      </w:r>
      <w:r w:rsidR="007E31CC" w:rsidRPr="00D853CA">
        <w:rPr>
          <w:rFonts w:asciiTheme="minorHAnsi" w:hAnsiTheme="minorHAnsi"/>
          <w:sz w:val="22"/>
          <w:szCs w:val="22"/>
        </w:rPr>
        <w:t xml:space="preserve"> –</w:t>
      </w:r>
      <w:r w:rsidR="002C20AE" w:rsidRPr="00D853CA">
        <w:rPr>
          <w:rFonts w:asciiTheme="minorHAnsi" w:hAnsiTheme="minorHAnsi"/>
          <w:sz w:val="22"/>
          <w:szCs w:val="22"/>
        </w:rPr>
        <w:t>WebEx</w:t>
      </w:r>
      <w:r w:rsidR="00B26380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26CCD">
        <w:rPr>
          <w:rFonts w:asciiTheme="minorHAnsi" w:hAnsiTheme="minorHAnsi"/>
          <w:sz w:val="22"/>
          <w:szCs w:val="22"/>
        </w:rPr>
        <w:t>Only</w:t>
      </w:r>
      <w:proofErr w:type="gramEnd"/>
      <w:r w:rsidR="002211A8" w:rsidRPr="00D853CA">
        <w:rPr>
          <w:rFonts w:asciiTheme="minorHAnsi" w:hAnsiTheme="minorHAnsi"/>
          <w:sz w:val="22"/>
          <w:szCs w:val="22"/>
        </w:rPr>
        <w:t xml:space="preserve"> – </w:t>
      </w:r>
      <w:r w:rsidR="00CC1B41" w:rsidRPr="00D853CA">
        <w:rPr>
          <w:rFonts w:asciiTheme="minorHAnsi" w:hAnsiTheme="minorHAnsi"/>
          <w:sz w:val="22"/>
          <w:szCs w:val="22"/>
        </w:rPr>
        <w:t>9</w:t>
      </w:r>
      <w:r w:rsidR="007E31CC" w:rsidRPr="00D853CA">
        <w:rPr>
          <w:rFonts w:asciiTheme="minorHAnsi" w:hAnsiTheme="minorHAnsi"/>
          <w:sz w:val="22"/>
          <w:szCs w:val="22"/>
        </w:rPr>
        <w:t>:30</w:t>
      </w:r>
      <w:r w:rsidR="00CC1B41" w:rsidRPr="00D853CA">
        <w:rPr>
          <w:rFonts w:asciiTheme="minorHAnsi" w:hAnsiTheme="minorHAnsi"/>
          <w:sz w:val="22"/>
          <w:szCs w:val="22"/>
        </w:rPr>
        <w:t xml:space="preserve"> AM</w:t>
      </w:r>
      <w:r w:rsidR="007E31CC" w:rsidRPr="00D853CA">
        <w:rPr>
          <w:rFonts w:asciiTheme="minorHAnsi" w:hAnsiTheme="minorHAnsi"/>
          <w:sz w:val="22"/>
          <w:szCs w:val="22"/>
        </w:rPr>
        <w:t>-</w:t>
      </w:r>
      <w:r w:rsidR="00CC1B41" w:rsidRPr="00D853CA">
        <w:rPr>
          <w:rFonts w:asciiTheme="minorHAnsi" w:hAnsiTheme="minorHAnsi"/>
          <w:sz w:val="22"/>
          <w:szCs w:val="22"/>
        </w:rPr>
        <w:t>12</w:t>
      </w:r>
      <w:r w:rsidR="007E31CC" w:rsidRPr="00D853CA">
        <w:rPr>
          <w:rFonts w:asciiTheme="minorHAnsi" w:hAnsiTheme="minorHAnsi"/>
          <w:sz w:val="22"/>
          <w:szCs w:val="22"/>
        </w:rPr>
        <w:t>:00 PM</w:t>
      </w:r>
      <w:r w:rsidR="00753489">
        <w:rPr>
          <w:rFonts w:asciiTheme="minorHAnsi" w:hAnsiTheme="minorHAnsi"/>
          <w:sz w:val="22"/>
          <w:szCs w:val="22"/>
        </w:rPr>
        <w:t xml:space="preserve"> – </w:t>
      </w:r>
      <w:r w:rsidR="00753489" w:rsidRPr="00342E0F">
        <w:rPr>
          <w:rFonts w:asciiTheme="minorHAnsi" w:hAnsiTheme="minorHAnsi"/>
          <w:color w:val="FF0000"/>
          <w:sz w:val="22"/>
          <w:szCs w:val="22"/>
        </w:rPr>
        <w:t xml:space="preserve">Changed to </w:t>
      </w:r>
      <w:r w:rsidR="00342E0F" w:rsidRPr="00342E0F">
        <w:rPr>
          <w:rFonts w:asciiTheme="minorHAnsi" w:hAnsiTheme="minorHAnsi"/>
          <w:color w:val="FF0000"/>
          <w:sz w:val="22"/>
          <w:szCs w:val="22"/>
        </w:rPr>
        <w:t>Tuesday, March 29, 2016</w:t>
      </w:r>
      <w:r w:rsidR="00342E0F">
        <w:rPr>
          <w:rFonts w:asciiTheme="minorHAnsi" w:hAnsiTheme="minorHAnsi"/>
          <w:color w:val="FF0000"/>
          <w:sz w:val="22"/>
          <w:szCs w:val="22"/>
        </w:rPr>
        <w:t xml:space="preserve"> same time through WebEx</w:t>
      </w:r>
    </w:p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2016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January 26, 2016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February 23, 2016 –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March 22, 2016 – WebEx</w:t>
      </w:r>
      <w:r w:rsidR="007C61FA">
        <w:rPr>
          <w:rFonts w:asciiTheme="minorHAnsi" w:hAnsiTheme="minorHAnsi"/>
          <w:sz w:val="22"/>
          <w:szCs w:val="22"/>
        </w:rPr>
        <w:t xml:space="preserve"> – </w:t>
      </w:r>
      <w:r w:rsidR="007C61FA" w:rsidRPr="007C61FA">
        <w:rPr>
          <w:rFonts w:asciiTheme="minorHAnsi" w:hAnsiTheme="minorHAnsi"/>
          <w:color w:val="FF0000"/>
          <w:sz w:val="22"/>
          <w:szCs w:val="22"/>
        </w:rPr>
        <w:t xml:space="preserve">Changed to </w:t>
      </w:r>
      <w:r w:rsidR="007C61FA" w:rsidRPr="007C61FA">
        <w:rPr>
          <w:rFonts w:asciiTheme="minorHAnsi" w:hAnsiTheme="minorHAnsi"/>
          <w:b/>
          <w:color w:val="FF0000"/>
          <w:sz w:val="22"/>
          <w:szCs w:val="22"/>
        </w:rPr>
        <w:t>March 29th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April 26, 2016 – on-site and WebEx</w:t>
      </w:r>
      <w:r w:rsidR="007C61FA">
        <w:rPr>
          <w:rFonts w:asciiTheme="minorHAnsi" w:hAnsiTheme="minorHAnsi"/>
          <w:sz w:val="22"/>
          <w:szCs w:val="22"/>
        </w:rPr>
        <w:t xml:space="preserve"> – </w:t>
      </w:r>
      <w:r w:rsidR="007C61FA" w:rsidRPr="007C61FA">
        <w:rPr>
          <w:rFonts w:asciiTheme="minorHAnsi" w:hAnsiTheme="minorHAnsi"/>
          <w:color w:val="FF0000"/>
          <w:sz w:val="22"/>
          <w:szCs w:val="22"/>
        </w:rPr>
        <w:t xml:space="preserve">Changed to </w:t>
      </w:r>
      <w:r w:rsidR="007C61FA" w:rsidRPr="007C61FA">
        <w:rPr>
          <w:rFonts w:asciiTheme="minorHAnsi" w:hAnsiTheme="minorHAnsi"/>
          <w:b/>
          <w:color w:val="FF0000"/>
          <w:sz w:val="22"/>
          <w:szCs w:val="22"/>
        </w:rPr>
        <w:t>April 25</w:t>
      </w:r>
      <w:r w:rsidR="007C61FA" w:rsidRPr="007C61FA">
        <w:rPr>
          <w:rFonts w:asciiTheme="minorHAnsi" w:hAnsiTheme="minorHAnsi"/>
          <w:b/>
          <w:color w:val="FF0000"/>
          <w:sz w:val="22"/>
          <w:szCs w:val="22"/>
          <w:vertAlign w:val="superscript"/>
        </w:rPr>
        <w:t>th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May 24, 2016 – WebEx</w:t>
      </w:r>
      <w:r w:rsidR="007C61FA">
        <w:rPr>
          <w:rFonts w:asciiTheme="minorHAnsi" w:hAnsiTheme="minorHAnsi"/>
          <w:sz w:val="22"/>
          <w:szCs w:val="22"/>
        </w:rPr>
        <w:t xml:space="preserve"> – </w:t>
      </w:r>
      <w:r w:rsidR="007C61FA" w:rsidRPr="007C61FA">
        <w:rPr>
          <w:rFonts w:asciiTheme="minorHAnsi" w:hAnsiTheme="minorHAnsi"/>
          <w:color w:val="FF0000"/>
          <w:sz w:val="22"/>
          <w:szCs w:val="22"/>
        </w:rPr>
        <w:t xml:space="preserve">Changed to </w:t>
      </w:r>
      <w:r w:rsidR="007C61FA" w:rsidRPr="007C61FA">
        <w:rPr>
          <w:rFonts w:asciiTheme="minorHAnsi" w:hAnsiTheme="minorHAnsi"/>
          <w:b/>
          <w:color w:val="FF0000"/>
          <w:sz w:val="22"/>
          <w:szCs w:val="22"/>
        </w:rPr>
        <w:t>May 31</w:t>
      </w:r>
      <w:r w:rsidR="007C61FA" w:rsidRPr="007C61FA">
        <w:rPr>
          <w:rFonts w:asciiTheme="minorHAnsi" w:hAnsiTheme="minorHAnsi"/>
          <w:b/>
          <w:color w:val="FF0000"/>
          <w:sz w:val="22"/>
          <w:szCs w:val="22"/>
          <w:vertAlign w:val="superscript"/>
        </w:rPr>
        <w:t>st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June 28, 2016 –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July 26, 2016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August 23, 2016 – WebEx</w:t>
      </w:r>
      <w:r w:rsidR="007C61FA">
        <w:rPr>
          <w:rFonts w:asciiTheme="minorHAnsi" w:hAnsiTheme="minorHAnsi"/>
          <w:sz w:val="22"/>
          <w:szCs w:val="22"/>
        </w:rPr>
        <w:t xml:space="preserve"> – </w:t>
      </w:r>
      <w:r w:rsidR="007C61FA" w:rsidRPr="007C61FA">
        <w:rPr>
          <w:rFonts w:asciiTheme="minorHAnsi" w:hAnsiTheme="minorHAnsi"/>
          <w:color w:val="FF0000"/>
          <w:sz w:val="22"/>
          <w:szCs w:val="22"/>
        </w:rPr>
        <w:t xml:space="preserve">Changed to </w:t>
      </w:r>
      <w:r w:rsidR="007C61FA" w:rsidRPr="007C61FA">
        <w:rPr>
          <w:rFonts w:asciiTheme="minorHAnsi" w:hAnsiTheme="minorHAnsi"/>
          <w:b/>
          <w:color w:val="FF0000"/>
          <w:sz w:val="22"/>
          <w:szCs w:val="22"/>
        </w:rPr>
        <w:t>August 30th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September 27, 2016 –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October 25, 2016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December 12, 2016 (Monday) – on-site and 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D853CA" w:rsidRDefault="008D749C" w:rsidP="008D749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N</w:t>
            </w:r>
            <w:r w:rsidRPr="008D749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otice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through TAC ListServe to be sent of the new MDWG and its new scope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8D749C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Michelle Trenary</w:t>
            </w:r>
          </w:p>
        </w:tc>
      </w:tr>
      <w:tr w:rsidR="008D749C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9C" w:rsidRPr="00D853CA" w:rsidRDefault="003F37D0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3F37D0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Reports to be automated table to be updated and posted for March meeting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C" w:rsidRPr="00D853CA" w:rsidRDefault="003F37D0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</w:tr>
      <w:tr w:rsidR="003F37D0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D0" w:rsidRPr="003F37D0" w:rsidRDefault="00D22D04" w:rsidP="00D22D0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lastRenderedPageBreak/>
              <w:t>Methodology to be confirmed if new loads are added to the model for LFDF report will it trigger a change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0" w:rsidRDefault="00D22D04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Jamie Lavas</w:t>
            </w:r>
          </w:p>
        </w:tc>
      </w:tr>
      <w:tr w:rsidR="008D749C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9C" w:rsidRPr="00D853CA" w:rsidRDefault="00AA1895" w:rsidP="003B08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Review for retry capability </w:t>
            </w:r>
            <w:r w:rsidR="003B084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flag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to be placed on “CD</w:t>
            </w:r>
            <w:r w:rsidR="003B084E">
              <w:rPr>
                <w:rFonts w:asciiTheme="minorHAnsi" w:hAnsiTheme="minorHAnsi"/>
                <w:color w:val="FF0000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C" w:rsidRPr="00D853CA" w:rsidRDefault="00AA1895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Jamie Lavas</w:t>
            </w:r>
          </w:p>
        </w:tc>
      </w:tr>
      <w:tr w:rsidR="00D22D04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04" w:rsidRPr="00D853CA" w:rsidRDefault="005B53F2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5B53F2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MDT SLA to go to Michelle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Trenary </w:t>
            </w:r>
            <w:r w:rsidRPr="005B53F2">
              <w:rPr>
                <w:rFonts w:asciiTheme="minorHAnsi" w:hAnsiTheme="minorHAnsi"/>
                <w:color w:val="FF0000"/>
                <w:sz w:val="22"/>
                <w:szCs w:val="22"/>
              </w:rPr>
              <w:t>for April COPS agenda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04" w:rsidRPr="00D853CA" w:rsidRDefault="005B53F2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Jamie Lavas</w:t>
            </w: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8A" w:rsidRDefault="0033188A">
      <w:r>
        <w:separator/>
      </w:r>
    </w:p>
  </w:endnote>
  <w:endnote w:type="continuationSeparator" w:id="0">
    <w:p w:rsidR="0033188A" w:rsidRDefault="0033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DD" w:rsidRDefault="000F3DDD">
    <w:pPr>
      <w:pStyle w:val="Footer"/>
    </w:pPr>
    <w:r>
      <w:t>2/23/2016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8A" w:rsidRDefault="0033188A">
      <w:r>
        <w:separator/>
      </w:r>
    </w:p>
  </w:footnote>
  <w:footnote w:type="continuationSeparator" w:id="0">
    <w:p w:rsidR="0033188A" w:rsidRDefault="00331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DD" w:rsidRPr="00BF7B9E" w:rsidRDefault="000F3DDD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Agenda </w:t>
    </w:r>
  </w:p>
  <w:p w:rsidR="000F3DDD" w:rsidRDefault="000F3DDD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4AA8"/>
    <w:multiLevelType w:val="hybridMultilevel"/>
    <w:tmpl w:val="5090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8122C"/>
    <w:multiLevelType w:val="hybridMultilevel"/>
    <w:tmpl w:val="A3F8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1773746"/>
    <w:multiLevelType w:val="hybridMultilevel"/>
    <w:tmpl w:val="DC80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9748D7"/>
    <w:multiLevelType w:val="hybridMultilevel"/>
    <w:tmpl w:val="47DE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A7059"/>
    <w:multiLevelType w:val="hybridMultilevel"/>
    <w:tmpl w:val="6644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F5070"/>
    <w:multiLevelType w:val="hybridMultilevel"/>
    <w:tmpl w:val="46DC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D0151E"/>
    <w:multiLevelType w:val="hybridMultilevel"/>
    <w:tmpl w:val="A336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D6F1D"/>
    <w:multiLevelType w:val="hybridMultilevel"/>
    <w:tmpl w:val="1296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20"/>
  </w:num>
  <w:num w:numId="7">
    <w:abstractNumId w:val="17"/>
  </w:num>
  <w:num w:numId="8">
    <w:abstractNumId w:val="14"/>
  </w:num>
  <w:num w:numId="9">
    <w:abstractNumId w:val="18"/>
  </w:num>
  <w:num w:numId="10">
    <w:abstractNumId w:val="15"/>
  </w:num>
  <w:num w:numId="11">
    <w:abstractNumId w:val="6"/>
  </w:num>
  <w:num w:numId="12">
    <w:abstractNumId w:val="0"/>
  </w:num>
  <w:num w:numId="13">
    <w:abstractNumId w:val="4"/>
  </w:num>
  <w:num w:numId="14">
    <w:abstractNumId w:val="24"/>
  </w:num>
  <w:num w:numId="15">
    <w:abstractNumId w:val="5"/>
  </w:num>
  <w:num w:numId="16">
    <w:abstractNumId w:val="13"/>
  </w:num>
  <w:num w:numId="17">
    <w:abstractNumId w:val="19"/>
  </w:num>
  <w:num w:numId="18">
    <w:abstractNumId w:val="12"/>
  </w:num>
  <w:num w:numId="19">
    <w:abstractNumId w:val="3"/>
  </w:num>
  <w:num w:numId="20">
    <w:abstractNumId w:val="16"/>
  </w:num>
  <w:num w:numId="21">
    <w:abstractNumId w:val="21"/>
  </w:num>
  <w:num w:numId="22">
    <w:abstractNumId w:val="22"/>
  </w:num>
  <w:num w:numId="23">
    <w:abstractNumId w:val="11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625"/>
    <w:rsid w:val="00000CBF"/>
    <w:rsid w:val="000039DF"/>
    <w:rsid w:val="00074DF2"/>
    <w:rsid w:val="000940B1"/>
    <w:rsid w:val="000B6D2C"/>
    <w:rsid w:val="000C26EC"/>
    <w:rsid w:val="000F3DDD"/>
    <w:rsid w:val="00100031"/>
    <w:rsid w:val="00112BB2"/>
    <w:rsid w:val="00121BF6"/>
    <w:rsid w:val="00130512"/>
    <w:rsid w:val="00142495"/>
    <w:rsid w:val="001456D2"/>
    <w:rsid w:val="00156BA3"/>
    <w:rsid w:val="001578B4"/>
    <w:rsid w:val="001650F7"/>
    <w:rsid w:val="001836B1"/>
    <w:rsid w:val="0019463B"/>
    <w:rsid w:val="001B3F70"/>
    <w:rsid w:val="001B712A"/>
    <w:rsid w:val="001D2FDE"/>
    <w:rsid w:val="001F1B3B"/>
    <w:rsid w:val="001F57E1"/>
    <w:rsid w:val="00200DE6"/>
    <w:rsid w:val="0020149E"/>
    <w:rsid w:val="0022057F"/>
    <w:rsid w:val="002211A8"/>
    <w:rsid w:val="00222408"/>
    <w:rsid w:val="00225938"/>
    <w:rsid w:val="00226723"/>
    <w:rsid w:val="0024020C"/>
    <w:rsid w:val="002563AB"/>
    <w:rsid w:val="0026636F"/>
    <w:rsid w:val="00281DE3"/>
    <w:rsid w:val="002A1754"/>
    <w:rsid w:val="002A2ECE"/>
    <w:rsid w:val="002C20AE"/>
    <w:rsid w:val="002C41AF"/>
    <w:rsid w:val="002E2AF5"/>
    <w:rsid w:val="002F22E0"/>
    <w:rsid w:val="0030154B"/>
    <w:rsid w:val="00312A3C"/>
    <w:rsid w:val="00317097"/>
    <w:rsid w:val="003216C8"/>
    <w:rsid w:val="00330C74"/>
    <w:rsid w:val="0033188A"/>
    <w:rsid w:val="00332E4B"/>
    <w:rsid w:val="00342E0F"/>
    <w:rsid w:val="00345CF6"/>
    <w:rsid w:val="0035279D"/>
    <w:rsid w:val="00360073"/>
    <w:rsid w:val="003655CA"/>
    <w:rsid w:val="0037714E"/>
    <w:rsid w:val="003A5E5B"/>
    <w:rsid w:val="003B084E"/>
    <w:rsid w:val="003B7A8E"/>
    <w:rsid w:val="003E1A3B"/>
    <w:rsid w:val="003E1AF2"/>
    <w:rsid w:val="003F37D0"/>
    <w:rsid w:val="0040618D"/>
    <w:rsid w:val="00407FA1"/>
    <w:rsid w:val="00417CAC"/>
    <w:rsid w:val="00426535"/>
    <w:rsid w:val="00440E2D"/>
    <w:rsid w:val="00442AA2"/>
    <w:rsid w:val="004454E6"/>
    <w:rsid w:val="0045102A"/>
    <w:rsid w:val="0046068A"/>
    <w:rsid w:val="00464DBB"/>
    <w:rsid w:val="00467400"/>
    <w:rsid w:val="00467A17"/>
    <w:rsid w:val="00490064"/>
    <w:rsid w:val="00491823"/>
    <w:rsid w:val="00491BB6"/>
    <w:rsid w:val="004A01BB"/>
    <w:rsid w:val="004A3F21"/>
    <w:rsid w:val="004A5C58"/>
    <w:rsid w:val="004C2C7C"/>
    <w:rsid w:val="004C70A8"/>
    <w:rsid w:val="004E3BCA"/>
    <w:rsid w:val="00535121"/>
    <w:rsid w:val="00555771"/>
    <w:rsid w:val="005A061C"/>
    <w:rsid w:val="005B2A67"/>
    <w:rsid w:val="005B53F2"/>
    <w:rsid w:val="005C5109"/>
    <w:rsid w:val="005D13A3"/>
    <w:rsid w:val="005D688F"/>
    <w:rsid w:val="005F7B78"/>
    <w:rsid w:val="006065D7"/>
    <w:rsid w:val="006113A7"/>
    <w:rsid w:val="00625BDA"/>
    <w:rsid w:val="006368DD"/>
    <w:rsid w:val="006547BE"/>
    <w:rsid w:val="00666CBB"/>
    <w:rsid w:val="0067327D"/>
    <w:rsid w:val="00676750"/>
    <w:rsid w:val="006814AC"/>
    <w:rsid w:val="006925B1"/>
    <w:rsid w:val="0069332C"/>
    <w:rsid w:val="00695012"/>
    <w:rsid w:val="006A3EC8"/>
    <w:rsid w:val="006A5BA3"/>
    <w:rsid w:val="006A71CE"/>
    <w:rsid w:val="006B3554"/>
    <w:rsid w:val="006B5A25"/>
    <w:rsid w:val="006B6FA2"/>
    <w:rsid w:val="006C7D57"/>
    <w:rsid w:val="006D4E74"/>
    <w:rsid w:val="006E4BCA"/>
    <w:rsid w:val="00711070"/>
    <w:rsid w:val="00732F0B"/>
    <w:rsid w:val="00741533"/>
    <w:rsid w:val="00742C33"/>
    <w:rsid w:val="00750DDC"/>
    <w:rsid w:val="007514BF"/>
    <w:rsid w:val="00753489"/>
    <w:rsid w:val="0076245E"/>
    <w:rsid w:val="0079332A"/>
    <w:rsid w:val="007A1985"/>
    <w:rsid w:val="007A26CC"/>
    <w:rsid w:val="007B1A51"/>
    <w:rsid w:val="007C61FA"/>
    <w:rsid w:val="007D18B6"/>
    <w:rsid w:val="007E0200"/>
    <w:rsid w:val="007E31CC"/>
    <w:rsid w:val="0080202F"/>
    <w:rsid w:val="00815B70"/>
    <w:rsid w:val="00825245"/>
    <w:rsid w:val="00837869"/>
    <w:rsid w:val="00864E59"/>
    <w:rsid w:val="00871A02"/>
    <w:rsid w:val="00873385"/>
    <w:rsid w:val="00885FF7"/>
    <w:rsid w:val="00894959"/>
    <w:rsid w:val="008A78FB"/>
    <w:rsid w:val="008C0916"/>
    <w:rsid w:val="008C5E2A"/>
    <w:rsid w:val="008D749C"/>
    <w:rsid w:val="008E4F31"/>
    <w:rsid w:val="008F6E46"/>
    <w:rsid w:val="00904AA8"/>
    <w:rsid w:val="009432B8"/>
    <w:rsid w:val="00954727"/>
    <w:rsid w:val="00982484"/>
    <w:rsid w:val="00997090"/>
    <w:rsid w:val="009A4542"/>
    <w:rsid w:val="009A6AEB"/>
    <w:rsid w:val="009C6640"/>
    <w:rsid w:val="009E50BD"/>
    <w:rsid w:val="009F4DCF"/>
    <w:rsid w:val="00A02AC9"/>
    <w:rsid w:val="00A07B18"/>
    <w:rsid w:val="00A12272"/>
    <w:rsid w:val="00A22DC8"/>
    <w:rsid w:val="00A239F8"/>
    <w:rsid w:val="00A26CCD"/>
    <w:rsid w:val="00A27879"/>
    <w:rsid w:val="00A40605"/>
    <w:rsid w:val="00A51572"/>
    <w:rsid w:val="00A57613"/>
    <w:rsid w:val="00A8380E"/>
    <w:rsid w:val="00A91522"/>
    <w:rsid w:val="00A920E8"/>
    <w:rsid w:val="00AA1895"/>
    <w:rsid w:val="00AB044A"/>
    <w:rsid w:val="00AB101E"/>
    <w:rsid w:val="00AB156D"/>
    <w:rsid w:val="00AC4B94"/>
    <w:rsid w:val="00AC4D5B"/>
    <w:rsid w:val="00B142D1"/>
    <w:rsid w:val="00B1474F"/>
    <w:rsid w:val="00B15B0C"/>
    <w:rsid w:val="00B26380"/>
    <w:rsid w:val="00B26BE0"/>
    <w:rsid w:val="00B425EB"/>
    <w:rsid w:val="00B6137D"/>
    <w:rsid w:val="00B7060D"/>
    <w:rsid w:val="00B9492C"/>
    <w:rsid w:val="00BB0A81"/>
    <w:rsid w:val="00BB0F2C"/>
    <w:rsid w:val="00BC4D86"/>
    <w:rsid w:val="00BC5638"/>
    <w:rsid w:val="00BC70CF"/>
    <w:rsid w:val="00BF1111"/>
    <w:rsid w:val="00BF7B9E"/>
    <w:rsid w:val="00C10FB2"/>
    <w:rsid w:val="00C1165D"/>
    <w:rsid w:val="00C14BDE"/>
    <w:rsid w:val="00C31714"/>
    <w:rsid w:val="00C319F1"/>
    <w:rsid w:val="00C55270"/>
    <w:rsid w:val="00C56154"/>
    <w:rsid w:val="00C65C73"/>
    <w:rsid w:val="00C7696D"/>
    <w:rsid w:val="00C76A04"/>
    <w:rsid w:val="00C779E5"/>
    <w:rsid w:val="00C83BDF"/>
    <w:rsid w:val="00CA144A"/>
    <w:rsid w:val="00CB0F86"/>
    <w:rsid w:val="00CC1B41"/>
    <w:rsid w:val="00CC3FAC"/>
    <w:rsid w:val="00CC503B"/>
    <w:rsid w:val="00CD2D34"/>
    <w:rsid w:val="00CE223D"/>
    <w:rsid w:val="00D02EDB"/>
    <w:rsid w:val="00D07151"/>
    <w:rsid w:val="00D12560"/>
    <w:rsid w:val="00D1298F"/>
    <w:rsid w:val="00D22D04"/>
    <w:rsid w:val="00D676B0"/>
    <w:rsid w:val="00D73EB6"/>
    <w:rsid w:val="00D853CA"/>
    <w:rsid w:val="00D91925"/>
    <w:rsid w:val="00D96B65"/>
    <w:rsid w:val="00DD5730"/>
    <w:rsid w:val="00DD5F1E"/>
    <w:rsid w:val="00DD715E"/>
    <w:rsid w:val="00DE66DA"/>
    <w:rsid w:val="00DF123F"/>
    <w:rsid w:val="00DF3757"/>
    <w:rsid w:val="00E05AAD"/>
    <w:rsid w:val="00E27F68"/>
    <w:rsid w:val="00E439C4"/>
    <w:rsid w:val="00E50321"/>
    <w:rsid w:val="00E53A6D"/>
    <w:rsid w:val="00E75E79"/>
    <w:rsid w:val="00E75F31"/>
    <w:rsid w:val="00E7762C"/>
    <w:rsid w:val="00E86C5C"/>
    <w:rsid w:val="00EB0912"/>
    <w:rsid w:val="00EB0E96"/>
    <w:rsid w:val="00EC6D9C"/>
    <w:rsid w:val="00EF1E68"/>
    <w:rsid w:val="00F013DE"/>
    <w:rsid w:val="00F119BE"/>
    <w:rsid w:val="00F148BF"/>
    <w:rsid w:val="00F21251"/>
    <w:rsid w:val="00F334F6"/>
    <w:rsid w:val="00F473B8"/>
    <w:rsid w:val="00F75BEE"/>
    <w:rsid w:val="00F97F04"/>
    <w:rsid w:val="00FA7215"/>
    <w:rsid w:val="00FB3E36"/>
    <w:rsid w:val="00FD7C9C"/>
    <w:rsid w:val="00FD7D31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014D-E3B7-4238-9335-6BE754FA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5056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Jacobs, Kaci</cp:lastModifiedBy>
  <cp:revision>6</cp:revision>
  <cp:lastPrinted>2008-03-31T16:56:00Z</cp:lastPrinted>
  <dcterms:created xsi:type="dcterms:W3CDTF">2016-02-23T19:17:00Z</dcterms:created>
  <dcterms:modified xsi:type="dcterms:W3CDTF">2016-03-22T20:49:00Z</dcterms:modified>
</cp:coreProperties>
</file>