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90" w:rsidRPr="000B7479" w:rsidRDefault="00E70A90" w:rsidP="00E70A90">
      <w:pPr>
        <w:pStyle w:val="H3"/>
        <w:rPr>
          <w:b/>
          <w:i/>
        </w:rPr>
      </w:pPr>
      <w:bookmarkStart w:id="0" w:name="_Toc101091053"/>
      <w:bookmarkStart w:id="1" w:name="_Toc400547182"/>
      <w:bookmarkStart w:id="2" w:name="_Toc405384287"/>
      <w:bookmarkStart w:id="3" w:name="_Toc405543554"/>
      <w:bookmarkStart w:id="4" w:name="_Toc428178063"/>
      <w:bookmarkStart w:id="5" w:name="_Toc440872694"/>
      <w:bookmarkStart w:id="6" w:name="_Toc441147323"/>
      <w:r w:rsidRPr="000B7479">
        <w:rPr>
          <w:b/>
          <w:i/>
        </w:rPr>
        <w:t>5.6.2</w:t>
      </w:r>
      <w:r w:rsidRPr="000B7479">
        <w:rPr>
          <w:b/>
          <w:i/>
        </w:rPr>
        <w:tab/>
        <w:t>RUC Startup Cost Eligibility</w:t>
      </w:r>
      <w:bookmarkEnd w:id="0"/>
      <w:bookmarkEnd w:id="1"/>
      <w:bookmarkEnd w:id="2"/>
      <w:bookmarkEnd w:id="3"/>
      <w:bookmarkEnd w:id="4"/>
      <w:bookmarkEnd w:id="5"/>
      <w:bookmarkEnd w:id="6"/>
    </w:p>
    <w:p w:rsidR="00E70A90" w:rsidRDefault="00E70A90" w:rsidP="00E70A90">
      <w:pPr>
        <w:pStyle w:val="BodyTextNumberedChar"/>
      </w:pPr>
      <w:r>
        <w:t>(1)</w:t>
      </w:r>
      <w:r>
        <w:tab/>
        <w:t>For purposes of this Section 5.6.2, all contiguous RUC-Committed Hours are considered as one RUC instruction.  For each Resource, only one Startup Cost is eligible per block of contiguous RUC-Committed Hours.</w:t>
      </w:r>
    </w:p>
    <w:p w:rsidR="00E70A90" w:rsidRDefault="00E70A90" w:rsidP="00E70A90">
      <w:pPr>
        <w:pStyle w:val="BodyTextNumberedChar"/>
      </w:pPr>
      <w:r>
        <w:t>(2)</w:t>
      </w:r>
      <w:r>
        <w:tab/>
      </w:r>
      <w:r w:rsidRPr="000361A9">
        <w:rPr>
          <w:highlight w:val="yellow"/>
        </w:rPr>
        <w:t>For a Resource’s Startup Costs in the Operating Day, per RUC instruction, to be included in the calculation of the RUC guarantee for that Operating Day, all the criteria below must be met:</w:t>
      </w:r>
      <w:r>
        <w:t xml:space="preserve"> </w:t>
      </w:r>
    </w:p>
    <w:p w:rsidR="00E70A90" w:rsidRDefault="00E70A90" w:rsidP="00E70A90">
      <w:pPr>
        <w:pStyle w:val="List2"/>
      </w:pPr>
      <w:r>
        <w:t>(a)</w:t>
      </w:r>
      <w:r>
        <w:tab/>
        <w:t>According to the Current Operating Plan (COP) and Trades Snapshot for the RUC process that committed the Resource, the Resource must not be QSE-committed in the Settlement Interval immediately before the designated start hour or after the last hour of the RUC instruction;</w:t>
      </w:r>
    </w:p>
    <w:p w:rsidR="00E70A90" w:rsidRDefault="00E70A90" w:rsidP="00E70A90">
      <w:pPr>
        <w:pStyle w:val="List2"/>
      </w:pPr>
      <w:r>
        <w:t>(b)</w:t>
      </w:r>
      <w:r>
        <w:tab/>
        <w:t>A later RUC instruction or QSE commitment must not connect the designated start hour or last hour of the RUC instruction to a block of QSE-committed Intervals that was QSE-committed before the RUC instruction was given, according to the COP and Trades Snapshot for the RUC process that committed the Resource;</w:t>
      </w:r>
    </w:p>
    <w:p w:rsidR="00E70A90" w:rsidRDefault="00E70A90" w:rsidP="00E70A90">
      <w:pPr>
        <w:pStyle w:val="List2"/>
      </w:pPr>
      <w:r>
        <w:t>(c)</w:t>
      </w:r>
      <w:r>
        <w:tab/>
      </w:r>
      <w:r w:rsidRPr="00D0776F">
        <w:rPr>
          <w:highlight w:val="yellow"/>
        </w:rPr>
        <w:t>The generation breakers must have been open, as indicated by a telemetered Resource status of Off-Line, for at least five minutes during the six hours preceding the first RUC-Committed Hour; and</w:t>
      </w:r>
    </w:p>
    <w:p w:rsidR="00E70A90" w:rsidRDefault="00E70A90" w:rsidP="00E70A90">
      <w:pPr>
        <w:pStyle w:val="List2"/>
      </w:pPr>
      <w:r>
        <w:t>(d)</w:t>
      </w:r>
      <w:r>
        <w:tab/>
      </w:r>
      <w:r w:rsidRPr="00155513">
        <w:rPr>
          <w:highlight w:val="yellow"/>
        </w:rPr>
        <w:t>The generation breakers must have been closed, as indicated by a telemetered Resource status of On-Line, for at least one minute during the RUC commitment period or after the determined five-minute open breaker, as indicated by a telemetered Resource status of Off-Line, in the six hours preceding the first RUC-Committed Hour.</w:t>
      </w:r>
    </w:p>
    <w:p w:rsidR="00E70A90" w:rsidRDefault="00E70A90" w:rsidP="00E70A90">
      <w:pPr>
        <w:pStyle w:val="H2"/>
      </w:pPr>
      <w:bookmarkStart w:id="7" w:name="_Toc400547185"/>
      <w:bookmarkStart w:id="8" w:name="_Toc405384290"/>
      <w:bookmarkStart w:id="9" w:name="_Toc405543557"/>
      <w:bookmarkStart w:id="10" w:name="_Toc428178066"/>
      <w:bookmarkStart w:id="11" w:name="_Toc440872697"/>
      <w:bookmarkStart w:id="12" w:name="_Toc441147326"/>
      <w:r>
        <w:t>5.7</w:t>
      </w:r>
      <w:r>
        <w:tab/>
        <w:t>Settlement for RUC Process</w:t>
      </w:r>
      <w:bookmarkEnd w:id="7"/>
      <w:bookmarkEnd w:id="8"/>
      <w:bookmarkEnd w:id="9"/>
      <w:bookmarkEnd w:id="10"/>
      <w:bookmarkEnd w:id="11"/>
      <w:bookmarkEnd w:id="12"/>
    </w:p>
    <w:p w:rsidR="00E70A90" w:rsidRPr="000B7479" w:rsidRDefault="00E70A90" w:rsidP="00E70A90">
      <w:pPr>
        <w:pStyle w:val="H3"/>
        <w:rPr>
          <w:b/>
          <w:i/>
        </w:rPr>
      </w:pPr>
      <w:bookmarkStart w:id="13" w:name="_Toc74113614"/>
      <w:bookmarkStart w:id="14" w:name="_Toc88017245"/>
      <w:bookmarkStart w:id="15" w:name="_Toc101091055"/>
      <w:bookmarkStart w:id="16" w:name="_Toc400547186"/>
      <w:bookmarkStart w:id="17" w:name="_Toc405384291"/>
      <w:bookmarkStart w:id="18" w:name="_Toc405543558"/>
      <w:bookmarkStart w:id="19" w:name="_Toc428178067"/>
      <w:bookmarkStart w:id="20" w:name="_Toc440872698"/>
      <w:bookmarkStart w:id="21" w:name="_Toc441147327"/>
      <w:r w:rsidRPr="000B7479">
        <w:rPr>
          <w:b/>
          <w:i/>
        </w:rPr>
        <w:t>5.7.1</w:t>
      </w:r>
      <w:r w:rsidRPr="000B7479">
        <w:rPr>
          <w:b/>
          <w:i/>
        </w:rPr>
        <w:tab/>
        <w:t>RUC Make-Whole Payment</w:t>
      </w:r>
      <w:bookmarkEnd w:id="13"/>
      <w:bookmarkEnd w:id="14"/>
      <w:bookmarkEnd w:id="15"/>
      <w:bookmarkEnd w:id="16"/>
      <w:bookmarkEnd w:id="17"/>
      <w:bookmarkEnd w:id="18"/>
      <w:bookmarkEnd w:id="19"/>
      <w:bookmarkEnd w:id="20"/>
      <w:bookmarkEnd w:id="21"/>
    </w:p>
    <w:p w:rsidR="00E70A90" w:rsidRDefault="00E70A90" w:rsidP="00E70A90">
      <w:pPr>
        <w:pStyle w:val="BodyTextNumberedChar"/>
      </w:pPr>
      <w:r>
        <w:t>(1)</w:t>
      </w:r>
      <w: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w:t>
      </w:r>
    </w:p>
    <w:p w:rsidR="00E70A90" w:rsidRDefault="00E70A90" w:rsidP="00E70A90">
      <w:pPr>
        <w:pStyle w:val="BodyTextNumberedChar"/>
      </w:pPr>
      <w:r>
        <w:t>(2)</w:t>
      </w:r>
      <w:r>
        <w:tab/>
        <w:t>ERCOT shall pay to the Qualified Scheduling Entity (QSE) for the Resource a Make-Whole Payment if the RUC Guarantee calculated in Section 5.7.1.1, RUC Guarantee, is greater than the sum of:</w:t>
      </w:r>
    </w:p>
    <w:p w:rsidR="00E70A90" w:rsidRDefault="00E70A90" w:rsidP="00E70A90">
      <w:pPr>
        <w:pStyle w:val="List2"/>
        <w:rPr>
          <w:rStyle w:val="BodyTextChar"/>
          <w:iCs/>
        </w:rPr>
      </w:pPr>
      <w:bookmarkStart w:id="22" w:name="_Toc106616860"/>
      <w:r>
        <w:rPr>
          <w:rStyle w:val="BodyTextChar"/>
          <w:iCs/>
        </w:rPr>
        <w:t>(a)</w:t>
      </w:r>
      <w:r>
        <w:rPr>
          <w:rStyle w:val="BodyTextChar"/>
          <w:iCs/>
        </w:rPr>
        <w:tab/>
        <w:t>RUC Minimum-Energy Revenue calculated in Section 5.7.1.2, RUC Minimum-Energy Revenue;</w:t>
      </w:r>
    </w:p>
    <w:p w:rsidR="00E70A90" w:rsidRDefault="00E70A90" w:rsidP="00E70A90">
      <w:pPr>
        <w:pStyle w:val="List2"/>
        <w:rPr>
          <w:rStyle w:val="BodyTextChar"/>
          <w:iCs/>
        </w:rPr>
      </w:pPr>
      <w:r>
        <w:rPr>
          <w:rStyle w:val="BodyTextChar"/>
          <w:iCs/>
        </w:rPr>
        <w:lastRenderedPageBreak/>
        <w:t>(b)</w:t>
      </w:r>
      <w:r>
        <w:rPr>
          <w:rStyle w:val="BodyTextChar"/>
          <w:iCs/>
        </w:rPr>
        <w:tab/>
        <w:t>Revenue less cost above Low Sustained Limited (LSL) during RUC-Committed Hours calculated in Section 5.7.1.3, Revenue Less Cost Above LSL During RUC-Committed Hours; and</w:t>
      </w:r>
      <w:bookmarkEnd w:id="22"/>
      <w:r>
        <w:rPr>
          <w:rStyle w:val="BodyTextChar"/>
          <w:iCs/>
        </w:rPr>
        <w:t xml:space="preserve"> </w:t>
      </w:r>
    </w:p>
    <w:p w:rsidR="00E70A90" w:rsidRDefault="00E70A90" w:rsidP="00E70A90">
      <w:pPr>
        <w:pStyle w:val="List2"/>
        <w:rPr>
          <w:rStyle w:val="BodyTextChar"/>
          <w:iCs/>
        </w:rPr>
      </w:pPr>
      <w:bookmarkStart w:id="23" w:name="_Toc106616861"/>
      <w:r>
        <w:rPr>
          <w:rStyle w:val="BodyTextChar"/>
          <w:iCs/>
        </w:rPr>
        <w:t>(c)</w:t>
      </w:r>
      <w:r>
        <w:rPr>
          <w:rStyle w:val="BodyTextChar"/>
          <w:iCs/>
        </w:rPr>
        <w:tab/>
        <w:t xml:space="preserve">Revenue less cost during QSE </w:t>
      </w:r>
      <w:proofErr w:type="spellStart"/>
      <w:r>
        <w:rPr>
          <w:rStyle w:val="BodyTextChar"/>
          <w:iCs/>
        </w:rPr>
        <w:t>Clawback</w:t>
      </w:r>
      <w:proofErr w:type="spellEnd"/>
      <w:r>
        <w:rPr>
          <w:rStyle w:val="BodyTextChar"/>
          <w:iCs/>
        </w:rPr>
        <w:t xml:space="preserve"> Intervals calculated in Section 5.7.1.4, Revenue Less Cost </w:t>
      </w:r>
      <w:proofErr w:type="gramStart"/>
      <w:r>
        <w:rPr>
          <w:rStyle w:val="BodyTextChar"/>
          <w:iCs/>
        </w:rPr>
        <w:t>During</w:t>
      </w:r>
      <w:proofErr w:type="gramEnd"/>
      <w:r>
        <w:rPr>
          <w:rStyle w:val="BodyTextChar"/>
          <w:iCs/>
        </w:rPr>
        <w:t xml:space="preserve"> QSE </w:t>
      </w:r>
      <w:proofErr w:type="spellStart"/>
      <w:r>
        <w:rPr>
          <w:rStyle w:val="BodyTextChar"/>
          <w:iCs/>
        </w:rPr>
        <w:t>Clawback</w:t>
      </w:r>
      <w:proofErr w:type="spellEnd"/>
      <w:r>
        <w:rPr>
          <w:rStyle w:val="BodyTextChar"/>
          <w:iCs/>
        </w:rPr>
        <w:t xml:space="preserve"> Intervals.</w:t>
      </w:r>
      <w:bookmarkEnd w:id="23"/>
      <w:r>
        <w:rPr>
          <w:rStyle w:val="BodyTextChar"/>
          <w:iCs/>
        </w:rPr>
        <w:t xml:space="preserve"> </w:t>
      </w:r>
    </w:p>
    <w:p w:rsidR="00E70A90" w:rsidRDefault="00E70A90" w:rsidP="00E70A90">
      <w:pPr>
        <w:pStyle w:val="BodyTextNumberedChar"/>
        <w:rPr>
          <w:rStyle w:val="CharCharCharChar"/>
          <w:iCs w:val="0"/>
        </w:rPr>
      </w:pPr>
      <w:r>
        <w:t>(3)</w:t>
      </w:r>
      <w:r>
        <w:tab/>
      </w:r>
      <w:r>
        <w:rPr>
          <w:rStyle w:val="CharCharCharChar"/>
          <w:iCs w:val="0"/>
        </w:rPr>
        <w:t>The RUC Make-Whole Payment to the QSE for each RUC-committed Resource, including Reliability Must-Run (RMR) Units, for each RUC-Committed Hour in an Operating Day is calculated as follows:</w:t>
      </w:r>
    </w:p>
    <w:p w:rsidR="00E70A90" w:rsidRDefault="00E70A90" w:rsidP="00E70A90">
      <w:pPr>
        <w:pStyle w:val="FormulaBold"/>
        <w:rPr>
          <w:i/>
          <w:vertAlign w:val="subscript"/>
        </w:rPr>
      </w:pPr>
      <w:proofErr w:type="spellStart"/>
      <w:r>
        <w:t>RUCMWAMT</w:t>
      </w:r>
      <w:r>
        <w:rPr>
          <w:i/>
          <w:vertAlign w:val="subscript"/>
        </w:rPr>
        <w:t>q,r,h</w:t>
      </w:r>
      <w:proofErr w:type="spellEnd"/>
      <w:r>
        <w:tab/>
        <w:t>=</w:t>
      </w:r>
      <w:r>
        <w:tab/>
        <w:t xml:space="preserve">(-1) * Max (0, </w:t>
      </w:r>
      <w:proofErr w:type="spellStart"/>
      <w:r w:rsidRPr="000361A9">
        <w:rPr>
          <w:highlight w:val="yellow"/>
        </w:rPr>
        <w:t>RUCG</w:t>
      </w:r>
      <w:r w:rsidRPr="000361A9">
        <w:rPr>
          <w:i/>
          <w:highlight w:val="yellow"/>
          <w:vertAlign w:val="subscript"/>
        </w:rPr>
        <w:t>q,r,d</w:t>
      </w:r>
      <w:proofErr w:type="spellEnd"/>
      <w:r>
        <w:t xml:space="preserve"> – </w:t>
      </w:r>
      <w:proofErr w:type="spellStart"/>
      <w:r>
        <w:t>RUCMEREV</w:t>
      </w:r>
      <w:r>
        <w:rPr>
          <w:i/>
          <w:vertAlign w:val="subscript"/>
        </w:rPr>
        <w:t>q,r,d</w:t>
      </w:r>
      <w:proofErr w:type="spellEnd"/>
      <w:r>
        <w:t xml:space="preserve"> – </w:t>
      </w:r>
      <w:proofErr w:type="spellStart"/>
      <w:r>
        <w:t>RUCEXRR</w:t>
      </w:r>
      <w:r>
        <w:rPr>
          <w:i/>
          <w:vertAlign w:val="subscript"/>
        </w:rPr>
        <w:t>q,r,d</w:t>
      </w:r>
      <w:proofErr w:type="spellEnd"/>
      <w:r>
        <w:t xml:space="preserve"> – </w:t>
      </w:r>
      <w:proofErr w:type="spellStart"/>
      <w:r>
        <w:t>RUCEXRQC</w:t>
      </w:r>
      <w:r>
        <w:rPr>
          <w:i/>
          <w:vertAlign w:val="subscript"/>
        </w:rPr>
        <w:t>q,r,d</w:t>
      </w:r>
      <w:proofErr w:type="spellEnd"/>
      <w:r>
        <w:t xml:space="preserve">) / </w:t>
      </w:r>
      <w:proofErr w:type="spellStart"/>
      <w:r>
        <w:t>RUCHR</w:t>
      </w:r>
      <w:r>
        <w:rPr>
          <w:i/>
          <w:vertAlign w:val="subscript"/>
        </w:rPr>
        <w:t>q,r,d</w:t>
      </w:r>
      <w:proofErr w:type="spellEnd"/>
    </w:p>
    <w:p w:rsidR="00E70A90" w:rsidRDefault="00E70A90" w:rsidP="00E70A90">
      <w:pPr>
        <w:pStyle w:val="BodyText"/>
        <w:spacing w:before="120" w:after="0"/>
      </w:pPr>
      <w: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E70A90" w:rsidTr="0077576A">
        <w:trPr>
          <w:cantSplit/>
          <w:tblHeader/>
        </w:trPr>
        <w:tc>
          <w:tcPr>
            <w:tcW w:w="1026" w:type="pct"/>
          </w:tcPr>
          <w:p w:rsidR="00E70A90" w:rsidRDefault="00E70A90" w:rsidP="0077576A">
            <w:pPr>
              <w:pStyle w:val="TableHead"/>
            </w:pPr>
            <w:r>
              <w:t>Variable</w:t>
            </w:r>
          </w:p>
        </w:tc>
        <w:tc>
          <w:tcPr>
            <w:tcW w:w="407" w:type="pct"/>
          </w:tcPr>
          <w:p w:rsidR="00E70A90" w:rsidRDefault="00E70A90" w:rsidP="0077576A">
            <w:pPr>
              <w:pStyle w:val="TableHead"/>
              <w:jc w:val="center"/>
            </w:pPr>
            <w:r>
              <w:t>Unit</w:t>
            </w:r>
          </w:p>
        </w:tc>
        <w:tc>
          <w:tcPr>
            <w:tcW w:w="3567" w:type="pct"/>
          </w:tcPr>
          <w:p w:rsidR="00E70A90" w:rsidRDefault="00E70A90" w:rsidP="0077576A">
            <w:pPr>
              <w:pStyle w:val="TableHead"/>
            </w:pPr>
            <w:r>
              <w:t>Definition</w:t>
            </w:r>
          </w:p>
        </w:tc>
      </w:tr>
      <w:tr w:rsidR="00E70A90" w:rsidTr="0077576A">
        <w:trPr>
          <w:cantSplit/>
        </w:trPr>
        <w:tc>
          <w:tcPr>
            <w:tcW w:w="1026" w:type="pct"/>
          </w:tcPr>
          <w:p w:rsidR="00E70A90" w:rsidRDefault="00E70A90" w:rsidP="0077576A">
            <w:pPr>
              <w:pStyle w:val="TableBody"/>
            </w:pPr>
            <w:proofErr w:type="spellStart"/>
            <w:r>
              <w:t>RUCMWAMT</w:t>
            </w:r>
            <w:r w:rsidRPr="003667DB">
              <w:rPr>
                <w:i/>
                <w:vertAlign w:val="subscript"/>
              </w:rPr>
              <w:t>q,r,h</w:t>
            </w:r>
            <w:proofErr w:type="spellEnd"/>
          </w:p>
        </w:tc>
        <w:tc>
          <w:tcPr>
            <w:tcW w:w="407" w:type="pct"/>
          </w:tcPr>
          <w:p w:rsidR="00E70A90" w:rsidRDefault="00E70A90" w:rsidP="0077576A">
            <w:pPr>
              <w:pStyle w:val="TableBody"/>
              <w:jc w:val="center"/>
            </w:pPr>
            <w:r>
              <w:t>$</w:t>
            </w:r>
          </w:p>
        </w:tc>
        <w:tc>
          <w:tcPr>
            <w:tcW w:w="3567" w:type="pct"/>
          </w:tcPr>
          <w:p w:rsidR="00E70A90" w:rsidRDefault="00E70A90" w:rsidP="0077576A">
            <w:pPr>
              <w:pStyle w:val="TableBody"/>
            </w:pPr>
            <w:r w:rsidRPr="00B34C5D">
              <w:rPr>
                <w:i/>
              </w:rPr>
              <w:t>RUC Make-Whole Payment</w:t>
            </w:r>
            <w:r>
              <w:t xml:space="preserve">—The RUC Make-Whole Payment to the QSE for Resource </w:t>
            </w:r>
            <w:r>
              <w:rPr>
                <w:i/>
              </w:rPr>
              <w:t>r</w:t>
            </w:r>
            <w:r>
              <w:t>, for each RUC-Committed Hour of the Operating Day.  When one or more Combined Cycle Generation Resources are committed by RUC, payment is made to the Combined Cycle Train for all RUC-committed Combined Cycle Generation Resources.</w:t>
            </w:r>
          </w:p>
        </w:tc>
      </w:tr>
      <w:tr w:rsidR="00E70A90" w:rsidTr="0077576A">
        <w:trPr>
          <w:cantSplit/>
        </w:trPr>
        <w:tc>
          <w:tcPr>
            <w:tcW w:w="1026" w:type="pct"/>
          </w:tcPr>
          <w:p w:rsidR="00E70A90" w:rsidRDefault="00E70A90" w:rsidP="0077576A">
            <w:pPr>
              <w:pStyle w:val="TableBody"/>
            </w:pPr>
            <w:proofErr w:type="spellStart"/>
            <w:r>
              <w:t>RUCG</w:t>
            </w:r>
            <w:r w:rsidRPr="003667DB">
              <w:rPr>
                <w:i/>
                <w:vertAlign w:val="subscript"/>
              </w:rPr>
              <w:t>q,r,d</w:t>
            </w:r>
            <w:proofErr w:type="spellEnd"/>
          </w:p>
        </w:tc>
        <w:tc>
          <w:tcPr>
            <w:tcW w:w="407" w:type="pct"/>
          </w:tcPr>
          <w:p w:rsidR="00E70A90" w:rsidRDefault="00E70A90" w:rsidP="0077576A">
            <w:pPr>
              <w:pStyle w:val="TableBody"/>
              <w:jc w:val="center"/>
            </w:pPr>
            <w:r>
              <w:t>$</w:t>
            </w:r>
          </w:p>
        </w:tc>
        <w:tc>
          <w:tcPr>
            <w:tcW w:w="3567" w:type="pct"/>
          </w:tcPr>
          <w:p w:rsidR="00E70A90" w:rsidRDefault="00E70A90" w:rsidP="0077576A">
            <w:pPr>
              <w:pStyle w:val="TableBody"/>
            </w:pPr>
            <w:r w:rsidRPr="00B34C5D">
              <w:rPr>
                <w:i/>
              </w:rPr>
              <w:t>RUC Guarantee</w:t>
            </w:r>
            <w:r>
              <w:t xml:space="preserve">—The sum of eligible Startup Costs and minimum-energy costs for Resource </w:t>
            </w:r>
            <w:r>
              <w:rPr>
                <w:i/>
              </w:rPr>
              <w:t>r</w:t>
            </w:r>
            <w: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E70A90" w:rsidTr="0077576A">
        <w:trPr>
          <w:cantSplit/>
        </w:trPr>
        <w:tc>
          <w:tcPr>
            <w:tcW w:w="1026" w:type="pct"/>
          </w:tcPr>
          <w:p w:rsidR="00E70A90" w:rsidRDefault="00E70A90" w:rsidP="0077576A">
            <w:pPr>
              <w:pStyle w:val="TableBody"/>
            </w:pPr>
            <w:proofErr w:type="spellStart"/>
            <w:r>
              <w:t>RUCMEREV</w:t>
            </w:r>
            <w:r w:rsidRPr="003667DB">
              <w:rPr>
                <w:i/>
                <w:vertAlign w:val="subscript"/>
              </w:rPr>
              <w:t>q,r,d</w:t>
            </w:r>
            <w:proofErr w:type="spellEnd"/>
          </w:p>
        </w:tc>
        <w:tc>
          <w:tcPr>
            <w:tcW w:w="407" w:type="pct"/>
          </w:tcPr>
          <w:p w:rsidR="00E70A90" w:rsidRDefault="00E70A90" w:rsidP="0077576A">
            <w:pPr>
              <w:pStyle w:val="TableBody"/>
              <w:jc w:val="center"/>
            </w:pPr>
            <w:r>
              <w:t>$</w:t>
            </w:r>
          </w:p>
        </w:tc>
        <w:tc>
          <w:tcPr>
            <w:tcW w:w="3567" w:type="pct"/>
          </w:tcPr>
          <w:p w:rsidR="00E70A90" w:rsidRDefault="00E70A90" w:rsidP="0077576A">
            <w:pPr>
              <w:pStyle w:val="TableBody"/>
            </w:pPr>
            <w:r w:rsidRPr="00B34C5D">
              <w:rPr>
                <w:i/>
              </w:rPr>
              <w:t>RUC Minimum-Energy Revenue</w:t>
            </w:r>
            <w:r>
              <w:t xml:space="preserve">—The sum of the energy revenues for Resource </w:t>
            </w:r>
            <w:r>
              <w:rPr>
                <w:i/>
              </w:rPr>
              <w:t>r</w:t>
            </w:r>
            <w: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E70A90" w:rsidTr="0077576A">
        <w:trPr>
          <w:cantSplit/>
        </w:trPr>
        <w:tc>
          <w:tcPr>
            <w:tcW w:w="1026" w:type="pct"/>
          </w:tcPr>
          <w:p w:rsidR="00E70A90" w:rsidRDefault="00E70A90" w:rsidP="0077576A">
            <w:pPr>
              <w:pStyle w:val="TableBody"/>
            </w:pPr>
            <w:proofErr w:type="spellStart"/>
            <w:r>
              <w:t>RUCEXRR</w:t>
            </w:r>
            <w:r w:rsidRPr="003667DB">
              <w:rPr>
                <w:i/>
                <w:vertAlign w:val="subscript"/>
              </w:rPr>
              <w:t>q,r,d</w:t>
            </w:r>
            <w:proofErr w:type="spellEnd"/>
          </w:p>
        </w:tc>
        <w:tc>
          <w:tcPr>
            <w:tcW w:w="407" w:type="pct"/>
          </w:tcPr>
          <w:p w:rsidR="00E70A90" w:rsidRDefault="00E70A90" w:rsidP="0077576A">
            <w:pPr>
              <w:pStyle w:val="TableBody"/>
              <w:jc w:val="center"/>
            </w:pPr>
            <w:r>
              <w:t>$</w:t>
            </w:r>
          </w:p>
        </w:tc>
        <w:tc>
          <w:tcPr>
            <w:tcW w:w="3567" w:type="pct"/>
          </w:tcPr>
          <w:p w:rsidR="00E70A90" w:rsidRDefault="00E70A90" w:rsidP="0077576A">
            <w:pPr>
              <w:pStyle w:val="TableBody"/>
            </w:pPr>
            <w:r w:rsidRPr="00B34C5D">
              <w:rPr>
                <w:i/>
              </w:rPr>
              <w:t>Revenue Less Cost Above LSL During RUC-Committed Hours</w:t>
            </w:r>
            <w:r>
              <w:t xml:space="preserve">—The sum of the total revenue for Resource </w:t>
            </w:r>
            <w:r>
              <w:rPr>
                <w:i/>
              </w:rPr>
              <w:t>r</w:t>
            </w:r>
            <w: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E70A90" w:rsidTr="0077576A">
        <w:trPr>
          <w:cantSplit/>
        </w:trPr>
        <w:tc>
          <w:tcPr>
            <w:tcW w:w="1026" w:type="pct"/>
          </w:tcPr>
          <w:p w:rsidR="00E70A90" w:rsidRDefault="00E70A90" w:rsidP="0077576A">
            <w:pPr>
              <w:pStyle w:val="TableBody"/>
            </w:pPr>
            <w:proofErr w:type="spellStart"/>
            <w:r>
              <w:t>RUCEXRQC</w:t>
            </w:r>
            <w:r w:rsidRPr="003667DB">
              <w:rPr>
                <w:i/>
                <w:vertAlign w:val="subscript"/>
              </w:rPr>
              <w:t>q,r,d</w:t>
            </w:r>
            <w:proofErr w:type="spellEnd"/>
          </w:p>
        </w:tc>
        <w:tc>
          <w:tcPr>
            <w:tcW w:w="407" w:type="pct"/>
          </w:tcPr>
          <w:p w:rsidR="00E70A90" w:rsidRDefault="00E70A90" w:rsidP="0077576A">
            <w:pPr>
              <w:pStyle w:val="TableBody"/>
              <w:jc w:val="center"/>
            </w:pPr>
            <w:r>
              <w:t>$</w:t>
            </w:r>
          </w:p>
        </w:tc>
        <w:tc>
          <w:tcPr>
            <w:tcW w:w="3567" w:type="pct"/>
          </w:tcPr>
          <w:p w:rsidR="00E70A90" w:rsidRDefault="00E70A90" w:rsidP="0077576A">
            <w:pPr>
              <w:pStyle w:val="TableBody"/>
            </w:pPr>
            <w:r w:rsidRPr="00B34C5D">
              <w:rPr>
                <w:i/>
              </w:rPr>
              <w:t>Revenue Less Cost During QSE</w:t>
            </w:r>
            <w:r>
              <w:rPr>
                <w:i/>
              </w:rPr>
              <w:t xml:space="preserve"> </w:t>
            </w:r>
            <w:proofErr w:type="spellStart"/>
            <w:r w:rsidRPr="00B34C5D">
              <w:rPr>
                <w:i/>
              </w:rPr>
              <w:t>Clawback</w:t>
            </w:r>
            <w:proofErr w:type="spellEnd"/>
            <w:r w:rsidRPr="00B34C5D">
              <w:rPr>
                <w:i/>
              </w:rPr>
              <w:t xml:space="preserve"> Intervals</w:t>
            </w:r>
            <w:r>
              <w:t xml:space="preserve">—The sum of the total revenue for Resource </w:t>
            </w:r>
            <w:proofErr w:type="spellStart"/>
            <w:r>
              <w:rPr>
                <w:i/>
              </w:rPr>
              <w:t>r</w:t>
            </w:r>
            <w:proofErr w:type="spellEnd"/>
            <w:r>
              <w:t xml:space="preserve"> less the cost during all QSE </w:t>
            </w:r>
            <w:proofErr w:type="spellStart"/>
            <w:r>
              <w:t>Clawback</w:t>
            </w:r>
            <w:proofErr w:type="spellEnd"/>
            <w:r>
              <w:t xml:space="preserve"> Intervals, for the Operating Day.  See Section 5.7.1.4.  When one or more Combined Cycle Generation Resources are committed by RUC, revenue less cost during QSE </w:t>
            </w:r>
            <w:proofErr w:type="spellStart"/>
            <w:r>
              <w:t>Clawback</w:t>
            </w:r>
            <w:proofErr w:type="spellEnd"/>
            <w:r>
              <w:t xml:space="preserve"> Intervals is calculated for the Combined Cycle Train for all Combined Cycle Generation Resources earning revenue in QSE </w:t>
            </w:r>
            <w:proofErr w:type="spellStart"/>
            <w:r>
              <w:t>Clawback</w:t>
            </w:r>
            <w:proofErr w:type="spellEnd"/>
            <w:r>
              <w:t xml:space="preserve"> Intervals.</w:t>
            </w:r>
          </w:p>
        </w:tc>
      </w:tr>
      <w:tr w:rsidR="00E70A90" w:rsidTr="0077576A">
        <w:trPr>
          <w:cantSplit/>
        </w:trPr>
        <w:tc>
          <w:tcPr>
            <w:tcW w:w="1026" w:type="pct"/>
          </w:tcPr>
          <w:p w:rsidR="00E70A90" w:rsidRDefault="00E70A90" w:rsidP="0077576A">
            <w:pPr>
              <w:pStyle w:val="TableBody"/>
            </w:pPr>
            <w:proofErr w:type="spellStart"/>
            <w:r>
              <w:t>RUCHR</w:t>
            </w:r>
            <w:r w:rsidRPr="003667DB">
              <w:rPr>
                <w:i/>
                <w:vertAlign w:val="subscript"/>
              </w:rPr>
              <w:t>q,r,d</w:t>
            </w:r>
            <w:proofErr w:type="spellEnd"/>
          </w:p>
        </w:tc>
        <w:tc>
          <w:tcPr>
            <w:tcW w:w="407" w:type="pct"/>
          </w:tcPr>
          <w:p w:rsidR="00E70A90" w:rsidRDefault="00E70A90" w:rsidP="0077576A">
            <w:pPr>
              <w:pStyle w:val="TableBody"/>
              <w:jc w:val="center"/>
            </w:pPr>
            <w:r>
              <w:t>None</w:t>
            </w:r>
          </w:p>
        </w:tc>
        <w:tc>
          <w:tcPr>
            <w:tcW w:w="3567" w:type="pct"/>
          </w:tcPr>
          <w:p w:rsidR="00E70A90" w:rsidRDefault="00E70A90" w:rsidP="0077576A">
            <w:pPr>
              <w:pStyle w:val="TableBody"/>
            </w:pPr>
            <w:r>
              <w:t xml:space="preserve">RUC Hour—The total number of RUC-Committed Hours, for Resource </w:t>
            </w:r>
            <w:r>
              <w:rPr>
                <w:i/>
              </w:rPr>
              <w:t>r</w:t>
            </w:r>
            <w: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E70A90" w:rsidTr="0077576A">
        <w:trPr>
          <w:cantSplit/>
        </w:trPr>
        <w:tc>
          <w:tcPr>
            <w:tcW w:w="1026" w:type="pct"/>
          </w:tcPr>
          <w:p w:rsidR="00E70A90" w:rsidRDefault="00E70A90" w:rsidP="0077576A">
            <w:pPr>
              <w:pStyle w:val="TableBody"/>
            </w:pPr>
            <w:r w:rsidRPr="00B34C5D">
              <w:rPr>
                <w:i/>
              </w:rPr>
              <w:t>q</w:t>
            </w:r>
          </w:p>
        </w:tc>
        <w:tc>
          <w:tcPr>
            <w:tcW w:w="407" w:type="pct"/>
          </w:tcPr>
          <w:p w:rsidR="00E70A90" w:rsidRDefault="00E70A90" w:rsidP="0077576A">
            <w:pPr>
              <w:pStyle w:val="TableBody"/>
              <w:jc w:val="center"/>
            </w:pPr>
            <w:r>
              <w:t>None</w:t>
            </w:r>
          </w:p>
        </w:tc>
        <w:tc>
          <w:tcPr>
            <w:tcW w:w="3567" w:type="pct"/>
          </w:tcPr>
          <w:p w:rsidR="00E70A90" w:rsidRDefault="00E70A90" w:rsidP="0077576A">
            <w:pPr>
              <w:pStyle w:val="TableBody"/>
            </w:pPr>
            <w:r>
              <w:t>A QSE.</w:t>
            </w:r>
          </w:p>
        </w:tc>
      </w:tr>
      <w:tr w:rsidR="00E70A90" w:rsidTr="0077576A">
        <w:trPr>
          <w:cantSplit/>
        </w:trPr>
        <w:tc>
          <w:tcPr>
            <w:tcW w:w="1026" w:type="pct"/>
          </w:tcPr>
          <w:p w:rsidR="00E70A90" w:rsidRDefault="00E70A90" w:rsidP="0077576A">
            <w:pPr>
              <w:pStyle w:val="TableBody"/>
            </w:pPr>
            <w:r w:rsidRPr="00B34C5D">
              <w:rPr>
                <w:i/>
              </w:rPr>
              <w:lastRenderedPageBreak/>
              <w:t>r</w:t>
            </w:r>
          </w:p>
        </w:tc>
        <w:tc>
          <w:tcPr>
            <w:tcW w:w="407" w:type="pct"/>
          </w:tcPr>
          <w:p w:rsidR="00E70A90" w:rsidRDefault="00E70A90" w:rsidP="0077576A">
            <w:pPr>
              <w:pStyle w:val="TableBody"/>
              <w:jc w:val="center"/>
            </w:pPr>
            <w:r>
              <w:t>None</w:t>
            </w:r>
          </w:p>
        </w:tc>
        <w:tc>
          <w:tcPr>
            <w:tcW w:w="3567" w:type="pct"/>
          </w:tcPr>
          <w:p w:rsidR="00E70A90" w:rsidRDefault="00E70A90" w:rsidP="0077576A">
            <w:pPr>
              <w:pStyle w:val="TableBody"/>
            </w:pPr>
            <w:r>
              <w:t>A RUC-committed Generation Resource.</w:t>
            </w:r>
          </w:p>
        </w:tc>
      </w:tr>
      <w:tr w:rsidR="00E70A90" w:rsidTr="0077576A">
        <w:trPr>
          <w:cantSplit/>
        </w:trPr>
        <w:tc>
          <w:tcPr>
            <w:tcW w:w="1026" w:type="pct"/>
          </w:tcPr>
          <w:p w:rsidR="00E70A90" w:rsidRDefault="00E70A90" w:rsidP="0077576A">
            <w:pPr>
              <w:pStyle w:val="TableBody"/>
            </w:pPr>
            <w:r w:rsidRPr="00B34C5D">
              <w:rPr>
                <w:i/>
              </w:rPr>
              <w:t>d</w:t>
            </w:r>
          </w:p>
        </w:tc>
        <w:tc>
          <w:tcPr>
            <w:tcW w:w="407" w:type="pct"/>
          </w:tcPr>
          <w:p w:rsidR="00E70A90" w:rsidRDefault="00E70A90" w:rsidP="0077576A">
            <w:pPr>
              <w:pStyle w:val="TableBody"/>
              <w:jc w:val="center"/>
            </w:pPr>
            <w:r>
              <w:t>None</w:t>
            </w:r>
          </w:p>
        </w:tc>
        <w:tc>
          <w:tcPr>
            <w:tcW w:w="3567" w:type="pct"/>
          </w:tcPr>
          <w:p w:rsidR="00E70A90" w:rsidRDefault="00E70A90" w:rsidP="0077576A">
            <w:pPr>
              <w:pStyle w:val="TableBody"/>
            </w:pPr>
            <w:r>
              <w:t>An Operating Day containing the RUC-commitment.</w:t>
            </w:r>
          </w:p>
        </w:tc>
      </w:tr>
      <w:tr w:rsidR="00E70A90" w:rsidTr="0077576A">
        <w:trPr>
          <w:cantSplit/>
        </w:trPr>
        <w:tc>
          <w:tcPr>
            <w:tcW w:w="1026" w:type="pct"/>
          </w:tcPr>
          <w:p w:rsidR="00E70A90" w:rsidRDefault="00E70A90" w:rsidP="0077576A">
            <w:pPr>
              <w:pStyle w:val="TableBody"/>
            </w:pPr>
            <w:r w:rsidRPr="00B34C5D">
              <w:rPr>
                <w:i/>
              </w:rPr>
              <w:t>h</w:t>
            </w:r>
          </w:p>
        </w:tc>
        <w:tc>
          <w:tcPr>
            <w:tcW w:w="407" w:type="pct"/>
          </w:tcPr>
          <w:p w:rsidR="00E70A90" w:rsidRDefault="00E70A90" w:rsidP="0077576A">
            <w:pPr>
              <w:pStyle w:val="TableBody"/>
              <w:jc w:val="center"/>
            </w:pPr>
            <w:r>
              <w:t>None</w:t>
            </w:r>
          </w:p>
        </w:tc>
        <w:tc>
          <w:tcPr>
            <w:tcW w:w="3567" w:type="pct"/>
          </w:tcPr>
          <w:p w:rsidR="00E70A90" w:rsidRDefault="00E70A90" w:rsidP="0077576A">
            <w:pPr>
              <w:pStyle w:val="TableBody"/>
            </w:pPr>
            <w:r>
              <w:t>An hour in the RUC-commitment period.</w:t>
            </w:r>
          </w:p>
        </w:tc>
      </w:tr>
    </w:tbl>
    <w:p w:rsidR="00E70A90" w:rsidRDefault="00E70A90" w:rsidP="00E70A90">
      <w:pPr>
        <w:pStyle w:val="H4"/>
      </w:pPr>
      <w:bookmarkStart w:id="24" w:name="_Toc400547187"/>
      <w:bookmarkStart w:id="25" w:name="_Toc405384292"/>
      <w:bookmarkStart w:id="26" w:name="_Toc405543559"/>
      <w:bookmarkStart w:id="27" w:name="_Toc428178068"/>
      <w:bookmarkStart w:id="28" w:name="_Toc440872699"/>
      <w:bookmarkStart w:id="29" w:name="_Toc441147328"/>
      <w:r>
        <w:t>5.7.1.1</w:t>
      </w:r>
      <w:r>
        <w:tab/>
        <w:t>RUC Guarantee</w:t>
      </w:r>
      <w:bookmarkEnd w:id="24"/>
      <w:bookmarkEnd w:id="25"/>
      <w:bookmarkEnd w:id="26"/>
      <w:bookmarkEnd w:id="27"/>
      <w:bookmarkEnd w:id="28"/>
      <w:bookmarkEnd w:id="29"/>
    </w:p>
    <w:p w:rsidR="00E70A90" w:rsidRDefault="00E70A90" w:rsidP="00E70A90">
      <w:pPr>
        <w:pStyle w:val="BodyTextNumberedChar"/>
      </w:pPr>
      <w:r>
        <w:t>(1)</w:t>
      </w:r>
      <w:r>
        <w:tab/>
      </w:r>
      <w:r>
        <w:rPr>
          <w:rStyle w:val="BodyTextChar"/>
        </w:rPr>
        <w:t xml:space="preserve">The allowable Startup Costs and minimum-energy costs of a Resource committed by RUC is the RUC Guarantee. </w:t>
      </w:r>
      <w:r>
        <w:t xml:space="preserve"> The RUC Guarantee minimum-energy costs are prorated according to the actual generation when the Resource’s average output during a 15-minute Settlement Interval is below the corresponding LSL.</w:t>
      </w:r>
    </w:p>
    <w:p w:rsidR="00E70A90" w:rsidRDefault="00E70A90" w:rsidP="00E70A90">
      <w:pPr>
        <w:pStyle w:val="BodyTextNumberedChar"/>
      </w:pPr>
      <w:r>
        <w:t>(2)</w:t>
      </w:r>
      <w:r>
        <w:tab/>
        <w:t>The SUPR, MEPR and LSL used to calculate the RUC Guarantee for a Combined Cycle Train are the SUPR, MEPR and LSL that correspond to the Combined Cycle Generation Resource, within the Combined Cycle Train, that is RUC-committed for the hour.</w:t>
      </w:r>
    </w:p>
    <w:p w:rsidR="00E70A90" w:rsidRDefault="00E70A90" w:rsidP="00E70A90">
      <w:pPr>
        <w:pStyle w:val="BodyTextNumberedChar"/>
      </w:pPr>
      <w:r w:rsidRPr="009E5389">
        <w:rPr>
          <w:iCs/>
        </w:rPr>
        <w:t>(3)</w:t>
      </w:r>
      <w:r w:rsidRPr="009E5389">
        <w:rPr>
          <w:iCs/>
        </w:rPr>
        <w:tab/>
        <w:t xml:space="preserve">For an Aggregate Generation Resource (AGR), the Startup Cost shall be scaled according to the </w:t>
      </w:r>
      <w:r w:rsidRPr="009E5389">
        <w:t>maximum number of its generators online during a contiguous block of RUC-committed intervals, as indicated by telemetry, compared to the total number of generators registered to the AGR and used in the approved verifiable cost for the AGR.</w:t>
      </w:r>
    </w:p>
    <w:p w:rsidR="00E70A90" w:rsidRDefault="00E70A90" w:rsidP="00E70A90">
      <w:pPr>
        <w:pStyle w:val="BodyTextNumberedChar"/>
      </w:pPr>
      <w:r>
        <w:t>(4)</w:t>
      </w:r>
      <w:r>
        <w:tab/>
        <w:t>The RUC Guarantee is calculated for non-Combined Cycle Trains as follows:</w:t>
      </w:r>
      <w:r>
        <w:rPr>
          <w:highlight w:val="green"/>
        </w:rPr>
        <w:t xml:space="preserve"> </w:t>
      </w:r>
    </w:p>
    <w:p w:rsidR="00E70A90" w:rsidRDefault="00E70A90" w:rsidP="00E70A90">
      <w:pPr>
        <w:pStyle w:val="FormulaBold"/>
      </w:pPr>
      <w:proofErr w:type="spellStart"/>
      <w:r w:rsidRPr="000361A9">
        <w:rPr>
          <w:highlight w:val="yellow"/>
        </w:rPr>
        <w:t>RUCG</w:t>
      </w:r>
      <w:r w:rsidRPr="000361A9">
        <w:rPr>
          <w:i/>
          <w:highlight w:val="yellow"/>
          <w:vertAlign w:val="subscript"/>
        </w:rPr>
        <w:t>q,r,d</w:t>
      </w:r>
      <w:proofErr w:type="spellEnd"/>
      <w:r w:rsidRPr="000361A9">
        <w:rPr>
          <w:highlight w:val="yellow"/>
        </w:rPr>
        <w:tab/>
        <w:t>=</w:t>
      </w:r>
      <w:r w:rsidRPr="000361A9">
        <w:rPr>
          <w:highlight w:val="yellow"/>
        </w:rPr>
        <w:tab/>
        <w:t xml:space="preserve"> </w:t>
      </w:r>
      <w:r w:rsidRPr="000361A9">
        <w:rPr>
          <w:position w:val="-20"/>
          <w:highlight w:val="yellow"/>
          <w:lang w:val="pt-BR"/>
        </w:rPr>
        <w:object w:dxaOrig="2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2.5pt" o:ole="">
            <v:imagedata r:id="rId4" o:title=""/>
          </v:shape>
          <o:OLEObject Type="Embed" ProgID="Equation.3" ShapeID="_x0000_i1025" DrawAspect="Content" ObjectID="_1517730991" r:id="rId5"/>
        </w:object>
      </w:r>
      <w:r w:rsidRPr="000361A9">
        <w:rPr>
          <w:highlight w:val="yellow"/>
        </w:rPr>
        <w:t>(</w:t>
      </w:r>
      <w:proofErr w:type="spellStart"/>
      <w:r w:rsidRPr="000361A9">
        <w:rPr>
          <w:highlight w:val="yellow"/>
        </w:rPr>
        <w:t>SUPR</w:t>
      </w:r>
      <w:r w:rsidRPr="000361A9">
        <w:rPr>
          <w:i/>
          <w:highlight w:val="yellow"/>
          <w:vertAlign w:val="subscript"/>
        </w:rPr>
        <w:t>q,r,s</w:t>
      </w:r>
      <w:proofErr w:type="spellEnd"/>
      <w:r w:rsidRPr="000361A9">
        <w:rPr>
          <w:highlight w:val="yellow"/>
        </w:rPr>
        <w:t xml:space="preserve"> * </w:t>
      </w:r>
      <w:proofErr w:type="spellStart"/>
      <w:r w:rsidRPr="000361A9">
        <w:rPr>
          <w:highlight w:val="yellow"/>
        </w:rPr>
        <w:t>RUCSUFLAG</w:t>
      </w:r>
      <w:r w:rsidRPr="000361A9">
        <w:rPr>
          <w:i/>
          <w:highlight w:val="yellow"/>
          <w:vertAlign w:val="subscript"/>
        </w:rPr>
        <w:t>q,r,s</w:t>
      </w:r>
      <w:proofErr w:type="spellEnd"/>
      <w:r w:rsidRPr="000361A9">
        <w:rPr>
          <w:highlight w:val="yellow"/>
        </w:rPr>
        <w:t xml:space="preserve">) + </w:t>
      </w:r>
      <w:r w:rsidRPr="000361A9">
        <w:rPr>
          <w:position w:val="-20"/>
          <w:highlight w:val="yellow"/>
        </w:rPr>
        <w:object w:dxaOrig="220" w:dyaOrig="440">
          <v:shape id="_x0000_i1026" type="#_x0000_t75" style="width:11.25pt;height:21.75pt" o:ole="">
            <v:imagedata r:id="rId6" o:title=""/>
          </v:shape>
          <o:OLEObject Type="Embed" ProgID="Equation.3" ShapeID="_x0000_i1026" DrawAspect="Content" ObjectID="_1517730992" r:id="rId7"/>
        </w:object>
      </w:r>
      <w:r w:rsidRPr="000361A9">
        <w:rPr>
          <w:highlight w:val="yellow"/>
        </w:rPr>
        <w:t>(</w:t>
      </w:r>
      <w:proofErr w:type="spellStart"/>
      <w:r w:rsidRPr="000361A9">
        <w:rPr>
          <w:highlight w:val="yellow"/>
        </w:rPr>
        <w:t>MEPR</w:t>
      </w:r>
      <w:r w:rsidRPr="000361A9">
        <w:rPr>
          <w:i/>
          <w:highlight w:val="yellow"/>
          <w:vertAlign w:val="subscript"/>
        </w:rPr>
        <w:t>q,r,i</w:t>
      </w:r>
      <w:proofErr w:type="spellEnd"/>
      <w:r w:rsidRPr="000361A9">
        <w:rPr>
          <w:highlight w:val="yellow"/>
        </w:rPr>
        <w:t xml:space="preserve"> * Min ((</w:t>
      </w:r>
      <w:proofErr w:type="spellStart"/>
      <w:r w:rsidRPr="000361A9">
        <w:rPr>
          <w:highlight w:val="yellow"/>
        </w:rPr>
        <w:t>LSL</w:t>
      </w:r>
      <w:r w:rsidRPr="000361A9">
        <w:rPr>
          <w:i/>
          <w:highlight w:val="yellow"/>
          <w:vertAlign w:val="subscript"/>
        </w:rPr>
        <w:t>q,r,i</w:t>
      </w:r>
      <w:proofErr w:type="spellEnd"/>
      <w:r w:rsidRPr="000361A9">
        <w:rPr>
          <w:highlight w:val="yellow"/>
        </w:rPr>
        <w:t xml:space="preserve"> * (¼)), </w:t>
      </w:r>
      <w:proofErr w:type="spellStart"/>
      <w:r w:rsidRPr="000361A9">
        <w:rPr>
          <w:highlight w:val="yellow"/>
        </w:rPr>
        <w:t>RTMG</w:t>
      </w:r>
      <w:r w:rsidRPr="000361A9">
        <w:rPr>
          <w:i/>
          <w:highlight w:val="yellow"/>
          <w:vertAlign w:val="subscript"/>
        </w:rPr>
        <w:t>q,r,i</w:t>
      </w:r>
      <w:proofErr w:type="spellEnd"/>
      <w:r w:rsidRPr="000361A9">
        <w:rPr>
          <w:highlight w:val="yellow"/>
        </w:rPr>
        <w:t>))</w:t>
      </w:r>
      <w:bookmarkStart w:id="30" w:name="_GoBack"/>
      <w:bookmarkEnd w:id="30"/>
    </w:p>
    <w:p w:rsidR="00E70A90" w:rsidRDefault="00E70A90" w:rsidP="00E70A90">
      <w:pPr>
        <w:pStyle w:val="BodyTextNumberedChar"/>
      </w:pPr>
      <w:r>
        <w:t>(5)</w:t>
      </w:r>
      <w:r>
        <w:tab/>
        <w:t>The RUC Guarantee is calculated for Combined Cycle Trains as follows:</w:t>
      </w:r>
    </w:p>
    <w:p w:rsidR="00E70A90" w:rsidRDefault="00E70A90" w:rsidP="00E70A90">
      <w:pPr>
        <w:pStyle w:val="Formula"/>
      </w:pPr>
      <w:proofErr w:type="spellStart"/>
      <w:r w:rsidRPr="005A03E7">
        <w:t>RUCG</w:t>
      </w:r>
      <w:r w:rsidRPr="00FA5184">
        <w:rPr>
          <w:i/>
          <w:vertAlign w:val="subscript"/>
        </w:rPr>
        <w:t>q</w:t>
      </w:r>
      <w:r w:rsidRPr="00E218CD">
        <w:rPr>
          <w:i/>
          <w:iCs/>
          <w:vertAlign w:val="subscript"/>
        </w:rPr>
        <w:t>,r,</w:t>
      </w:r>
      <w:r w:rsidRPr="005A03E7">
        <w:rPr>
          <w:iCs/>
          <w:vertAlign w:val="subscript"/>
        </w:rPr>
        <w:t>d</w:t>
      </w:r>
      <w:proofErr w:type="spellEnd"/>
      <w:r w:rsidRPr="005A03E7">
        <w:rPr>
          <w:iCs/>
        </w:rPr>
        <w:tab/>
        <w:t>=</w:t>
      </w:r>
      <w:r w:rsidRPr="005A03E7">
        <w:rPr>
          <w:iCs/>
        </w:rPr>
        <w:tab/>
      </w:r>
      <w:r>
        <w:fldChar w:fldCharType="begin"/>
      </w:r>
      <w:r>
        <w:fldChar w:fldCharType="separate"/>
      </w:r>
      <w:r>
        <w:rPr>
          <w:b/>
          <w:i/>
          <w:noProof/>
          <w:position w:val="-20"/>
          <w:lang w:val="en-US" w:eastAsia="en-US"/>
        </w:rPr>
        <w:drawing>
          <wp:inline distT="0" distB="0" distL="0" distR="0">
            <wp:extent cx="11430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fldChar w:fldCharType="end"/>
      </w:r>
      <w:r w:rsidRPr="005A03E7">
        <w:rPr>
          <w:iCs/>
        </w:rPr>
        <w:t>(</w:t>
      </w:r>
      <w:proofErr w:type="spellStart"/>
      <w:r w:rsidRPr="005A03E7">
        <w:rPr>
          <w:iCs/>
        </w:rPr>
        <w:t>SUPR</w:t>
      </w:r>
      <w:r w:rsidRPr="00E218CD">
        <w:rPr>
          <w:i/>
          <w:iCs/>
          <w:vertAlign w:val="subscript"/>
        </w:rPr>
        <w:t>q,r,</w:t>
      </w:r>
      <w:r w:rsidRPr="005A03E7">
        <w:rPr>
          <w:iCs/>
          <w:vertAlign w:val="subscript"/>
        </w:rPr>
        <w:t>s</w:t>
      </w:r>
      <w:proofErr w:type="spellEnd"/>
      <w:r w:rsidRPr="005A03E7">
        <w:rPr>
          <w:iCs/>
        </w:rPr>
        <w:t xml:space="preserve"> * </w:t>
      </w:r>
      <w:proofErr w:type="spellStart"/>
      <w:r w:rsidRPr="005A03E7">
        <w:rPr>
          <w:iCs/>
        </w:rPr>
        <w:t>RUCSUFLAG</w:t>
      </w:r>
      <w:r w:rsidRPr="00E218CD">
        <w:rPr>
          <w:i/>
          <w:iCs/>
          <w:vertAlign w:val="subscript"/>
        </w:rPr>
        <w:t>q,r,</w:t>
      </w:r>
      <w:r w:rsidRPr="005A03E7">
        <w:rPr>
          <w:iCs/>
          <w:vertAlign w:val="subscript"/>
        </w:rPr>
        <w:t>s</w:t>
      </w:r>
      <w:proofErr w:type="spellEnd"/>
      <w:r w:rsidRPr="005A03E7">
        <w:rPr>
          <w:iCs/>
        </w:rPr>
        <w:t xml:space="preserve">) + </w:t>
      </w:r>
    </w:p>
    <w:p w:rsidR="00E70A90" w:rsidRDefault="00E70A90" w:rsidP="00E70A90">
      <w:pPr>
        <w:pStyle w:val="FormulaBold"/>
      </w:pPr>
      <w:r w:rsidRPr="005A03E7">
        <w:tab/>
      </w:r>
      <w:r>
        <w:rPr>
          <w:b/>
          <w:i/>
        </w:rPr>
        <w:tab/>
      </w:r>
      <w:r w:rsidRPr="006E1F1E">
        <w:rPr>
          <w:b/>
          <w:i/>
          <w:position w:val="-20"/>
          <w:lang w:val="pt-BR"/>
        </w:rPr>
        <w:object w:dxaOrig="220" w:dyaOrig="440">
          <v:shape id="_x0000_i1027" type="#_x0000_t75" style="width:11.25pt;height:22.5pt" o:ole="">
            <v:imagedata r:id="rId9" o:title=""/>
          </v:shape>
          <o:OLEObject Type="Embed" ProgID="Equation.3" ShapeID="_x0000_i1027" DrawAspect="Content" ObjectID="_1517730993" r:id="rId10"/>
        </w:object>
      </w:r>
      <w:r w:rsidRPr="005A03E7">
        <w:t xml:space="preserve">(MAX (0, SUPR - SUPR)) + </w:t>
      </w:r>
    </w:p>
    <w:p w:rsidR="00E70A90" w:rsidRPr="006E1F1E" w:rsidRDefault="00E70A90" w:rsidP="00E70A90">
      <w:pPr>
        <w:pStyle w:val="FormulaBold"/>
      </w:pPr>
      <w:r>
        <w:tab/>
      </w:r>
      <w:r>
        <w:tab/>
      </w:r>
      <w:r w:rsidRPr="006E1F1E">
        <w:rPr>
          <w:position w:val="-20"/>
        </w:rPr>
        <w:object w:dxaOrig="220" w:dyaOrig="440">
          <v:shape id="_x0000_i1028" type="#_x0000_t75" style="width:11.25pt;height:21.75pt" o:ole="">
            <v:imagedata r:id="rId6" o:title=""/>
          </v:shape>
          <o:OLEObject Type="Embed" ProgID="Equation.3" ShapeID="_x0000_i1028" DrawAspect="Content" ObjectID="_1517730994" r:id="rId11"/>
        </w:object>
      </w:r>
      <w:r>
        <w:t>(</w:t>
      </w:r>
      <w:proofErr w:type="spellStart"/>
      <w:r>
        <w:t>MEPR</w:t>
      </w:r>
      <w:r>
        <w:rPr>
          <w:i/>
          <w:vertAlign w:val="subscript"/>
        </w:rPr>
        <w:t>q</w:t>
      </w:r>
      <w:proofErr w:type="spellEnd"/>
      <w:r w:rsidRPr="006E1F1E">
        <w:rPr>
          <w:i/>
          <w:vertAlign w:val="subscript"/>
        </w:rPr>
        <w:t xml:space="preserve"> </w:t>
      </w:r>
      <w:proofErr w:type="spellStart"/>
      <w:r w:rsidRPr="006E1F1E">
        <w:rPr>
          <w:i/>
          <w:vertAlign w:val="subscript"/>
        </w:rPr>
        <w:t>r,i</w:t>
      </w:r>
      <w:proofErr w:type="spellEnd"/>
      <w:r>
        <w:t xml:space="preserve"> * Min ((</w:t>
      </w:r>
      <w:proofErr w:type="spellStart"/>
      <w:r>
        <w:t>LSL</w:t>
      </w:r>
      <w:r w:rsidRPr="006E1F1E">
        <w:rPr>
          <w:i/>
          <w:vertAlign w:val="subscript"/>
        </w:rPr>
        <w:t>q,</w:t>
      </w:r>
      <w:r>
        <w:rPr>
          <w:i/>
          <w:vertAlign w:val="subscript"/>
        </w:rPr>
        <w:t>r,</w:t>
      </w:r>
      <w:r w:rsidRPr="006E1F1E">
        <w:rPr>
          <w:i/>
          <w:vertAlign w:val="subscript"/>
        </w:rPr>
        <w:t>i</w:t>
      </w:r>
      <w:proofErr w:type="spellEnd"/>
      <w:r>
        <w:t xml:space="preserve"> * (¼)), </w:t>
      </w:r>
      <w:proofErr w:type="spellStart"/>
      <w:r>
        <w:t>RTMG</w:t>
      </w:r>
      <w:r>
        <w:rPr>
          <w:i/>
          <w:vertAlign w:val="subscript"/>
        </w:rPr>
        <w:t>q,r</w:t>
      </w:r>
      <w:proofErr w:type="spellEnd"/>
      <w:r w:rsidRPr="006E1F1E">
        <w:rPr>
          <w:i/>
          <w:vertAlign w:val="subscript"/>
        </w:rPr>
        <w:t xml:space="preserve"> </w:t>
      </w:r>
      <w:proofErr w:type="spellStart"/>
      <w:r w:rsidRPr="006E1F1E">
        <w:rPr>
          <w:i/>
          <w:vertAlign w:val="subscript"/>
        </w:rPr>
        <w:t>i</w:t>
      </w:r>
      <w:proofErr w:type="spellEnd"/>
      <w:r w:rsidRPr="006E1F1E">
        <w:t>))</w:t>
      </w:r>
    </w:p>
    <w:p w:rsidR="00E70A90" w:rsidRDefault="00E70A90" w:rsidP="00E70A90">
      <w:pPr>
        <w:pStyle w:val="List2"/>
        <w:rPr>
          <w:rStyle w:val="BodyTextChar"/>
          <w:b/>
        </w:rPr>
      </w:pPr>
      <w:r>
        <w:rPr>
          <w:rStyle w:val="BodyTextChar"/>
        </w:rPr>
        <w:t>(a)</w:t>
      </w:r>
      <w:r>
        <w:rPr>
          <w:rStyle w:val="BodyTextChar"/>
        </w:rPr>
        <w:tab/>
        <w:t>If a Combined Cycle Train transitions to a RUC-committed configuration from a QSE-committed or other RUC-committed configuration, the transition is calculated as follows:</w:t>
      </w:r>
    </w:p>
    <w:p w:rsidR="00E70A90" w:rsidRDefault="00E70A90" w:rsidP="00E70A90">
      <w:pPr>
        <w:pStyle w:val="Formula"/>
        <w:rPr>
          <w:rStyle w:val="BodyTextChar"/>
          <w:b/>
        </w:rPr>
      </w:pPr>
      <w:r>
        <w:tab/>
      </w:r>
      <w:r w:rsidRPr="000B48ED">
        <w:t xml:space="preserve">MAX (0, </w:t>
      </w:r>
      <w:proofErr w:type="spellStart"/>
      <w:r w:rsidRPr="000B48ED">
        <w:t>SUPR</w:t>
      </w:r>
      <w:r w:rsidRPr="000B48ED">
        <w:rPr>
          <w:i/>
          <w:vertAlign w:val="subscript"/>
        </w:rPr>
        <w:t>after</w:t>
      </w:r>
      <w:r>
        <w:rPr>
          <w:i/>
          <w:vertAlign w:val="subscript"/>
        </w:rPr>
        <w:t>CCGR</w:t>
      </w:r>
      <w:proofErr w:type="spellEnd"/>
      <w:r w:rsidRPr="000B48ED">
        <w:t xml:space="preserve"> </w:t>
      </w:r>
      <w:r>
        <w:t>–</w:t>
      </w:r>
      <w:r w:rsidRPr="000B48ED">
        <w:t xml:space="preserve"> </w:t>
      </w:r>
      <w:proofErr w:type="spellStart"/>
      <w:r w:rsidRPr="000B48ED">
        <w:t>SUPR</w:t>
      </w:r>
      <w:r w:rsidRPr="000B48ED">
        <w:rPr>
          <w:i/>
          <w:vertAlign w:val="subscript"/>
        </w:rPr>
        <w:t>before</w:t>
      </w:r>
      <w:r>
        <w:rPr>
          <w:i/>
          <w:vertAlign w:val="subscript"/>
        </w:rPr>
        <w:t>CCGR</w:t>
      </w:r>
      <w:proofErr w:type="spellEnd"/>
      <w:r w:rsidRPr="000B48ED">
        <w:t>)</w:t>
      </w:r>
    </w:p>
    <w:p w:rsidR="00E70A90" w:rsidRDefault="00E70A90" w:rsidP="00E70A90">
      <w:pPr>
        <w:pStyle w:val="List2"/>
        <w:rPr>
          <w:rStyle w:val="BodyTextChar"/>
          <w:b/>
          <w:bCs/>
          <w:szCs w:val="24"/>
        </w:rPr>
      </w:pPr>
      <w:r>
        <w:rPr>
          <w:rStyle w:val="BodyTextChar"/>
        </w:rPr>
        <w:t>(b)</w:t>
      </w:r>
      <w:r>
        <w:rPr>
          <w:rStyle w:val="BodyTextChar"/>
        </w:rPr>
        <w:tab/>
        <w:t>If a Combined Cycle Train transitions to a QSE-committed configuration from a RUC-committed configuration, the transition is calculated as follows:</w:t>
      </w:r>
    </w:p>
    <w:p w:rsidR="00E70A90" w:rsidRDefault="00E70A90" w:rsidP="00E70A90">
      <w:pPr>
        <w:pStyle w:val="Formula"/>
      </w:pPr>
      <w:r>
        <w:tab/>
      </w:r>
      <w:r w:rsidRPr="000B48ED">
        <w:t xml:space="preserve">MAX (0, </w:t>
      </w:r>
      <w:proofErr w:type="spellStart"/>
      <w:r w:rsidRPr="000B48ED">
        <w:t>SUPR</w:t>
      </w:r>
      <w:r w:rsidRPr="000B48ED">
        <w:rPr>
          <w:i/>
          <w:vertAlign w:val="subscript"/>
        </w:rPr>
        <w:t>before</w:t>
      </w:r>
      <w:r>
        <w:rPr>
          <w:i/>
          <w:vertAlign w:val="subscript"/>
        </w:rPr>
        <w:t>CCGR</w:t>
      </w:r>
      <w:proofErr w:type="spellEnd"/>
      <w:r w:rsidRPr="000B48ED">
        <w:t xml:space="preserve"> </w:t>
      </w:r>
      <w:r>
        <w:t>–</w:t>
      </w:r>
      <w:r w:rsidRPr="000B48ED">
        <w:t xml:space="preserve"> </w:t>
      </w:r>
      <w:proofErr w:type="spellStart"/>
      <w:r w:rsidRPr="000B48ED">
        <w:t>SUPR</w:t>
      </w:r>
      <w:r w:rsidRPr="000B48ED">
        <w:rPr>
          <w:i/>
          <w:vertAlign w:val="subscript"/>
        </w:rPr>
        <w:t>after</w:t>
      </w:r>
      <w:r>
        <w:rPr>
          <w:i/>
          <w:vertAlign w:val="subscript"/>
        </w:rPr>
        <w:t>CCGR</w:t>
      </w:r>
      <w:proofErr w:type="spellEnd"/>
      <w:r w:rsidRPr="000B48ED">
        <w:t>)</w:t>
      </w:r>
    </w:p>
    <w:p w:rsidR="00E70A90" w:rsidRDefault="00E70A90" w:rsidP="00E70A90">
      <w:pPr>
        <w:pStyle w:val="BodyTextNumberedChar"/>
      </w:pPr>
      <w:r>
        <w:lastRenderedPageBreak/>
        <w:t>(6</w:t>
      </w:r>
      <w:r w:rsidRPr="00DC5688">
        <w:t>)</w:t>
      </w:r>
      <w:r>
        <w:tab/>
        <w:t>If a validated Three-Part Supply Offer has been submitted for a Resource for the RUC, then the RUC Guarantee for that Resource is based on the Startup Offer and Minimum-Energy Offer in that validated Three-Part Supply Offer.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rsidR="00E70A90" w:rsidRDefault="00E70A90" w:rsidP="00E70A90">
      <w:pPr>
        <w:pStyle w:val="BodyTextNumberedChar"/>
        <w:ind w:left="1440"/>
        <w:rPr>
          <w:b/>
        </w:rPr>
      </w:pPr>
      <w:r w:rsidRPr="00E234CB">
        <w:rPr>
          <w:b/>
        </w:rPr>
        <w:t xml:space="preserve">For a Resource which is not an AGR, </w:t>
      </w:r>
    </w:p>
    <w:p w:rsidR="00E70A90" w:rsidRDefault="00E70A90" w:rsidP="00E70A90">
      <w:pPr>
        <w:pStyle w:val="Formula"/>
        <w:rPr>
          <w:rStyle w:val="BodyTextChar"/>
          <w:iCs/>
        </w:rPr>
      </w:pPr>
      <w:r>
        <w:rPr>
          <w:rStyle w:val="BodyTextChar"/>
        </w:rPr>
        <w:t xml:space="preserve">If the QSE submitted a validated Three-Part Supply Offer, </w:t>
      </w:r>
    </w:p>
    <w:p w:rsidR="00E70A90" w:rsidRDefault="00E70A90" w:rsidP="00E70A90">
      <w:pPr>
        <w:pStyle w:val="Formula"/>
        <w:rPr>
          <w:rStyle w:val="BodyTextChar"/>
          <w:iCs/>
        </w:rPr>
      </w:pPr>
      <w:r>
        <w:rPr>
          <w:rStyle w:val="BodyTextChar"/>
        </w:rPr>
        <w:tab/>
        <w:t xml:space="preserve">Then, </w:t>
      </w:r>
      <w:r>
        <w:rPr>
          <w:rStyle w:val="BodyTextChar"/>
        </w:rPr>
        <w:tab/>
      </w:r>
      <w:r>
        <w:rPr>
          <w:rStyle w:val="BodyTextChar"/>
        </w:rPr>
        <w:tab/>
      </w:r>
      <w:proofErr w:type="spellStart"/>
      <w:r>
        <w:rPr>
          <w:rStyle w:val="BodyTextChar"/>
        </w:rPr>
        <w:t>SUPR</w:t>
      </w:r>
      <w:r>
        <w:rPr>
          <w:i/>
          <w:vertAlign w:val="subscript"/>
        </w:rPr>
        <w:t>q,r,</w:t>
      </w:r>
      <w:r>
        <w:rPr>
          <w:rStyle w:val="BodyTextChar"/>
          <w:vertAlign w:val="subscript"/>
        </w:rPr>
        <w:t>s</w:t>
      </w:r>
      <w:proofErr w:type="spellEnd"/>
      <w:r>
        <w:rPr>
          <w:rStyle w:val="BodyTextChar"/>
        </w:rPr>
        <w:tab/>
        <w:t>=</w:t>
      </w:r>
      <w:r>
        <w:rPr>
          <w:rStyle w:val="BodyTextChar"/>
        </w:rPr>
        <w:tab/>
      </w:r>
      <w:proofErr w:type="spellStart"/>
      <w:r>
        <w:rPr>
          <w:rStyle w:val="BodyTextChar"/>
        </w:rPr>
        <w:t>SUO</w:t>
      </w:r>
      <w:r>
        <w:rPr>
          <w:i/>
          <w:vertAlign w:val="subscript"/>
        </w:rPr>
        <w:t>q,r,s</w:t>
      </w:r>
      <w:proofErr w:type="spellEnd"/>
    </w:p>
    <w:p w:rsidR="00E70A90" w:rsidRDefault="00E70A90" w:rsidP="00E70A90">
      <w:pPr>
        <w:pStyle w:val="Formula"/>
        <w:rPr>
          <w:rStyle w:val="BodyTextChar"/>
          <w:iCs/>
          <w:lang w:val="it-IT"/>
        </w:rPr>
      </w:pPr>
      <w:r>
        <w:rPr>
          <w:rStyle w:val="BodyTextChar"/>
        </w:rPr>
        <w:tab/>
      </w:r>
      <w:r>
        <w:rPr>
          <w:rStyle w:val="BodyTextChar"/>
        </w:rPr>
        <w:tab/>
      </w:r>
      <w:r>
        <w:rPr>
          <w:rStyle w:val="BodyTextChar"/>
        </w:rPr>
        <w:tab/>
      </w:r>
      <w:r>
        <w:rPr>
          <w:rStyle w:val="BodyTextChar"/>
          <w:lang w:val="it-IT"/>
        </w:rPr>
        <w:t>MEPR</w:t>
      </w:r>
      <w:r>
        <w:rPr>
          <w:i/>
          <w:vertAlign w:val="subscript"/>
          <w:lang w:val="it-IT"/>
        </w:rPr>
        <w:t>q,r,i</w:t>
      </w:r>
      <w:r>
        <w:rPr>
          <w:rStyle w:val="BodyTextChar"/>
          <w:lang w:val="it-IT"/>
        </w:rPr>
        <w:tab/>
        <w:t>=</w:t>
      </w:r>
      <w:r>
        <w:rPr>
          <w:rStyle w:val="BodyTextChar"/>
          <w:lang w:val="it-IT"/>
        </w:rPr>
        <w:tab/>
        <w:t>MEO</w:t>
      </w:r>
      <w:r>
        <w:rPr>
          <w:i/>
          <w:vertAlign w:val="subscript"/>
          <w:lang w:val="it-IT"/>
        </w:rPr>
        <w:t>q,r,i</w:t>
      </w:r>
    </w:p>
    <w:p w:rsidR="00E70A90" w:rsidRDefault="00E70A90" w:rsidP="00E70A90">
      <w:pPr>
        <w:pStyle w:val="Formula"/>
        <w:rPr>
          <w:rStyle w:val="BodyTextChar"/>
          <w:iCs/>
        </w:rPr>
      </w:pPr>
      <w:r>
        <w:rPr>
          <w:rStyle w:val="BodyTextChar"/>
          <w:lang w:val="it-IT"/>
        </w:rPr>
        <w:tab/>
      </w:r>
      <w:r>
        <w:rPr>
          <w:rStyle w:val="BodyTextChar"/>
        </w:rPr>
        <w:t xml:space="preserve">Otherwise, </w:t>
      </w:r>
      <w:r>
        <w:rPr>
          <w:rStyle w:val="BodyTextChar"/>
        </w:rPr>
        <w:tab/>
      </w:r>
      <w:proofErr w:type="spellStart"/>
      <w:r>
        <w:rPr>
          <w:rStyle w:val="BodyTextChar"/>
        </w:rPr>
        <w:t>SUPR</w:t>
      </w:r>
      <w:r>
        <w:rPr>
          <w:i/>
          <w:vertAlign w:val="subscript"/>
        </w:rPr>
        <w:t>q,r,s</w:t>
      </w:r>
      <w:proofErr w:type="spellEnd"/>
      <w:r>
        <w:rPr>
          <w:rStyle w:val="BodyTextChar"/>
        </w:rPr>
        <w:t xml:space="preserve"> </w:t>
      </w:r>
      <w:r>
        <w:rPr>
          <w:rStyle w:val="BodyTextChar"/>
        </w:rPr>
        <w:tab/>
        <w:t xml:space="preserve">= </w:t>
      </w:r>
      <w:r>
        <w:rPr>
          <w:rStyle w:val="BodyTextChar"/>
        </w:rPr>
        <w:tab/>
      </w:r>
      <w:proofErr w:type="spellStart"/>
      <w:r>
        <w:rPr>
          <w:rStyle w:val="BodyTextChar"/>
        </w:rPr>
        <w:t>SUCAP</w:t>
      </w:r>
      <w:r>
        <w:rPr>
          <w:i/>
          <w:vertAlign w:val="subscript"/>
        </w:rPr>
        <w:t>q,r,s</w:t>
      </w:r>
      <w:proofErr w:type="spellEnd"/>
    </w:p>
    <w:p w:rsidR="00E70A90" w:rsidRDefault="00E70A90" w:rsidP="00E70A90">
      <w:pPr>
        <w:pStyle w:val="Formula"/>
        <w:rPr>
          <w:rStyle w:val="BodyTextChar"/>
          <w:iCs/>
          <w:lang w:val="it-IT"/>
        </w:rPr>
      </w:pPr>
      <w:r>
        <w:rPr>
          <w:rStyle w:val="BodyTextChar"/>
        </w:rPr>
        <w:tab/>
      </w:r>
      <w:r>
        <w:rPr>
          <w:rStyle w:val="BodyTextChar"/>
        </w:rPr>
        <w:tab/>
      </w:r>
      <w:r>
        <w:rPr>
          <w:rStyle w:val="BodyTextChar"/>
        </w:rPr>
        <w:tab/>
      </w:r>
      <w:r>
        <w:rPr>
          <w:rStyle w:val="BodyTextChar"/>
          <w:lang w:val="it-IT"/>
        </w:rPr>
        <w:t>MEPR</w:t>
      </w:r>
      <w:r>
        <w:rPr>
          <w:i/>
          <w:vertAlign w:val="subscript"/>
          <w:lang w:val="it-IT"/>
        </w:rPr>
        <w:t>q,r,i</w:t>
      </w:r>
      <w:r>
        <w:rPr>
          <w:rStyle w:val="BodyTextChar"/>
          <w:lang w:val="it-IT"/>
        </w:rPr>
        <w:t xml:space="preserve"> </w:t>
      </w:r>
      <w:r>
        <w:rPr>
          <w:rStyle w:val="BodyTextChar"/>
          <w:lang w:val="it-IT"/>
        </w:rPr>
        <w:tab/>
        <w:t xml:space="preserve">= </w:t>
      </w:r>
      <w:r>
        <w:rPr>
          <w:rStyle w:val="BodyTextChar"/>
          <w:lang w:val="it-IT"/>
        </w:rPr>
        <w:tab/>
        <w:t>MECAP</w:t>
      </w:r>
      <w:r>
        <w:rPr>
          <w:i/>
          <w:vertAlign w:val="subscript"/>
          <w:lang w:val="it-IT"/>
        </w:rPr>
        <w:t>q,r,i</w:t>
      </w:r>
    </w:p>
    <w:p w:rsidR="00E70A90" w:rsidRDefault="00E70A90" w:rsidP="00E70A90">
      <w:pPr>
        <w:pStyle w:val="List2"/>
        <w:ind w:left="720" w:firstLine="0"/>
        <w:rPr>
          <w:rStyle w:val="BodyTextChar"/>
          <w:iCs/>
        </w:rPr>
      </w:pPr>
      <w:r>
        <w:rPr>
          <w:rStyle w:val="BodyTextChar"/>
        </w:rPr>
        <w:t>If ERCOT has approved verifiable Startup Costs and minimum-energy costs for the Resource,</w:t>
      </w:r>
    </w:p>
    <w:p w:rsidR="00E70A90" w:rsidRDefault="00E70A90" w:rsidP="00E70A90">
      <w:pPr>
        <w:pStyle w:val="Formula"/>
        <w:rPr>
          <w:rStyle w:val="BodyTextChar"/>
          <w:iCs/>
        </w:rPr>
      </w:pPr>
      <w:r>
        <w:rPr>
          <w:rStyle w:val="BodyTextChar"/>
        </w:rPr>
        <w:tab/>
        <w:t xml:space="preserve">Then, </w:t>
      </w:r>
      <w:r>
        <w:rPr>
          <w:rStyle w:val="BodyTextChar"/>
        </w:rPr>
        <w:tab/>
      </w:r>
      <w:r>
        <w:rPr>
          <w:rStyle w:val="BodyTextChar"/>
        </w:rPr>
        <w:tab/>
        <w:t xml:space="preserve">SUCAP </w:t>
      </w:r>
      <w:r>
        <w:rPr>
          <w:i/>
          <w:vertAlign w:val="subscript"/>
        </w:rPr>
        <w:t>q, r, s</w:t>
      </w:r>
      <w:r>
        <w:rPr>
          <w:rStyle w:val="BodyTextChar"/>
        </w:rPr>
        <w:tab/>
        <w:t>=</w:t>
      </w:r>
      <w:r>
        <w:rPr>
          <w:rStyle w:val="BodyTextChar"/>
        </w:rPr>
        <w:tab/>
        <w:t xml:space="preserve">verifiable Startup Costs </w:t>
      </w:r>
      <w:r>
        <w:rPr>
          <w:i/>
          <w:vertAlign w:val="subscript"/>
        </w:rPr>
        <w:t>q, r, s</w:t>
      </w:r>
    </w:p>
    <w:p w:rsidR="00E70A90" w:rsidRDefault="00E70A90" w:rsidP="00E70A90">
      <w:pPr>
        <w:pStyle w:val="Formula"/>
        <w:rPr>
          <w:rStyle w:val="BodyTextChar"/>
          <w:iCs/>
        </w:rPr>
      </w:pPr>
      <w:r>
        <w:rPr>
          <w:rStyle w:val="BodyTextChar"/>
        </w:rPr>
        <w:tab/>
      </w:r>
      <w:r>
        <w:rPr>
          <w:rStyle w:val="BodyTextChar"/>
        </w:rPr>
        <w:tab/>
      </w:r>
      <w:r>
        <w:rPr>
          <w:rStyle w:val="BodyTextChar"/>
        </w:rPr>
        <w:tab/>
      </w:r>
      <w:proofErr w:type="spellStart"/>
      <w:r>
        <w:rPr>
          <w:rStyle w:val="BodyTextChar"/>
        </w:rPr>
        <w:t>MECAP</w:t>
      </w:r>
      <w:r>
        <w:rPr>
          <w:i/>
          <w:vertAlign w:val="subscript"/>
        </w:rPr>
        <w:t>q,r,i</w:t>
      </w:r>
      <w:proofErr w:type="spellEnd"/>
      <w:r>
        <w:rPr>
          <w:rStyle w:val="BodyTextChar"/>
        </w:rPr>
        <w:tab/>
        <w:t>=</w:t>
      </w:r>
      <w:r>
        <w:rPr>
          <w:rStyle w:val="BodyTextChar"/>
        </w:rPr>
        <w:tab/>
        <w:t xml:space="preserve">verifiable minimum-energy costs </w:t>
      </w:r>
      <w:r>
        <w:rPr>
          <w:i/>
          <w:vertAlign w:val="subscript"/>
        </w:rPr>
        <w:t xml:space="preserve">q, r, </w:t>
      </w:r>
      <w:proofErr w:type="spellStart"/>
      <w:r>
        <w:rPr>
          <w:i/>
          <w:vertAlign w:val="subscript"/>
        </w:rPr>
        <w:t>i</w:t>
      </w:r>
      <w:proofErr w:type="spellEnd"/>
    </w:p>
    <w:p w:rsidR="00E70A90" w:rsidRDefault="00E70A90" w:rsidP="00E70A90">
      <w:pPr>
        <w:pStyle w:val="Formula"/>
        <w:rPr>
          <w:rStyle w:val="BodyTextChar"/>
          <w:iCs/>
        </w:rPr>
      </w:pPr>
      <w:r>
        <w:rPr>
          <w:rStyle w:val="BodyTextChar"/>
        </w:rPr>
        <w:tab/>
        <w:t xml:space="preserve">Otherwise, </w:t>
      </w:r>
      <w:r>
        <w:rPr>
          <w:rStyle w:val="BodyTextChar"/>
        </w:rPr>
        <w:tab/>
        <w:t xml:space="preserve">SUCAP </w:t>
      </w:r>
      <w:r>
        <w:rPr>
          <w:i/>
          <w:vertAlign w:val="subscript"/>
        </w:rPr>
        <w:t>q, r, s</w:t>
      </w:r>
      <w:r>
        <w:rPr>
          <w:rStyle w:val="BodyTextChar"/>
        </w:rPr>
        <w:t xml:space="preserve"> </w:t>
      </w:r>
      <w:r>
        <w:rPr>
          <w:rStyle w:val="BodyTextChar"/>
        </w:rPr>
        <w:tab/>
        <w:t xml:space="preserve">= </w:t>
      </w:r>
      <w:r>
        <w:rPr>
          <w:rStyle w:val="BodyTextChar"/>
        </w:rPr>
        <w:tab/>
        <w:t xml:space="preserve">RCGSC </w:t>
      </w:r>
      <w:r>
        <w:rPr>
          <w:i/>
          <w:vertAlign w:val="subscript"/>
        </w:rPr>
        <w:t>s</w:t>
      </w:r>
    </w:p>
    <w:p w:rsidR="00E70A90" w:rsidRDefault="00E70A90" w:rsidP="00E70A90">
      <w:pPr>
        <w:pStyle w:val="Formula"/>
        <w:rPr>
          <w:i/>
          <w:vertAlign w:val="subscript"/>
        </w:rPr>
      </w:pPr>
      <w:r>
        <w:rPr>
          <w:rStyle w:val="BodyTextChar"/>
        </w:rPr>
        <w:tab/>
      </w:r>
      <w:r>
        <w:rPr>
          <w:rStyle w:val="BodyTextChar"/>
        </w:rPr>
        <w:tab/>
      </w:r>
      <w:r>
        <w:rPr>
          <w:rStyle w:val="BodyTextChar"/>
        </w:rPr>
        <w:tab/>
        <w:t xml:space="preserve">MECAP </w:t>
      </w:r>
      <w:r>
        <w:rPr>
          <w:i/>
          <w:vertAlign w:val="subscript"/>
        </w:rPr>
        <w:t xml:space="preserve">q, r, </w:t>
      </w:r>
      <w:proofErr w:type="spellStart"/>
      <w:r>
        <w:rPr>
          <w:i/>
          <w:vertAlign w:val="subscript"/>
        </w:rPr>
        <w:t>i</w:t>
      </w:r>
      <w:proofErr w:type="spellEnd"/>
      <w:r>
        <w:rPr>
          <w:rStyle w:val="BodyTextChar"/>
        </w:rPr>
        <w:tab/>
        <w:t xml:space="preserve">= </w:t>
      </w:r>
      <w:r>
        <w:rPr>
          <w:rStyle w:val="BodyTextChar"/>
        </w:rPr>
        <w:tab/>
        <w:t xml:space="preserve">RCGMEC </w:t>
      </w:r>
      <w:proofErr w:type="spellStart"/>
      <w:r>
        <w:rPr>
          <w:i/>
          <w:vertAlign w:val="subscript"/>
        </w:rPr>
        <w:t>i</w:t>
      </w:r>
      <w:proofErr w:type="spellEnd"/>
    </w:p>
    <w:p w:rsidR="00E70A90" w:rsidRPr="001A6D3F" w:rsidRDefault="00E70A90" w:rsidP="00E70A90">
      <w:pPr>
        <w:spacing w:after="240"/>
        <w:ind w:left="720"/>
        <w:rPr>
          <w:b/>
          <w:bCs/>
          <w:iCs/>
        </w:rPr>
      </w:pPr>
      <w:r w:rsidRPr="00E234CB">
        <w:rPr>
          <w:b/>
          <w:bCs/>
          <w:iCs/>
        </w:rPr>
        <w:t>For AGRs,</w:t>
      </w:r>
    </w:p>
    <w:p w:rsidR="00E70A90" w:rsidRPr="009E5389" w:rsidRDefault="00E70A90" w:rsidP="00E70A90">
      <w:pPr>
        <w:tabs>
          <w:tab w:val="left" w:pos="1440"/>
          <w:tab w:val="left" w:pos="2340"/>
        </w:tabs>
        <w:spacing w:after="240"/>
        <w:ind w:left="720"/>
        <w:rPr>
          <w:bCs/>
        </w:rPr>
      </w:pPr>
      <w:r w:rsidRPr="009E5389">
        <w:rPr>
          <w:bCs/>
          <w:iCs/>
        </w:rPr>
        <w:t xml:space="preserve">If the QSE submitted a validated Three-Part Supply Offer, </w:t>
      </w:r>
    </w:p>
    <w:p w:rsidR="00E70A90" w:rsidRPr="009E5389" w:rsidRDefault="00E70A90" w:rsidP="00E70A90">
      <w:pPr>
        <w:tabs>
          <w:tab w:val="left" w:pos="1440"/>
          <w:tab w:val="left" w:pos="2340"/>
        </w:tabs>
        <w:spacing w:after="240"/>
        <w:ind w:left="1440"/>
        <w:rPr>
          <w:bCs/>
        </w:rPr>
      </w:pPr>
      <w:r w:rsidRPr="009E5389">
        <w:rPr>
          <w:bCs/>
          <w:iCs/>
        </w:rPr>
        <w:t xml:space="preserve">Then, </w:t>
      </w:r>
      <w:r w:rsidRPr="009E5389">
        <w:rPr>
          <w:bCs/>
          <w:iCs/>
        </w:rPr>
        <w:tab/>
      </w:r>
      <w:r w:rsidRPr="009E5389">
        <w:rPr>
          <w:bCs/>
          <w:iCs/>
        </w:rPr>
        <w:tab/>
        <w:t xml:space="preserve">SUPR </w:t>
      </w:r>
      <w:proofErr w:type="spellStart"/>
      <w:r w:rsidRPr="009E5389">
        <w:rPr>
          <w:bCs/>
          <w:i/>
          <w:vertAlign w:val="subscript"/>
        </w:rPr>
        <w:t>q</w:t>
      </w:r>
      <w:proofErr w:type="gramStart"/>
      <w:r w:rsidRPr="009E5389">
        <w:rPr>
          <w:bCs/>
          <w:i/>
          <w:vertAlign w:val="subscript"/>
        </w:rPr>
        <w:t>,r,</w:t>
      </w:r>
      <w:r w:rsidRPr="009E5389">
        <w:rPr>
          <w:bCs/>
          <w:iCs/>
          <w:vertAlign w:val="subscript"/>
        </w:rPr>
        <w:t>s</w:t>
      </w:r>
      <w:proofErr w:type="spellEnd"/>
      <w:proofErr w:type="gramEnd"/>
      <w:r w:rsidRPr="009E5389">
        <w:rPr>
          <w:bCs/>
          <w:iCs/>
        </w:rPr>
        <w:tab/>
        <w:t>=</w:t>
      </w:r>
      <w:r w:rsidRPr="009E5389">
        <w:rPr>
          <w:bCs/>
          <w:iCs/>
        </w:rPr>
        <w:tab/>
        <w:t xml:space="preserve">Min(SUO </w:t>
      </w:r>
      <w:proofErr w:type="spellStart"/>
      <w:r w:rsidRPr="009E5389">
        <w:rPr>
          <w:bCs/>
          <w:i/>
          <w:vertAlign w:val="subscript"/>
        </w:rPr>
        <w:t>q,r,s</w:t>
      </w:r>
      <w:proofErr w:type="spellEnd"/>
      <w:r w:rsidRPr="009E5389">
        <w:rPr>
          <w:bCs/>
        </w:rPr>
        <w:t xml:space="preserve">, SUCAP </w:t>
      </w:r>
      <w:proofErr w:type="spellStart"/>
      <w:r w:rsidRPr="009E5389">
        <w:rPr>
          <w:bCs/>
          <w:i/>
          <w:vertAlign w:val="subscript"/>
        </w:rPr>
        <w:t>q,r,s</w:t>
      </w:r>
      <w:proofErr w:type="spellEnd"/>
      <w:r w:rsidRPr="009E5389">
        <w:rPr>
          <w:bCs/>
        </w:rPr>
        <w:t>)</w:t>
      </w:r>
    </w:p>
    <w:p w:rsidR="00E70A90" w:rsidRPr="009E5389" w:rsidRDefault="00E70A90" w:rsidP="00E70A90">
      <w:pPr>
        <w:tabs>
          <w:tab w:val="left" w:pos="1440"/>
          <w:tab w:val="left" w:pos="2340"/>
        </w:tabs>
        <w:spacing w:after="240"/>
        <w:ind w:left="720"/>
        <w:rPr>
          <w:bCs/>
          <w:lang w:val="it-IT"/>
        </w:rPr>
      </w:pPr>
      <w:r w:rsidRPr="009E5389">
        <w:rPr>
          <w:bCs/>
          <w:iCs/>
        </w:rPr>
        <w:tab/>
      </w:r>
      <w:r w:rsidRPr="009E5389">
        <w:rPr>
          <w:bCs/>
          <w:iCs/>
        </w:rPr>
        <w:tab/>
      </w:r>
      <w:r w:rsidRPr="009E5389">
        <w:rPr>
          <w:bCs/>
          <w:iCs/>
        </w:rPr>
        <w:tab/>
      </w:r>
      <w:r w:rsidRPr="009E5389">
        <w:rPr>
          <w:bCs/>
          <w:iCs/>
          <w:lang w:val="it-IT"/>
        </w:rPr>
        <w:t xml:space="preserve">MEPR </w:t>
      </w:r>
      <w:r w:rsidRPr="009E5389">
        <w:rPr>
          <w:bCs/>
          <w:i/>
          <w:vertAlign w:val="subscript"/>
          <w:lang w:val="it-IT"/>
        </w:rPr>
        <w:t>q,r,i</w:t>
      </w:r>
      <w:r w:rsidRPr="009E5389">
        <w:rPr>
          <w:bCs/>
          <w:iCs/>
          <w:lang w:val="it-IT"/>
        </w:rPr>
        <w:tab/>
        <w:t>=</w:t>
      </w:r>
      <w:r w:rsidRPr="009E5389">
        <w:rPr>
          <w:bCs/>
          <w:iCs/>
          <w:lang w:val="it-IT"/>
        </w:rPr>
        <w:tab/>
        <w:t xml:space="preserve">MEO </w:t>
      </w:r>
      <w:r w:rsidRPr="009E5389">
        <w:rPr>
          <w:bCs/>
          <w:i/>
          <w:vertAlign w:val="subscript"/>
          <w:lang w:val="it-IT"/>
        </w:rPr>
        <w:t>q,r,i</w:t>
      </w:r>
    </w:p>
    <w:p w:rsidR="00E70A90" w:rsidRPr="009E5389" w:rsidRDefault="00E70A90" w:rsidP="00E70A90">
      <w:pPr>
        <w:tabs>
          <w:tab w:val="left" w:pos="1440"/>
          <w:tab w:val="left" w:pos="2340"/>
        </w:tabs>
        <w:spacing w:after="240"/>
        <w:ind w:left="720"/>
        <w:rPr>
          <w:bCs/>
        </w:rPr>
      </w:pPr>
      <w:r w:rsidRPr="009E5389">
        <w:rPr>
          <w:bCs/>
          <w:iCs/>
          <w:lang w:val="it-IT"/>
        </w:rPr>
        <w:tab/>
      </w:r>
      <w:r w:rsidRPr="009E5389">
        <w:rPr>
          <w:bCs/>
          <w:iCs/>
        </w:rPr>
        <w:t xml:space="preserve">Otherwise, </w:t>
      </w:r>
      <w:r w:rsidRPr="009E5389">
        <w:rPr>
          <w:bCs/>
          <w:iCs/>
        </w:rPr>
        <w:tab/>
        <w:t xml:space="preserve">SUPR </w:t>
      </w:r>
      <w:proofErr w:type="spellStart"/>
      <w:r w:rsidRPr="009E5389">
        <w:rPr>
          <w:bCs/>
          <w:i/>
          <w:vertAlign w:val="subscript"/>
        </w:rPr>
        <w:t>q</w:t>
      </w:r>
      <w:proofErr w:type="gramStart"/>
      <w:r w:rsidRPr="009E5389">
        <w:rPr>
          <w:bCs/>
          <w:i/>
          <w:vertAlign w:val="subscript"/>
        </w:rPr>
        <w:t>,r,s</w:t>
      </w:r>
      <w:proofErr w:type="spellEnd"/>
      <w:proofErr w:type="gramEnd"/>
      <w:r w:rsidRPr="009E5389">
        <w:rPr>
          <w:bCs/>
          <w:iCs/>
        </w:rPr>
        <w:t xml:space="preserve"> </w:t>
      </w:r>
      <w:r w:rsidRPr="009E5389">
        <w:rPr>
          <w:bCs/>
          <w:iCs/>
        </w:rPr>
        <w:tab/>
        <w:t xml:space="preserve">= </w:t>
      </w:r>
      <w:r w:rsidRPr="009E5389">
        <w:rPr>
          <w:bCs/>
          <w:iCs/>
        </w:rPr>
        <w:tab/>
        <w:t xml:space="preserve">SUCAP </w:t>
      </w:r>
      <w:proofErr w:type="spellStart"/>
      <w:r w:rsidRPr="009E5389">
        <w:rPr>
          <w:bCs/>
          <w:i/>
          <w:vertAlign w:val="subscript"/>
        </w:rPr>
        <w:t>q,r,s</w:t>
      </w:r>
      <w:proofErr w:type="spellEnd"/>
    </w:p>
    <w:p w:rsidR="00E70A90" w:rsidRPr="009E5389" w:rsidRDefault="00E70A90" w:rsidP="00E70A90">
      <w:pPr>
        <w:tabs>
          <w:tab w:val="left" w:pos="1440"/>
          <w:tab w:val="left" w:pos="2340"/>
        </w:tabs>
        <w:spacing w:after="240"/>
        <w:ind w:left="720"/>
        <w:rPr>
          <w:bCs/>
          <w:lang w:val="it-IT"/>
        </w:rPr>
      </w:pPr>
      <w:r w:rsidRPr="009E5389">
        <w:rPr>
          <w:bCs/>
          <w:iCs/>
        </w:rPr>
        <w:tab/>
      </w:r>
      <w:r w:rsidRPr="009E5389">
        <w:rPr>
          <w:bCs/>
          <w:iCs/>
        </w:rPr>
        <w:tab/>
      </w:r>
      <w:r w:rsidRPr="009E5389">
        <w:rPr>
          <w:bCs/>
          <w:iCs/>
        </w:rPr>
        <w:tab/>
      </w:r>
      <w:r w:rsidRPr="009E5389">
        <w:rPr>
          <w:bCs/>
          <w:iCs/>
          <w:lang w:val="it-IT"/>
        </w:rPr>
        <w:t xml:space="preserve">MEPR </w:t>
      </w:r>
      <w:r w:rsidRPr="009E5389">
        <w:rPr>
          <w:bCs/>
          <w:i/>
          <w:vertAlign w:val="subscript"/>
          <w:lang w:val="it-IT"/>
        </w:rPr>
        <w:t>q,r,i</w:t>
      </w:r>
      <w:r w:rsidRPr="009E5389">
        <w:rPr>
          <w:bCs/>
          <w:iCs/>
          <w:lang w:val="it-IT"/>
        </w:rPr>
        <w:t xml:space="preserve"> </w:t>
      </w:r>
      <w:r w:rsidRPr="009E5389">
        <w:rPr>
          <w:bCs/>
          <w:iCs/>
          <w:lang w:val="it-IT"/>
        </w:rPr>
        <w:tab/>
        <w:t xml:space="preserve">= </w:t>
      </w:r>
      <w:r w:rsidRPr="009E5389">
        <w:rPr>
          <w:bCs/>
          <w:iCs/>
          <w:lang w:val="it-IT"/>
        </w:rPr>
        <w:tab/>
        <w:t xml:space="preserve">MECAP </w:t>
      </w:r>
      <w:r w:rsidRPr="009E5389">
        <w:rPr>
          <w:bCs/>
          <w:i/>
          <w:vertAlign w:val="subscript"/>
          <w:lang w:val="it-IT"/>
        </w:rPr>
        <w:t>q,r,i</w:t>
      </w:r>
    </w:p>
    <w:p w:rsidR="00E70A90" w:rsidRDefault="00E70A90" w:rsidP="00E70A90">
      <w:pPr>
        <w:spacing w:after="240"/>
        <w:ind w:left="720"/>
      </w:pPr>
      <w:r w:rsidRPr="009E5389">
        <w:rPr>
          <w:iCs/>
        </w:rPr>
        <w:t>If ERCOT has approved verifiable Startup Costs and minimum-energy costs for the Resource,</w:t>
      </w:r>
    </w:p>
    <w:p w:rsidR="00E70A90" w:rsidRPr="009E5389" w:rsidRDefault="00E70A90" w:rsidP="00E70A90">
      <w:pPr>
        <w:tabs>
          <w:tab w:val="left" w:pos="1440"/>
          <w:tab w:val="left" w:pos="2340"/>
        </w:tabs>
        <w:spacing w:after="240"/>
        <w:ind w:left="2880" w:hanging="2160"/>
        <w:rPr>
          <w:bCs/>
        </w:rPr>
      </w:pPr>
      <w:r w:rsidRPr="009E5389">
        <w:rPr>
          <w:bCs/>
          <w:iCs/>
        </w:rPr>
        <w:lastRenderedPageBreak/>
        <w:tab/>
        <w:t xml:space="preserve">Then, </w:t>
      </w:r>
      <w:r w:rsidRPr="009E5389">
        <w:rPr>
          <w:bCs/>
          <w:iCs/>
        </w:rPr>
        <w:tab/>
      </w:r>
      <w:r w:rsidRPr="009E5389">
        <w:rPr>
          <w:bCs/>
          <w:iCs/>
        </w:rPr>
        <w:tab/>
        <w:t xml:space="preserve">SUCAP </w:t>
      </w:r>
      <w:r w:rsidRPr="009E5389">
        <w:rPr>
          <w:bCs/>
          <w:i/>
          <w:vertAlign w:val="subscript"/>
        </w:rPr>
        <w:t>q, r, s</w:t>
      </w:r>
      <w:r w:rsidRPr="009E5389">
        <w:rPr>
          <w:bCs/>
          <w:iCs/>
        </w:rPr>
        <w:tab/>
        <w:t>=</w:t>
      </w:r>
      <w:r w:rsidRPr="009E5389">
        <w:rPr>
          <w:bCs/>
          <w:iCs/>
        </w:rPr>
        <w:tab/>
      </w:r>
      <w:r w:rsidRPr="009E5389">
        <w:rPr>
          <w:rStyle w:val="BodyTextChar"/>
        </w:rPr>
        <w:t xml:space="preserve">Max </w:t>
      </w:r>
      <w:r w:rsidRPr="009E5389">
        <w:rPr>
          <w:rStyle w:val="BodyTextChar"/>
          <w:vertAlign w:val="subscript"/>
        </w:rPr>
        <w:t>c</w:t>
      </w:r>
      <w:r w:rsidRPr="009E5389">
        <w:rPr>
          <w:lang w:val="pt-BR"/>
        </w:rPr>
        <w:t xml:space="preserve"> (AGRRATIO</w:t>
      </w:r>
      <w:r w:rsidRPr="009E5389">
        <w:rPr>
          <w:i/>
          <w:vertAlign w:val="subscript"/>
          <w:lang w:val="pt-BR"/>
        </w:rPr>
        <w:t xml:space="preserve"> q, p, </w:t>
      </w:r>
      <w:proofErr w:type="gramStart"/>
      <w:r w:rsidRPr="009E5389">
        <w:rPr>
          <w:i/>
          <w:vertAlign w:val="subscript"/>
          <w:lang w:val="pt-BR"/>
        </w:rPr>
        <w:t>r</w:t>
      </w:r>
      <w:r w:rsidRPr="009E5389">
        <w:rPr>
          <w:rStyle w:val="BodyTextChar"/>
        </w:rPr>
        <w:t xml:space="preserve"> )</w:t>
      </w:r>
      <w:proofErr w:type="gramEnd"/>
      <w:r w:rsidRPr="009E5389">
        <w:rPr>
          <w:rStyle w:val="BodyTextChar"/>
        </w:rPr>
        <w:t xml:space="preserve"> * </w:t>
      </w:r>
      <w:r w:rsidRPr="009E5389">
        <w:rPr>
          <w:bCs/>
          <w:iCs/>
        </w:rPr>
        <w:t xml:space="preserve">verifiable Startup Costs </w:t>
      </w:r>
      <w:r w:rsidRPr="009E5389">
        <w:rPr>
          <w:bCs/>
          <w:i/>
          <w:vertAlign w:val="subscript"/>
        </w:rPr>
        <w:t>q, r, s</w:t>
      </w:r>
    </w:p>
    <w:p w:rsidR="00E70A90" w:rsidRPr="009E5389" w:rsidRDefault="00E70A90" w:rsidP="00E70A90">
      <w:pPr>
        <w:tabs>
          <w:tab w:val="left" w:pos="1440"/>
          <w:tab w:val="left" w:pos="2340"/>
        </w:tabs>
        <w:spacing w:after="240"/>
        <w:ind w:left="720"/>
        <w:rPr>
          <w:bCs/>
          <w:i/>
          <w:vertAlign w:val="subscript"/>
        </w:rPr>
      </w:pPr>
      <w:r w:rsidRPr="009E5389">
        <w:rPr>
          <w:bCs/>
          <w:iCs/>
        </w:rPr>
        <w:tab/>
      </w:r>
      <w:r w:rsidRPr="009E5389">
        <w:rPr>
          <w:bCs/>
          <w:iCs/>
        </w:rPr>
        <w:tab/>
      </w:r>
      <w:r w:rsidRPr="009E5389">
        <w:rPr>
          <w:bCs/>
          <w:iCs/>
        </w:rPr>
        <w:tab/>
        <w:t xml:space="preserve">MECAP </w:t>
      </w:r>
      <w:proofErr w:type="spellStart"/>
      <w:r w:rsidRPr="009E5389">
        <w:rPr>
          <w:bCs/>
          <w:i/>
          <w:vertAlign w:val="subscript"/>
        </w:rPr>
        <w:t>q</w:t>
      </w:r>
      <w:proofErr w:type="gramStart"/>
      <w:r w:rsidRPr="009E5389">
        <w:rPr>
          <w:bCs/>
          <w:i/>
          <w:vertAlign w:val="subscript"/>
        </w:rPr>
        <w:t>,r,i</w:t>
      </w:r>
      <w:proofErr w:type="spellEnd"/>
      <w:proofErr w:type="gramEnd"/>
      <w:r w:rsidRPr="009E5389">
        <w:rPr>
          <w:bCs/>
          <w:iCs/>
        </w:rPr>
        <w:tab/>
        <w:t>=</w:t>
      </w:r>
      <w:r w:rsidRPr="009E5389">
        <w:rPr>
          <w:bCs/>
          <w:iCs/>
        </w:rPr>
        <w:tab/>
        <w:t xml:space="preserve">verifiable minimum-energy costs </w:t>
      </w:r>
      <w:r w:rsidRPr="009E5389">
        <w:rPr>
          <w:bCs/>
          <w:i/>
          <w:vertAlign w:val="subscript"/>
        </w:rPr>
        <w:t xml:space="preserve">q, r, </w:t>
      </w:r>
      <w:proofErr w:type="spellStart"/>
      <w:r w:rsidRPr="009E5389">
        <w:rPr>
          <w:bCs/>
          <w:i/>
          <w:vertAlign w:val="subscript"/>
        </w:rPr>
        <w:t>i</w:t>
      </w:r>
      <w:proofErr w:type="spellEnd"/>
    </w:p>
    <w:p w:rsidR="00E70A90" w:rsidRPr="009E5389" w:rsidRDefault="00E70A90" w:rsidP="00E70A90">
      <w:pPr>
        <w:tabs>
          <w:tab w:val="left" w:pos="1440"/>
          <w:tab w:val="left" w:pos="2340"/>
        </w:tabs>
        <w:spacing w:after="240"/>
        <w:ind w:left="720"/>
        <w:rPr>
          <w:bCs/>
        </w:rPr>
      </w:pPr>
      <w:r w:rsidRPr="009E5389">
        <w:rPr>
          <w:bCs/>
          <w:iCs/>
        </w:rPr>
        <w:tab/>
        <w:t xml:space="preserve">Where, </w:t>
      </w:r>
      <w:r w:rsidRPr="009E5389">
        <w:rPr>
          <w:bCs/>
          <w:iCs/>
        </w:rPr>
        <w:tab/>
      </w:r>
      <w:r w:rsidRPr="009E5389">
        <w:rPr>
          <w:bCs/>
          <w:iCs/>
        </w:rPr>
        <w:tab/>
        <w:t xml:space="preserve">AGRRATIO </w:t>
      </w:r>
      <w:proofErr w:type="spellStart"/>
      <w:r w:rsidRPr="009E5389">
        <w:rPr>
          <w:bCs/>
          <w:i/>
          <w:vertAlign w:val="subscript"/>
        </w:rPr>
        <w:t>q</w:t>
      </w:r>
      <w:proofErr w:type="gramStart"/>
      <w:r w:rsidRPr="009E5389">
        <w:rPr>
          <w:bCs/>
          <w:i/>
          <w:vertAlign w:val="subscript"/>
        </w:rPr>
        <w:t>,p,r</w:t>
      </w:r>
      <w:proofErr w:type="spellEnd"/>
      <w:proofErr w:type="gramEnd"/>
      <w:r w:rsidRPr="009E5389">
        <w:rPr>
          <w:bCs/>
          <w:i/>
          <w:vertAlign w:val="subscript"/>
        </w:rPr>
        <w:tab/>
        <w:t xml:space="preserve"> </w:t>
      </w:r>
      <w:r w:rsidRPr="009E5389">
        <w:rPr>
          <w:lang w:val="pt-BR"/>
        </w:rPr>
        <w:t>=</w:t>
      </w:r>
      <w:r w:rsidRPr="009E5389">
        <w:rPr>
          <w:lang w:val="pt-BR"/>
        </w:rPr>
        <w:tab/>
        <w:t>AGRMAXON</w:t>
      </w:r>
      <w:r w:rsidRPr="009E5389">
        <w:rPr>
          <w:i/>
          <w:vertAlign w:val="subscript"/>
          <w:lang w:val="pt-BR"/>
        </w:rPr>
        <w:t xml:space="preserve"> q, p, r</w:t>
      </w:r>
      <w:r w:rsidRPr="009E5389">
        <w:rPr>
          <w:lang w:val="pt-BR"/>
        </w:rPr>
        <w:t xml:space="preserve"> / AGRTOT</w:t>
      </w:r>
      <w:r w:rsidRPr="009E5389">
        <w:rPr>
          <w:i/>
          <w:vertAlign w:val="subscript"/>
          <w:lang w:val="pt-BR"/>
        </w:rPr>
        <w:t xml:space="preserve"> q, p, r</w:t>
      </w:r>
    </w:p>
    <w:p w:rsidR="00E70A90" w:rsidRPr="009E5389" w:rsidRDefault="00E70A90" w:rsidP="00E70A90">
      <w:pPr>
        <w:tabs>
          <w:tab w:val="left" w:pos="1440"/>
          <w:tab w:val="left" w:pos="2340"/>
        </w:tabs>
        <w:spacing w:after="240"/>
        <w:ind w:left="720"/>
        <w:rPr>
          <w:bCs/>
        </w:rPr>
      </w:pPr>
      <w:r w:rsidRPr="009E5389">
        <w:rPr>
          <w:bCs/>
          <w:iCs/>
        </w:rPr>
        <w:tab/>
        <w:t xml:space="preserve">Otherwise, </w:t>
      </w:r>
      <w:r w:rsidRPr="009E5389">
        <w:rPr>
          <w:bCs/>
          <w:iCs/>
        </w:rPr>
        <w:tab/>
        <w:t xml:space="preserve">SUCAP </w:t>
      </w:r>
      <w:r w:rsidRPr="009E5389">
        <w:rPr>
          <w:bCs/>
          <w:i/>
          <w:vertAlign w:val="subscript"/>
        </w:rPr>
        <w:t>q, r, s</w:t>
      </w:r>
      <w:r w:rsidRPr="009E5389">
        <w:rPr>
          <w:bCs/>
          <w:iCs/>
        </w:rPr>
        <w:t xml:space="preserve"> </w:t>
      </w:r>
      <w:r w:rsidRPr="009E5389">
        <w:rPr>
          <w:bCs/>
          <w:iCs/>
        </w:rPr>
        <w:tab/>
        <w:t xml:space="preserve">= </w:t>
      </w:r>
      <w:r w:rsidRPr="009E5389">
        <w:rPr>
          <w:bCs/>
          <w:iCs/>
        </w:rPr>
        <w:tab/>
      </w:r>
      <w:r w:rsidRPr="009E5389">
        <w:rPr>
          <w:rStyle w:val="BodyTextChar"/>
        </w:rPr>
        <w:t xml:space="preserve">Max </w:t>
      </w:r>
      <w:r w:rsidRPr="009E5389">
        <w:rPr>
          <w:rStyle w:val="BodyTextChar"/>
          <w:vertAlign w:val="subscript"/>
        </w:rPr>
        <w:t>c</w:t>
      </w:r>
      <w:r w:rsidRPr="009E5389">
        <w:rPr>
          <w:lang w:val="pt-BR"/>
        </w:rPr>
        <w:t xml:space="preserve"> (AGRRATIO</w:t>
      </w:r>
      <w:r w:rsidRPr="009E5389">
        <w:rPr>
          <w:i/>
          <w:vertAlign w:val="subscript"/>
          <w:lang w:val="pt-BR"/>
        </w:rPr>
        <w:t xml:space="preserve"> q, p, r</w:t>
      </w:r>
      <w:r w:rsidRPr="009E5389">
        <w:rPr>
          <w:rStyle w:val="BodyTextChar"/>
        </w:rPr>
        <w:t xml:space="preserve">) * </w:t>
      </w:r>
      <w:r w:rsidRPr="009E5389">
        <w:rPr>
          <w:bCs/>
          <w:iCs/>
        </w:rPr>
        <w:t xml:space="preserve">RCGSC </w:t>
      </w:r>
      <w:r w:rsidRPr="009E5389">
        <w:rPr>
          <w:bCs/>
          <w:i/>
          <w:vertAlign w:val="subscript"/>
        </w:rPr>
        <w:t>s</w:t>
      </w:r>
    </w:p>
    <w:p w:rsidR="00E70A90" w:rsidRPr="009E5389" w:rsidRDefault="00E70A90" w:rsidP="00E70A90">
      <w:pPr>
        <w:tabs>
          <w:tab w:val="left" w:pos="1440"/>
          <w:tab w:val="left" w:pos="2340"/>
        </w:tabs>
        <w:spacing w:after="240"/>
        <w:ind w:left="720"/>
        <w:rPr>
          <w:bCs/>
          <w:i/>
          <w:vertAlign w:val="subscript"/>
        </w:rPr>
      </w:pPr>
      <w:r w:rsidRPr="009E5389">
        <w:rPr>
          <w:bCs/>
          <w:iCs/>
        </w:rPr>
        <w:tab/>
      </w:r>
      <w:r w:rsidRPr="009E5389">
        <w:rPr>
          <w:bCs/>
          <w:iCs/>
        </w:rPr>
        <w:tab/>
      </w:r>
      <w:r w:rsidRPr="009E5389">
        <w:rPr>
          <w:bCs/>
          <w:iCs/>
        </w:rPr>
        <w:tab/>
        <w:t xml:space="preserve">MECAP </w:t>
      </w:r>
      <w:r w:rsidRPr="009E5389">
        <w:rPr>
          <w:bCs/>
          <w:i/>
          <w:vertAlign w:val="subscript"/>
        </w:rPr>
        <w:t xml:space="preserve">q, r, </w:t>
      </w:r>
      <w:proofErr w:type="spellStart"/>
      <w:r w:rsidRPr="009E5389">
        <w:rPr>
          <w:bCs/>
          <w:i/>
          <w:vertAlign w:val="subscript"/>
        </w:rPr>
        <w:t>i</w:t>
      </w:r>
      <w:proofErr w:type="spellEnd"/>
      <w:r w:rsidRPr="009E5389">
        <w:rPr>
          <w:bCs/>
          <w:iCs/>
        </w:rPr>
        <w:tab/>
        <w:t xml:space="preserve">= </w:t>
      </w:r>
      <w:r w:rsidRPr="009E5389">
        <w:rPr>
          <w:bCs/>
          <w:iCs/>
        </w:rPr>
        <w:tab/>
        <w:t xml:space="preserve">RCGMEC </w:t>
      </w:r>
      <w:proofErr w:type="spellStart"/>
      <w:r w:rsidRPr="009E5389">
        <w:rPr>
          <w:bCs/>
          <w:i/>
          <w:vertAlign w:val="subscript"/>
        </w:rPr>
        <w:t>i</w:t>
      </w:r>
      <w:proofErr w:type="spellEnd"/>
    </w:p>
    <w:p w:rsidR="00E70A90" w:rsidRDefault="00E70A90" w:rsidP="00E70A90">
      <w:pPr>
        <w:pStyle w:val="BodyText"/>
        <w:spacing w:after="0"/>
        <w:rPr>
          <w:rStyle w:val="BodyTextChar"/>
          <w:bCs/>
          <w:iCs/>
          <w:szCs w:val="24"/>
        </w:rPr>
      </w:pPr>
      <w:r>
        <w:rPr>
          <w:rStyle w:val="BodyTextCha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70A90" w:rsidTr="0077576A">
        <w:trPr>
          <w:cantSplit/>
          <w:tblHeader/>
        </w:trPr>
        <w:tc>
          <w:tcPr>
            <w:tcW w:w="949" w:type="pct"/>
          </w:tcPr>
          <w:p w:rsidR="00E70A90" w:rsidRPr="003A4C46" w:rsidRDefault="00E70A90" w:rsidP="0077576A">
            <w:pPr>
              <w:pStyle w:val="TableHead"/>
            </w:pPr>
            <w:r w:rsidRPr="003A4C46">
              <w:t>Variable</w:t>
            </w:r>
          </w:p>
        </w:tc>
        <w:tc>
          <w:tcPr>
            <w:tcW w:w="448" w:type="pct"/>
          </w:tcPr>
          <w:p w:rsidR="00E70A90" w:rsidRDefault="00E70A90" w:rsidP="0077576A">
            <w:pPr>
              <w:pStyle w:val="TableHead"/>
            </w:pPr>
            <w:r>
              <w:t>Unit</w:t>
            </w:r>
          </w:p>
        </w:tc>
        <w:tc>
          <w:tcPr>
            <w:tcW w:w="3603" w:type="pct"/>
          </w:tcPr>
          <w:p w:rsidR="00E70A90" w:rsidRDefault="00E70A90" w:rsidP="0077576A">
            <w:pPr>
              <w:pStyle w:val="TableHead"/>
            </w:pPr>
            <w:r>
              <w:t>Definition</w:t>
            </w:r>
          </w:p>
        </w:tc>
      </w:tr>
      <w:tr w:rsidR="00E70A90" w:rsidTr="0077576A">
        <w:trPr>
          <w:cantSplit/>
        </w:trPr>
        <w:tc>
          <w:tcPr>
            <w:tcW w:w="949" w:type="pct"/>
          </w:tcPr>
          <w:p w:rsidR="00E70A90" w:rsidRPr="003A4C46" w:rsidRDefault="00E70A90" w:rsidP="0077576A">
            <w:pPr>
              <w:pStyle w:val="TableBody"/>
            </w:pPr>
            <w:proofErr w:type="spellStart"/>
            <w:r w:rsidRPr="003A4C46">
              <w:t>RUCG</w:t>
            </w:r>
            <w:r w:rsidRPr="003667DB">
              <w:rPr>
                <w:i/>
                <w:vertAlign w:val="subscript"/>
              </w:rPr>
              <w:t>q,r,d</w:t>
            </w:r>
            <w:proofErr w:type="spellEnd"/>
          </w:p>
        </w:tc>
        <w:tc>
          <w:tcPr>
            <w:tcW w:w="448" w:type="pct"/>
          </w:tcPr>
          <w:p w:rsidR="00E70A90" w:rsidRDefault="00E70A90" w:rsidP="0077576A">
            <w:pPr>
              <w:pStyle w:val="TableBody"/>
              <w:jc w:val="center"/>
            </w:pPr>
            <w:r>
              <w:t>$</w:t>
            </w:r>
          </w:p>
        </w:tc>
        <w:tc>
          <w:tcPr>
            <w:tcW w:w="3603" w:type="pct"/>
          </w:tcPr>
          <w:p w:rsidR="00E70A90" w:rsidRDefault="00E70A90" w:rsidP="0077576A">
            <w:pPr>
              <w:pStyle w:val="TableBody"/>
            </w:pPr>
            <w:r w:rsidRPr="00B34C5D">
              <w:rPr>
                <w:i/>
              </w:rPr>
              <w:t>RUC Guarantee</w:t>
            </w:r>
            <w:r>
              <w:t xml:space="preserve">—The sum of eligible Startup Costs and minimum-energy costs for Resource </w:t>
            </w:r>
            <w:r>
              <w:rPr>
                <w:i/>
              </w:rPr>
              <w:t xml:space="preserve">r </w:t>
            </w:r>
            <w:r w:rsidRPr="00F126DF">
              <w:t>during</w:t>
            </w:r>
            <w:r>
              <w:t xml:space="preserve"> all RUC-Committed Hours, for the Operating Day.  When one or more Combined Cycle Generation Resources are committed by RUC, guaranteed costs are calculated for the Combined Cycle Train for all RUC-committed Combined Cycle Generation Resources.</w:t>
            </w:r>
          </w:p>
        </w:tc>
      </w:tr>
      <w:tr w:rsidR="00E70A90" w:rsidTr="0077576A">
        <w:trPr>
          <w:cantSplit/>
        </w:trPr>
        <w:tc>
          <w:tcPr>
            <w:tcW w:w="949" w:type="pct"/>
          </w:tcPr>
          <w:p w:rsidR="00E70A90" w:rsidRPr="003A4C46" w:rsidRDefault="00E70A90" w:rsidP="0077576A">
            <w:pPr>
              <w:pStyle w:val="TableBody"/>
            </w:pPr>
            <w:proofErr w:type="spellStart"/>
            <w:r w:rsidRPr="003A4C46">
              <w:t>SUPR</w:t>
            </w:r>
            <w:r w:rsidRPr="003667DB">
              <w:rPr>
                <w:i/>
                <w:vertAlign w:val="subscript"/>
              </w:rPr>
              <w:t>q,r,s</w:t>
            </w:r>
            <w:proofErr w:type="spellEnd"/>
          </w:p>
        </w:tc>
        <w:tc>
          <w:tcPr>
            <w:tcW w:w="448" w:type="pct"/>
          </w:tcPr>
          <w:p w:rsidR="00E70A90" w:rsidRDefault="00E70A90" w:rsidP="0077576A">
            <w:pPr>
              <w:pStyle w:val="TableBody"/>
              <w:jc w:val="center"/>
            </w:pPr>
            <w:r>
              <w:t>$/Start</w:t>
            </w:r>
          </w:p>
        </w:tc>
        <w:tc>
          <w:tcPr>
            <w:tcW w:w="3603" w:type="pct"/>
          </w:tcPr>
          <w:p w:rsidR="00E70A90" w:rsidRDefault="00E70A90" w:rsidP="0077576A">
            <w:pPr>
              <w:pStyle w:val="TableBody"/>
            </w:pPr>
            <w:r w:rsidRPr="00B34C5D">
              <w:rPr>
                <w:i/>
              </w:rPr>
              <w:t>Startup Price per start</w:t>
            </w:r>
            <w:r>
              <w:t xml:space="preserve">—The Settlement price for Resource </w:t>
            </w:r>
            <w:r>
              <w:rPr>
                <w:i/>
              </w:rPr>
              <w:t xml:space="preserve">r </w:t>
            </w:r>
            <w:r w:rsidRPr="00F126DF">
              <w:t>for</w:t>
            </w:r>
            <w:r>
              <w:t xml:space="preserve"> the start </w:t>
            </w:r>
            <w:r w:rsidRPr="00B34C5D">
              <w:rPr>
                <w:i/>
              </w:rPr>
              <w:t>s</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E70A90" w:rsidTr="0077576A">
        <w:trPr>
          <w:cantSplit/>
        </w:trPr>
        <w:tc>
          <w:tcPr>
            <w:tcW w:w="949" w:type="pct"/>
          </w:tcPr>
          <w:p w:rsidR="00E70A90" w:rsidRPr="003A4C46" w:rsidRDefault="00E70A90" w:rsidP="0077576A">
            <w:pPr>
              <w:pStyle w:val="TableBody"/>
            </w:pPr>
            <w:proofErr w:type="spellStart"/>
            <w:r w:rsidRPr="003A4C46">
              <w:t>SUO</w:t>
            </w:r>
            <w:r w:rsidRPr="003667DB">
              <w:rPr>
                <w:i/>
                <w:vertAlign w:val="subscript"/>
              </w:rPr>
              <w:t>q,r,s</w:t>
            </w:r>
            <w:proofErr w:type="spellEnd"/>
          </w:p>
        </w:tc>
        <w:tc>
          <w:tcPr>
            <w:tcW w:w="448" w:type="pct"/>
          </w:tcPr>
          <w:p w:rsidR="00E70A90" w:rsidRDefault="00E70A90" w:rsidP="0077576A">
            <w:pPr>
              <w:pStyle w:val="TableBody"/>
              <w:jc w:val="center"/>
            </w:pPr>
            <w:r>
              <w:t>$/Start</w:t>
            </w:r>
          </w:p>
        </w:tc>
        <w:tc>
          <w:tcPr>
            <w:tcW w:w="3603" w:type="pct"/>
          </w:tcPr>
          <w:p w:rsidR="00E70A90" w:rsidRDefault="00E70A90" w:rsidP="0077576A">
            <w:pPr>
              <w:pStyle w:val="TableBody"/>
            </w:pPr>
            <w:r w:rsidRPr="00B34C5D">
              <w:rPr>
                <w:i/>
              </w:rPr>
              <w:t>Startup Offer per start</w:t>
            </w:r>
            <w:r>
              <w:t xml:space="preserve">—Represents an offer for all costs incurred by Generation Resource </w:t>
            </w:r>
            <w:r>
              <w:rPr>
                <w:i/>
              </w:rPr>
              <w:t>r</w:t>
            </w:r>
            <w:r>
              <w:t xml:space="preserve"> in starting up and reaching the Resource’s LSL, minus the average energy produced during the time period between breaker close and LSL multiplied by the heat rate proxy multiplied by the appropriate Fuel Index Price (FIP) or Fuel Oil Price (FOP), as described in the Verifiable Cost Manual.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E70A90" w:rsidTr="0077576A">
        <w:trPr>
          <w:cantSplit/>
        </w:trPr>
        <w:tc>
          <w:tcPr>
            <w:tcW w:w="949" w:type="pct"/>
          </w:tcPr>
          <w:p w:rsidR="00E70A90" w:rsidRPr="003A4C46" w:rsidRDefault="00E70A90" w:rsidP="0077576A">
            <w:pPr>
              <w:pStyle w:val="TableBody"/>
            </w:pPr>
            <w:proofErr w:type="spellStart"/>
            <w:r w:rsidRPr="003A4C46">
              <w:t>SUCAP</w:t>
            </w:r>
            <w:r w:rsidRPr="003667DB">
              <w:rPr>
                <w:i/>
                <w:vertAlign w:val="subscript"/>
              </w:rPr>
              <w:t>q,r,s</w:t>
            </w:r>
            <w:proofErr w:type="spellEnd"/>
          </w:p>
        </w:tc>
        <w:tc>
          <w:tcPr>
            <w:tcW w:w="448" w:type="pct"/>
          </w:tcPr>
          <w:p w:rsidR="00E70A90" w:rsidRDefault="00E70A90" w:rsidP="0077576A">
            <w:pPr>
              <w:pStyle w:val="TableBody"/>
              <w:jc w:val="center"/>
            </w:pPr>
            <w:r>
              <w:t>$/Start</w:t>
            </w:r>
          </w:p>
        </w:tc>
        <w:tc>
          <w:tcPr>
            <w:tcW w:w="3603" w:type="pct"/>
          </w:tcPr>
          <w:p w:rsidR="00E70A90" w:rsidRPr="00B34C5D" w:rsidRDefault="00E70A90" w:rsidP="0077576A">
            <w:pPr>
              <w:pStyle w:val="TableBody"/>
              <w:rPr>
                <w:i/>
              </w:rPr>
            </w:pPr>
            <w:r w:rsidRPr="00B34C5D">
              <w:rPr>
                <w:i/>
              </w:rPr>
              <w:t>Startup Cap</w:t>
            </w:r>
            <w:r>
              <w:t xml:space="preserve">—The amount used for Resource </w:t>
            </w:r>
            <w:r>
              <w:rPr>
                <w:i/>
              </w:rPr>
              <w:t xml:space="preserve">r </w:t>
            </w:r>
            <w:r>
              <w:t xml:space="preserve">as Startup Costs if the QSE did not submit a validated Three-Part Supply Offer.  The cap is the RCGSC unless ERCOT has approved verifiable unit-specific Startup Costs for that Resource, in which case the startup cap is the verifiable unit-specific Startup Cost.  See Section 5.6.1, Verifiable Costs, for more information on verifiable costs.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E70A90" w:rsidRPr="009E5389" w:rsidTr="0077576A">
        <w:trPr>
          <w:cantSplit/>
        </w:trPr>
        <w:tc>
          <w:tcPr>
            <w:tcW w:w="949" w:type="pct"/>
          </w:tcPr>
          <w:p w:rsidR="00E70A90" w:rsidRPr="009E5389" w:rsidRDefault="00E70A90" w:rsidP="0077576A">
            <w:pPr>
              <w:spacing w:after="60"/>
              <w:rPr>
                <w:iCs/>
                <w:sz w:val="20"/>
              </w:rPr>
            </w:pPr>
            <w:r w:rsidRPr="009E5389">
              <w:rPr>
                <w:iCs/>
                <w:sz w:val="20"/>
              </w:rPr>
              <w:t>AGRRATIO</w:t>
            </w:r>
            <w:r w:rsidRPr="009E5389">
              <w:rPr>
                <w:i/>
                <w:iCs/>
                <w:sz w:val="20"/>
                <w:vertAlign w:val="subscript"/>
              </w:rPr>
              <w:t xml:space="preserve"> q, p, r</w:t>
            </w:r>
          </w:p>
        </w:tc>
        <w:tc>
          <w:tcPr>
            <w:tcW w:w="448" w:type="pct"/>
          </w:tcPr>
          <w:p w:rsidR="00E70A90" w:rsidRPr="009E5389" w:rsidRDefault="00E70A90" w:rsidP="0077576A">
            <w:pPr>
              <w:spacing w:after="60"/>
              <w:jc w:val="center"/>
              <w:rPr>
                <w:iCs/>
                <w:sz w:val="20"/>
              </w:rPr>
            </w:pPr>
            <w:r w:rsidRPr="009E5389">
              <w:rPr>
                <w:iCs/>
                <w:sz w:val="20"/>
              </w:rPr>
              <w:t>none</w:t>
            </w:r>
          </w:p>
        </w:tc>
        <w:tc>
          <w:tcPr>
            <w:tcW w:w="3603" w:type="pct"/>
          </w:tcPr>
          <w:p w:rsidR="00E70A90" w:rsidRPr="009E5389" w:rsidRDefault="00E70A90" w:rsidP="0077576A">
            <w:pPr>
              <w:spacing w:after="60"/>
              <w:rPr>
                <w:i/>
                <w:iCs/>
                <w:sz w:val="20"/>
              </w:rPr>
            </w:pPr>
            <w:r w:rsidRPr="009E5389">
              <w:rPr>
                <w:i/>
                <w:iCs/>
                <w:sz w:val="20"/>
              </w:rPr>
              <w:t>Aggregate Generation Resource Ratio per QSE per Settlement Point per Aggregate Generation Resource</w:t>
            </w:r>
            <w:r>
              <w:t>—</w:t>
            </w:r>
            <w:r w:rsidRPr="009E5389">
              <w:rPr>
                <w:iCs/>
                <w:sz w:val="20"/>
              </w:rPr>
              <w:t xml:space="preserve">A value which represents the ratio of the maximum number of generators online during an hour, as indicated by telemetry, compared to the total number of generators registered to the AGR and used in the approved verifiable cost for the AGR. </w:t>
            </w:r>
            <w:r>
              <w:rPr>
                <w:iCs/>
                <w:sz w:val="20"/>
              </w:rPr>
              <w:t xml:space="preserve"> </w:t>
            </w:r>
            <w:r w:rsidRPr="009E5389">
              <w:rPr>
                <w:iCs/>
                <w:sz w:val="20"/>
              </w:rPr>
              <w:t>The value is only applicable if the Resource is an AGR.</w:t>
            </w:r>
          </w:p>
        </w:tc>
      </w:tr>
      <w:tr w:rsidR="00E70A90" w:rsidRPr="009E5389" w:rsidTr="0077576A">
        <w:trPr>
          <w:cantSplit/>
        </w:trPr>
        <w:tc>
          <w:tcPr>
            <w:tcW w:w="949" w:type="pct"/>
          </w:tcPr>
          <w:p w:rsidR="00E70A90" w:rsidRPr="009E5389" w:rsidRDefault="00E70A90" w:rsidP="0077576A">
            <w:pPr>
              <w:spacing w:after="60"/>
              <w:rPr>
                <w:iCs/>
                <w:sz w:val="20"/>
              </w:rPr>
            </w:pPr>
            <w:r w:rsidRPr="009E5389">
              <w:rPr>
                <w:iCs/>
                <w:sz w:val="20"/>
              </w:rPr>
              <w:t xml:space="preserve">AGRMAXON </w:t>
            </w:r>
            <w:r w:rsidRPr="009E5389">
              <w:rPr>
                <w:i/>
                <w:iCs/>
                <w:sz w:val="20"/>
                <w:vertAlign w:val="subscript"/>
              </w:rPr>
              <w:t>q, p, r</w:t>
            </w:r>
          </w:p>
        </w:tc>
        <w:tc>
          <w:tcPr>
            <w:tcW w:w="448" w:type="pct"/>
          </w:tcPr>
          <w:p w:rsidR="00E70A90" w:rsidRPr="009E5389" w:rsidRDefault="00E70A90" w:rsidP="0077576A">
            <w:pPr>
              <w:spacing w:after="60"/>
              <w:jc w:val="center"/>
              <w:rPr>
                <w:iCs/>
                <w:sz w:val="20"/>
              </w:rPr>
            </w:pPr>
            <w:r w:rsidRPr="009E5389">
              <w:rPr>
                <w:iCs/>
                <w:sz w:val="20"/>
              </w:rPr>
              <w:t>none</w:t>
            </w:r>
          </w:p>
        </w:tc>
        <w:tc>
          <w:tcPr>
            <w:tcW w:w="3603" w:type="pct"/>
          </w:tcPr>
          <w:p w:rsidR="00E70A90" w:rsidRPr="009E5389" w:rsidRDefault="00E70A90" w:rsidP="0077576A">
            <w:pPr>
              <w:spacing w:after="60"/>
              <w:rPr>
                <w:i/>
                <w:iCs/>
                <w:sz w:val="20"/>
              </w:rPr>
            </w:pPr>
            <w:r w:rsidRPr="009E5389">
              <w:rPr>
                <w:i/>
                <w:iCs/>
                <w:sz w:val="20"/>
              </w:rPr>
              <w:t>Aggregate Generation Resource Maximum Online per QSE per Settlement Point per Aggregate Generation Resource</w:t>
            </w:r>
            <w:r>
              <w:t>—</w:t>
            </w:r>
            <w:r w:rsidRPr="009E5389">
              <w:rPr>
                <w:iCs/>
                <w:sz w:val="20"/>
              </w:rPr>
              <w:t xml:space="preserve">The maximum number of generators online during an hour, as indicated by telemetry. </w:t>
            </w:r>
            <w:r>
              <w:rPr>
                <w:iCs/>
                <w:sz w:val="20"/>
              </w:rPr>
              <w:t xml:space="preserve"> </w:t>
            </w:r>
            <w:r w:rsidRPr="009E5389">
              <w:rPr>
                <w:iCs/>
                <w:sz w:val="20"/>
              </w:rPr>
              <w:t>The value is only applicable if the Resource is an AGR.</w:t>
            </w:r>
          </w:p>
        </w:tc>
      </w:tr>
      <w:tr w:rsidR="00E70A90" w:rsidRPr="009E5389" w:rsidTr="0077576A">
        <w:trPr>
          <w:cantSplit/>
        </w:trPr>
        <w:tc>
          <w:tcPr>
            <w:tcW w:w="949" w:type="pct"/>
          </w:tcPr>
          <w:p w:rsidR="00E70A90" w:rsidRPr="009E5389" w:rsidRDefault="00E70A90" w:rsidP="0077576A">
            <w:pPr>
              <w:spacing w:after="60"/>
              <w:rPr>
                <w:iCs/>
                <w:sz w:val="20"/>
              </w:rPr>
            </w:pPr>
            <w:r w:rsidRPr="009E5389">
              <w:rPr>
                <w:iCs/>
                <w:sz w:val="20"/>
              </w:rPr>
              <w:t>AGRTOT</w:t>
            </w:r>
            <w:r w:rsidRPr="009E5389">
              <w:rPr>
                <w:i/>
                <w:iCs/>
                <w:sz w:val="20"/>
                <w:vertAlign w:val="subscript"/>
              </w:rPr>
              <w:t xml:space="preserve"> q, p, r</w:t>
            </w:r>
          </w:p>
        </w:tc>
        <w:tc>
          <w:tcPr>
            <w:tcW w:w="448" w:type="pct"/>
          </w:tcPr>
          <w:p w:rsidR="00E70A90" w:rsidRPr="009E5389" w:rsidRDefault="00E70A90" w:rsidP="0077576A">
            <w:pPr>
              <w:spacing w:after="60"/>
              <w:jc w:val="center"/>
              <w:rPr>
                <w:iCs/>
                <w:sz w:val="20"/>
              </w:rPr>
            </w:pPr>
            <w:r w:rsidRPr="009E5389">
              <w:rPr>
                <w:iCs/>
                <w:sz w:val="20"/>
              </w:rPr>
              <w:t>none</w:t>
            </w:r>
          </w:p>
        </w:tc>
        <w:tc>
          <w:tcPr>
            <w:tcW w:w="3603" w:type="pct"/>
          </w:tcPr>
          <w:p w:rsidR="00E70A90" w:rsidRPr="009E5389" w:rsidRDefault="00E70A90" w:rsidP="0077576A">
            <w:pPr>
              <w:spacing w:after="60"/>
              <w:rPr>
                <w:i/>
                <w:iCs/>
                <w:sz w:val="20"/>
              </w:rPr>
            </w:pPr>
            <w:r w:rsidRPr="009E5389">
              <w:rPr>
                <w:i/>
                <w:iCs/>
                <w:sz w:val="20"/>
              </w:rPr>
              <w:t>Aggregate Generation Resource Total per QSE per Settlement Point per Aggregate Generation Resource</w:t>
            </w:r>
            <w:r>
              <w:t>—</w:t>
            </w:r>
            <w:r w:rsidRPr="009E5389">
              <w:rPr>
                <w:iCs/>
                <w:sz w:val="20"/>
              </w:rPr>
              <w:t xml:space="preserve">The total number of generators registered to the AGR and used in the approved verifiable cost for the AGR. </w:t>
            </w:r>
            <w:r>
              <w:rPr>
                <w:iCs/>
                <w:sz w:val="20"/>
              </w:rPr>
              <w:t xml:space="preserve"> </w:t>
            </w:r>
            <w:r w:rsidRPr="009E5389">
              <w:rPr>
                <w:iCs/>
                <w:sz w:val="20"/>
              </w:rPr>
              <w:t>The value is only applicable if the Resource is an AGR.</w:t>
            </w:r>
          </w:p>
        </w:tc>
      </w:tr>
      <w:tr w:rsidR="00E70A90" w:rsidTr="0077576A">
        <w:trPr>
          <w:cantSplit/>
        </w:trPr>
        <w:tc>
          <w:tcPr>
            <w:tcW w:w="949" w:type="pct"/>
          </w:tcPr>
          <w:p w:rsidR="00E70A90" w:rsidRPr="003A4C46" w:rsidRDefault="00E70A90" w:rsidP="0077576A">
            <w:pPr>
              <w:pStyle w:val="TableBody"/>
            </w:pPr>
            <w:r w:rsidRPr="003A4C46">
              <w:lastRenderedPageBreak/>
              <w:t>RCGSC</w:t>
            </w:r>
            <w:r w:rsidRPr="003667DB">
              <w:rPr>
                <w:i/>
                <w:vertAlign w:val="subscript"/>
              </w:rPr>
              <w:t>s</w:t>
            </w:r>
          </w:p>
        </w:tc>
        <w:tc>
          <w:tcPr>
            <w:tcW w:w="448" w:type="pct"/>
          </w:tcPr>
          <w:p w:rsidR="00E70A90" w:rsidRDefault="00E70A90" w:rsidP="0077576A">
            <w:pPr>
              <w:pStyle w:val="TableBody"/>
              <w:jc w:val="center"/>
            </w:pPr>
            <w:r>
              <w:t>$/Start</w:t>
            </w:r>
          </w:p>
        </w:tc>
        <w:tc>
          <w:tcPr>
            <w:tcW w:w="3603" w:type="pct"/>
          </w:tcPr>
          <w:p w:rsidR="00E70A90" w:rsidRDefault="00E70A90" w:rsidP="0077576A">
            <w:pPr>
              <w:pStyle w:val="TableBody"/>
            </w:pPr>
            <w:r w:rsidRPr="00B34C5D">
              <w:rPr>
                <w:i/>
              </w:rPr>
              <w:t>Resource Category Generic Startup Cost</w:t>
            </w:r>
            <w:r>
              <w:t>—The Resource Category Generic Startup Cost cap for the category of the Resource, according to Section 4.4.9.2.3, Startup Offer and Minimum-Energy Offer Generic Caps, for the Operating Day.</w:t>
            </w:r>
          </w:p>
        </w:tc>
      </w:tr>
      <w:tr w:rsidR="00E70A90" w:rsidTr="0077576A">
        <w:trPr>
          <w:cantSplit/>
        </w:trPr>
        <w:tc>
          <w:tcPr>
            <w:tcW w:w="949" w:type="pct"/>
          </w:tcPr>
          <w:p w:rsidR="00E70A90" w:rsidRPr="003A4C46" w:rsidRDefault="00E70A90" w:rsidP="0077576A">
            <w:pPr>
              <w:pStyle w:val="TableBody"/>
            </w:pPr>
            <w:proofErr w:type="spellStart"/>
            <w:r w:rsidRPr="003A4C46">
              <w:t>RUCSUFLAG</w:t>
            </w:r>
            <w:r w:rsidRPr="003667DB">
              <w:rPr>
                <w:i/>
                <w:vertAlign w:val="subscript"/>
              </w:rPr>
              <w:t>q,r,s</w:t>
            </w:r>
            <w:proofErr w:type="spellEnd"/>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rsidRPr="00B34C5D">
              <w:rPr>
                <w:i/>
              </w:rPr>
              <w:t>RUC Startup Flag</w:t>
            </w:r>
            <w:r>
              <w:t xml:space="preserve">—The flag that indicates whether or not the start </w:t>
            </w:r>
            <w:r w:rsidRPr="00B34C5D">
              <w:rPr>
                <w:i/>
              </w:rPr>
              <w:t>s</w:t>
            </w:r>
            <w:r>
              <w:t xml:space="preserve"> for Resource </w:t>
            </w:r>
            <w:r>
              <w:rPr>
                <w:i/>
              </w:rPr>
              <w:t xml:space="preserve">r </w:t>
            </w:r>
            <w:r>
              <w:t xml:space="preserve">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5A03E7">
              <w:rPr>
                <w:i/>
              </w:rPr>
              <w:t>r</w:t>
            </w:r>
            <w: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70A90" w:rsidTr="0077576A">
        <w:trPr>
          <w:cantSplit/>
        </w:trPr>
        <w:tc>
          <w:tcPr>
            <w:tcW w:w="949" w:type="pct"/>
          </w:tcPr>
          <w:p w:rsidR="00E70A90" w:rsidRPr="003A4C46" w:rsidRDefault="00E70A90" w:rsidP="0077576A">
            <w:pPr>
              <w:pStyle w:val="TableBody"/>
            </w:pPr>
            <w:proofErr w:type="spellStart"/>
            <w:r w:rsidRPr="003A4C46">
              <w:t>MEPR</w:t>
            </w:r>
            <w:r w:rsidRPr="003667DB">
              <w:rPr>
                <w:i/>
                <w:vertAlign w:val="subscript"/>
              </w:rPr>
              <w:t>q,r,i</w:t>
            </w:r>
            <w:proofErr w:type="spellEnd"/>
          </w:p>
        </w:tc>
        <w:tc>
          <w:tcPr>
            <w:tcW w:w="448" w:type="pct"/>
          </w:tcPr>
          <w:p w:rsidR="00E70A90" w:rsidRDefault="00E70A90" w:rsidP="0077576A">
            <w:pPr>
              <w:pStyle w:val="TableBody"/>
              <w:jc w:val="center"/>
            </w:pPr>
            <w:r>
              <w:t>$/</w:t>
            </w:r>
            <w:proofErr w:type="spellStart"/>
            <w:r>
              <w:t>MWh</w:t>
            </w:r>
            <w:proofErr w:type="spellEnd"/>
          </w:p>
        </w:tc>
        <w:tc>
          <w:tcPr>
            <w:tcW w:w="3603" w:type="pct"/>
          </w:tcPr>
          <w:p w:rsidR="00E70A90" w:rsidRDefault="00E70A90" w:rsidP="0077576A">
            <w:pPr>
              <w:pStyle w:val="TableBody"/>
            </w:pPr>
            <w:r w:rsidRPr="00B34C5D">
              <w:rPr>
                <w:i/>
              </w:rPr>
              <w:t>Minimum-Energy Price</w:t>
            </w:r>
            <w:r>
              <w:t xml:space="preserve">—The Settlement price for Resource </w:t>
            </w:r>
            <w:r>
              <w:rPr>
                <w:i/>
              </w:rPr>
              <w:t xml:space="preserve">r </w:t>
            </w:r>
            <w:r w:rsidRPr="00F126DF">
              <w:t>for</w:t>
            </w:r>
            <w:r>
              <w:t xml:space="preserve"> minimum energy for the Settlement Interval </w:t>
            </w:r>
            <w:proofErr w:type="spellStart"/>
            <w:r w:rsidRPr="00B34C5D">
              <w:rPr>
                <w:i/>
              </w:rPr>
              <w:t>i</w:t>
            </w:r>
            <w:proofErr w:type="spellEnd"/>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E70A90" w:rsidTr="0077576A">
        <w:trPr>
          <w:cantSplit/>
        </w:trPr>
        <w:tc>
          <w:tcPr>
            <w:tcW w:w="949" w:type="pct"/>
          </w:tcPr>
          <w:p w:rsidR="00E70A90" w:rsidRPr="003A4C46" w:rsidRDefault="00E70A90" w:rsidP="0077576A">
            <w:pPr>
              <w:pStyle w:val="TableBody"/>
            </w:pPr>
            <w:proofErr w:type="spellStart"/>
            <w:r w:rsidRPr="003A4C46">
              <w:t>MEO</w:t>
            </w:r>
            <w:r w:rsidRPr="003667DB">
              <w:rPr>
                <w:i/>
                <w:vertAlign w:val="subscript"/>
              </w:rPr>
              <w:t>q,r,i</w:t>
            </w:r>
            <w:proofErr w:type="spellEnd"/>
          </w:p>
        </w:tc>
        <w:tc>
          <w:tcPr>
            <w:tcW w:w="448" w:type="pct"/>
          </w:tcPr>
          <w:p w:rsidR="00E70A90" w:rsidRDefault="00E70A90" w:rsidP="0077576A">
            <w:pPr>
              <w:pStyle w:val="TableBody"/>
              <w:jc w:val="center"/>
            </w:pPr>
            <w:r>
              <w:t>$/</w:t>
            </w:r>
            <w:proofErr w:type="spellStart"/>
            <w:r>
              <w:t>MWh</w:t>
            </w:r>
            <w:proofErr w:type="spellEnd"/>
          </w:p>
        </w:tc>
        <w:tc>
          <w:tcPr>
            <w:tcW w:w="3603" w:type="pct"/>
          </w:tcPr>
          <w:p w:rsidR="00E70A90" w:rsidRDefault="00E70A90" w:rsidP="0077576A">
            <w:pPr>
              <w:pStyle w:val="TableBody"/>
            </w:pPr>
            <w:r w:rsidRPr="00B34C5D">
              <w:rPr>
                <w:i/>
              </w:rPr>
              <w:t>Minimum-Energy Offer</w:t>
            </w:r>
            <w:r>
              <w:t xml:space="preserve">—Represents an offer for the costs incurred by Resource </w:t>
            </w:r>
            <w:r>
              <w:rPr>
                <w:i/>
              </w:rPr>
              <w:t>r</w:t>
            </w:r>
            <w:r>
              <w:t xml:space="preserve"> in producing energy at the Resource’s LSL for the Settlement Interval </w:t>
            </w:r>
            <w:proofErr w:type="spellStart"/>
            <w:r w:rsidRPr="00B34C5D">
              <w:rPr>
                <w:i/>
              </w:rPr>
              <w:t>i</w:t>
            </w:r>
            <w:proofErr w:type="spellEnd"/>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E70A90" w:rsidTr="0077576A">
        <w:trPr>
          <w:cantSplit/>
        </w:trPr>
        <w:tc>
          <w:tcPr>
            <w:tcW w:w="949" w:type="pct"/>
          </w:tcPr>
          <w:p w:rsidR="00E70A90" w:rsidRPr="003A4C46" w:rsidRDefault="00E70A90" w:rsidP="0077576A">
            <w:pPr>
              <w:pStyle w:val="TableBody"/>
            </w:pPr>
            <w:proofErr w:type="spellStart"/>
            <w:r w:rsidRPr="003A4C46">
              <w:t>MECAP</w:t>
            </w:r>
            <w:r w:rsidRPr="003667DB">
              <w:rPr>
                <w:i/>
                <w:vertAlign w:val="subscript"/>
              </w:rPr>
              <w:t>q,r,i</w:t>
            </w:r>
            <w:proofErr w:type="spellEnd"/>
          </w:p>
        </w:tc>
        <w:tc>
          <w:tcPr>
            <w:tcW w:w="448" w:type="pct"/>
          </w:tcPr>
          <w:p w:rsidR="00E70A90" w:rsidRDefault="00E70A90" w:rsidP="0077576A">
            <w:pPr>
              <w:pStyle w:val="TableBody"/>
              <w:jc w:val="center"/>
            </w:pPr>
            <w:r>
              <w:t>$/</w:t>
            </w:r>
            <w:proofErr w:type="spellStart"/>
            <w:r>
              <w:t>MWh</w:t>
            </w:r>
            <w:proofErr w:type="spellEnd"/>
          </w:p>
        </w:tc>
        <w:tc>
          <w:tcPr>
            <w:tcW w:w="3603" w:type="pct"/>
          </w:tcPr>
          <w:p w:rsidR="00E70A90" w:rsidRPr="00B34C5D" w:rsidRDefault="00E70A90" w:rsidP="0077576A">
            <w:pPr>
              <w:pStyle w:val="TableBody"/>
              <w:rPr>
                <w:i/>
              </w:rPr>
            </w:pPr>
            <w:r w:rsidRPr="00B34C5D">
              <w:rPr>
                <w:i/>
              </w:rPr>
              <w:t>Minimum</w:t>
            </w:r>
            <w:r>
              <w:rPr>
                <w:i/>
              </w:rPr>
              <w:t>-</w:t>
            </w:r>
            <w:r w:rsidRPr="00B34C5D">
              <w:rPr>
                <w:i/>
              </w:rPr>
              <w:t>Energy Cap</w:t>
            </w:r>
            <w:r>
              <w:t xml:space="preserve">—The amount used for Resource </w:t>
            </w:r>
            <w:r>
              <w:rPr>
                <w:i/>
              </w:rPr>
              <w:t xml:space="preserve">r </w:t>
            </w:r>
            <w:r>
              <w:t xml:space="preserve">for minimum-energy costs if the QSE did not submit a validated Three-Part Supply Offer.  The cap is the RCGMEC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E70A90" w:rsidTr="0077576A">
        <w:trPr>
          <w:cantSplit/>
        </w:trPr>
        <w:tc>
          <w:tcPr>
            <w:tcW w:w="949" w:type="pct"/>
          </w:tcPr>
          <w:p w:rsidR="00E70A90" w:rsidRPr="003A4C46" w:rsidRDefault="00E70A90" w:rsidP="0077576A">
            <w:pPr>
              <w:pStyle w:val="TableBody"/>
            </w:pPr>
            <w:proofErr w:type="spellStart"/>
            <w:r w:rsidRPr="003A4C46">
              <w:t>RCGMEC</w:t>
            </w:r>
            <w:r w:rsidRPr="003667DB">
              <w:rPr>
                <w:i/>
                <w:vertAlign w:val="subscript"/>
              </w:rPr>
              <w:t>i</w:t>
            </w:r>
            <w:proofErr w:type="spellEnd"/>
          </w:p>
        </w:tc>
        <w:tc>
          <w:tcPr>
            <w:tcW w:w="448" w:type="pct"/>
          </w:tcPr>
          <w:p w:rsidR="00E70A90" w:rsidRDefault="00E70A90" w:rsidP="0077576A">
            <w:pPr>
              <w:pStyle w:val="TableBody"/>
              <w:jc w:val="center"/>
            </w:pPr>
            <w:r>
              <w:t>$/</w:t>
            </w:r>
            <w:proofErr w:type="spellStart"/>
            <w:r>
              <w:t>MWh</w:t>
            </w:r>
            <w:proofErr w:type="spellEnd"/>
          </w:p>
        </w:tc>
        <w:tc>
          <w:tcPr>
            <w:tcW w:w="3603" w:type="pct"/>
          </w:tcPr>
          <w:p w:rsidR="00E70A90" w:rsidRDefault="00E70A90" w:rsidP="0077576A">
            <w:pPr>
              <w:pStyle w:val="TableBody"/>
            </w:pPr>
            <w:r w:rsidRPr="00B34C5D">
              <w:rPr>
                <w:i/>
              </w:rPr>
              <w:t>Resource Category Generic Minimum-Energy Cost</w:t>
            </w:r>
            <w:r>
              <w:t>—The Resource Category Generic Minimum Energy Cost cap for the category of the Resource, according to Section 4.4.9.2.3, for the Operating Day.</w:t>
            </w:r>
          </w:p>
        </w:tc>
      </w:tr>
      <w:tr w:rsidR="00E70A90" w:rsidTr="0077576A">
        <w:trPr>
          <w:cantSplit/>
        </w:trPr>
        <w:tc>
          <w:tcPr>
            <w:tcW w:w="949" w:type="pct"/>
          </w:tcPr>
          <w:p w:rsidR="00E70A90" w:rsidRPr="003A4C46" w:rsidRDefault="00E70A90" w:rsidP="0077576A">
            <w:pPr>
              <w:pStyle w:val="TableBody"/>
            </w:pPr>
            <w:proofErr w:type="spellStart"/>
            <w:r w:rsidRPr="003A4C46">
              <w:t>RTMG</w:t>
            </w:r>
            <w:r w:rsidRPr="003667DB">
              <w:rPr>
                <w:i/>
                <w:vertAlign w:val="subscript"/>
              </w:rPr>
              <w:t>q,r,i</w:t>
            </w:r>
            <w:proofErr w:type="spellEnd"/>
          </w:p>
        </w:tc>
        <w:tc>
          <w:tcPr>
            <w:tcW w:w="448" w:type="pct"/>
          </w:tcPr>
          <w:p w:rsidR="00E70A90" w:rsidRDefault="00E70A90" w:rsidP="0077576A">
            <w:pPr>
              <w:pStyle w:val="TableBody"/>
              <w:jc w:val="center"/>
            </w:pPr>
            <w:proofErr w:type="spellStart"/>
            <w:r>
              <w:t>MWh</w:t>
            </w:r>
            <w:proofErr w:type="spellEnd"/>
          </w:p>
        </w:tc>
        <w:tc>
          <w:tcPr>
            <w:tcW w:w="3603" w:type="pct"/>
          </w:tcPr>
          <w:p w:rsidR="00E70A90" w:rsidRDefault="00E70A90" w:rsidP="0077576A">
            <w:pPr>
              <w:pStyle w:val="TableBody"/>
            </w:pPr>
            <w:r w:rsidRPr="00B34C5D">
              <w:rPr>
                <w:i/>
              </w:rPr>
              <w:t>Real-Time Metered Generation</w:t>
            </w:r>
            <w:r>
              <w:t xml:space="preserve">—The Resource </w:t>
            </w:r>
            <w:r>
              <w:rPr>
                <w:i/>
              </w:rPr>
              <w:t>r</w:t>
            </w:r>
            <w:r>
              <w:t xml:space="preserve">’s metered generation for the Settlement Interval </w:t>
            </w:r>
            <w:proofErr w:type="spellStart"/>
            <w:r w:rsidRPr="00B34C5D">
              <w:rPr>
                <w:i/>
              </w:rPr>
              <w:t>i</w:t>
            </w:r>
            <w:proofErr w:type="spellEnd"/>
            <w:r>
              <w:t xml:space="preserve">.  Where for a Combined Cycle Train, the Resource </w:t>
            </w:r>
            <w:r w:rsidRPr="00B34C5D">
              <w:rPr>
                <w:i/>
              </w:rPr>
              <w:t>r</w:t>
            </w:r>
            <w:r>
              <w:rPr>
                <w:i/>
              </w:rPr>
              <w:t xml:space="preserve"> </w:t>
            </w:r>
            <w:r>
              <w:t>is the Combined Cycle Train.</w:t>
            </w:r>
          </w:p>
        </w:tc>
      </w:tr>
      <w:tr w:rsidR="00E70A90" w:rsidTr="0077576A">
        <w:trPr>
          <w:cantSplit/>
        </w:trPr>
        <w:tc>
          <w:tcPr>
            <w:tcW w:w="949" w:type="pct"/>
          </w:tcPr>
          <w:p w:rsidR="00E70A90" w:rsidRPr="003A4C46" w:rsidRDefault="00E70A90" w:rsidP="0077576A">
            <w:pPr>
              <w:pStyle w:val="TableBody"/>
            </w:pPr>
            <w:proofErr w:type="spellStart"/>
            <w:r w:rsidRPr="003A4C46">
              <w:t>LSL</w:t>
            </w:r>
            <w:r w:rsidRPr="003667DB">
              <w:rPr>
                <w:i/>
                <w:vertAlign w:val="subscript"/>
              </w:rPr>
              <w:t>q,r,i</w:t>
            </w:r>
            <w:proofErr w:type="spellEnd"/>
          </w:p>
        </w:tc>
        <w:tc>
          <w:tcPr>
            <w:tcW w:w="448" w:type="pct"/>
          </w:tcPr>
          <w:p w:rsidR="00E70A90" w:rsidRDefault="00E70A90" w:rsidP="0077576A">
            <w:pPr>
              <w:pStyle w:val="TableBody"/>
              <w:jc w:val="center"/>
            </w:pPr>
            <w:r>
              <w:t>MW</w:t>
            </w:r>
          </w:p>
        </w:tc>
        <w:tc>
          <w:tcPr>
            <w:tcW w:w="3603" w:type="pct"/>
          </w:tcPr>
          <w:p w:rsidR="00E70A90" w:rsidRDefault="00E70A90" w:rsidP="0077576A">
            <w:pPr>
              <w:pStyle w:val="TableBody"/>
            </w:pPr>
            <w:r w:rsidRPr="00B34C5D">
              <w:rPr>
                <w:i/>
              </w:rPr>
              <w:t>Low Sustained Limit</w:t>
            </w:r>
            <w:r>
              <w:t xml:space="preserve">—The LSL of Generation Resource </w:t>
            </w:r>
            <w:r w:rsidRPr="00B34C5D">
              <w:rPr>
                <w:i/>
              </w:rPr>
              <w:t>r</w:t>
            </w:r>
            <w:r>
              <w:t xml:space="preserve"> represented by QSE </w:t>
            </w:r>
            <w:r w:rsidRPr="00B34C5D">
              <w:rPr>
                <w:i/>
              </w:rPr>
              <w:t>q</w:t>
            </w:r>
            <w:r>
              <w:t xml:space="preserve"> for the hour that includes the Settlement Interval </w:t>
            </w:r>
            <w:proofErr w:type="spellStart"/>
            <w:r w:rsidRPr="00B34C5D">
              <w:rPr>
                <w:i/>
              </w:rPr>
              <w:t>i</w:t>
            </w:r>
            <w:proofErr w:type="spellEnd"/>
            <w:r>
              <w:t xml:space="preserve">, as submitted in the Current Operating Plan (COP).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E70A90" w:rsidTr="0077576A">
        <w:trPr>
          <w:cantSplit/>
        </w:trPr>
        <w:tc>
          <w:tcPr>
            <w:tcW w:w="949" w:type="pct"/>
          </w:tcPr>
          <w:p w:rsidR="00E70A90" w:rsidRPr="003A4C46" w:rsidRDefault="00E70A90" w:rsidP="0077576A">
            <w:pPr>
              <w:pStyle w:val="TableBody"/>
              <w:rPr>
                <w:i/>
              </w:rPr>
            </w:pPr>
            <w:r w:rsidRPr="003A4C46">
              <w:rPr>
                <w:i/>
              </w:rPr>
              <w:t>q</w:t>
            </w:r>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A QSE.</w:t>
            </w:r>
          </w:p>
        </w:tc>
      </w:tr>
      <w:tr w:rsidR="00E70A90" w:rsidTr="0077576A">
        <w:trPr>
          <w:cantSplit/>
        </w:trPr>
        <w:tc>
          <w:tcPr>
            <w:tcW w:w="949" w:type="pct"/>
          </w:tcPr>
          <w:p w:rsidR="00E70A90" w:rsidRPr="003A4C46" w:rsidRDefault="00E70A90" w:rsidP="0077576A">
            <w:pPr>
              <w:pStyle w:val="TableBody"/>
              <w:rPr>
                <w:i/>
              </w:rPr>
            </w:pPr>
            <w:r w:rsidRPr="003A4C46">
              <w:rPr>
                <w:i/>
              </w:rPr>
              <w:t>r</w:t>
            </w:r>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A RUC-committed Generation Resource.</w:t>
            </w:r>
          </w:p>
        </w:tc>
      </w:tr>
      <w:tr w:rsidR="00E70A90" w:rsidTr="0077576A">
        <w:trPr>
          <w:cantSplit/>
        </w:trPr>
        <w:tc>
          <w:tcPr>
            <w:tcW w:w="949" w:type="pct"/>
          </w:tcPr>
          <w:p w:rsidR="00E70A90" w:rsidRPr="003A4C46" w:rsidRDefault="00E70A90" w:rsidP="0077576A">
            <w:pPr>
              <w:pStyle w:val="TableBody"/>
              <w:rPr>
                <w:i/>
              </w:rPr>
            </w:pPr>
            <w:r w:rsidRPr="003A4C46">
              <w:rPr>
                <w:i/>
              </w:rPr>
              <w:t>d</w:t>
            </w:r>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An Operating Day containing the RUC-commitment.</w:t>
            </w:r>
          </w:p>
        </w:tc>
      </w:tr>
      <w:tr w:rsidR="00E70A90" w:rsidTr="0077576A">
        <w:trPr>
          <w:cantSplit/>
        </w:trPr>
        <w:tc>
          <w:tcPr>
            <w:tcW w:w="949" w:type="pct"/>
          </w:tcPr>
          <w:p w:rsidR="00E70A90" w:rsidRPr="003A4C46" w:rsidRDefault="00E70A90" w:rsidP="0077576A">
            <w:pPr>
              <w:pStyle w:val="TableBody"/>
              <w:rPr>
                <w:i/>
              </w:rPr>
            </w:pPr>
            <w:proofErr w:type="spellStart"/>
            <w:r w:rsidRPr="003A4C46">
              <w:rPr>
                <w:i/>
              </w:rPr>
              <w:t>i</w:t>
            </w:r>
            <w:proofErr w:type="spellEnd"/>
          </w:p>
        </w:tc>
        <w:tc>
          <w:tcPr>
            <w:tcW w:w="448" w:type="pct"/>
          </w:tcPr>
          <w:p w:rsidR="00E70A90" w:rsidRDefault="00E70A90" w:rsidP="0077576A">
            <w:pPr>
              <w:pStyle w:val="TableBody"/>
              <w:jc w:val="center"/>
            </w:pPr>
            <w:r>
              <w:t>none</w:t>
            </w:r>
          </w:p>
        </w:tc>
        <w:tc>
          <w:tcPr>
            <w:tcW w:w="3603" w:type="pct"/>
          </w:tcPr>
          <w:p w:rsidR="00E70A90" w:rsidRPr="00B34C5D" w:rsidRDefault="00E70A90" w:rsidP="0077576A">
            <w:pPr>
              <w:pStyle w:val="TableBody"/>
              <w:rPr>
                <w:i/>
              </w:rPr>
            </w:pPr>
            <w:r>
              <w:t>A 15-minute Settlement Interval within the hour that includes a RUC-commitment.</w:t>
            </w:r>
          </w:p>
        </w:tc>
      </w:tr>
      <w:tr w:rsidR="00E70A90" w:rsidTr="0077576A">
        <w:trPr>
          <w:cantSplit/>
        </w:trPr>
        <w:tc>
          <w:tcPr>
            <w:tcW w:w="949" w:type="pct"/>
          </w:tcPr>
          <w:p w:rsidR="00E70A90" w:rsidRPr="003A4C46" w:rsidRDefault="00E70A90" w:rsidP="0077576A">
            <w:pPr>
              <w:pStyle w:val="TableBody"/>
              <w:rPr>
                <w:i/>
              </w:rPr>
            </w:pPr>
            <w:r w:rsidRPr="003A4C46">
              <w:rPr>
                <w:i/>
              </w:rPr>
              <w:t>s</w:t>
            </w:r>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A start that is eligible to have its costs included in the RUC Guarantee.</w:t>
            </w:r>
          </w:p>
        </w:tc>
      </w:tr>
      <w:tr w:rsidR="00E70A90" w:rsidTr="0077576A">
        <w:trPr>
          <w:cantSplit/>
        </w:trPr>
        <w:tc>
          <w:tcPr>
            <w:tcW w:w="949" w:type="pct"/>
          </w:tcPr>
          <w:p w:rsidR="00E70A90" w:rsidRPr="003A4C46" w:rsidRDefault="00E70A90" w:rsidP="0077576A">
            <w:pPr>
              <w:pStyle w:val="TableBody"/>
              <w:rPr>
                <w:i/>
              </w:rPr>
            </w:pPr>
            <w:r w:rsidRPr="003A4C46">
              <w:rPr>
                <w:i/>
              </w:rPr>
              <w:t>t</w:t>
            </w:r>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A transition that is eligible to have its costs included in the RUC Guarantee.</w:t>
            </w:r>
          </w:p>
        </w:tc>
      </w:tr>
      <w:tr w:rsidR="00E70A90" w:rsidRPr="009E5389" w:rsidTr="0077576A">
        <w:trPr>
          <w:cantSplit/>
        </w:trPr>
        <w:tc>
          <w:tcPr>
            <w:tcW w:w="949" w:type="pct"/>
          </w:tcPr>
          <w:p w:rsidR="00E70A90" w:rsidRPr="001A6D3F" w:rsidRDefault="00E70A90" w:rsidP="0077576A">
            <w:pPr>
              <w:tabs>
                <w:tab w:val="right" w:pos="9360"/>
              </w:tabs>
              <w:spacing w:after="60"/>
              <w:rPr>
                <w:i/>
                <w:iCs/>
                <w:sz w:val="20"/>
              </w:rPr>
            </w:pPr>
            <w:r w:rsidRPr="00E234CB">
              <w:rPr>
                <w:i/>
                <w:iCs/>
                <w:sz w:val="20"/>
              </w:rPr>
              <w:t>c</w:t>
            </w:r>
          </w:p>
        </w:tc>
        <w:tc>
          <w:tcPr>
            <w:tcW w:w="448" w:type="pct"/>
          </w:tcPr>
          <w:p w:rsidR="00E70A90" w:rsidRPr="009E5389" w:rsidRDefault="00E70A90" w:rsidP="0077576A">
            <w:pPr>
              <w:spacing w:after="60"/>
              <w:jc w:val="center"/>
              <w:rPr>
                <w:iCs/>
                <w:sz w:val="20"/>
              </w:rPr>
            </w:pPr>
            <w:r w:rsidRPr="009E5389">
              <w:rPr>
                <w:iCs/>
                <w:sz w:val="20"/>
              </w:rPr>
              <w:t>none</w:t>
            </w:r>
          </w:p>
        </w:tc>
        <w:tc>
          <w:tcPr>
            <w:tcW w:w="3603" w:type="pct"/>
          </w:tcPr>
          <w:p w:rsidR="00E70A90" w:rsidRPr="009E5389" w:rsidRDefault="00E70A90" w:rsidP="0077576A">
            <w:pPr>
              <w:spacing w:after="60"/>
              <w:rPr>
                <w:iCs/>
                <w:sz w:val="20"/>
              </w:rPr>
            </w:pPr>
            <w:r w:rsidRPr="009E5389">
              <w:rPr>
                <w:iCs/>
                <w:sz w:val="20"/>
              </w:rPr>
              <w:t>A contiguous block of RUC–Committed Hours.</w:t>
            </w:r>
          </w:p>
        </w:tc>
      </w:tr>
      <w:tr w:rsidR="00E70A90" w:rsidTr="0077576A">
        <w:trPr>
          <w:cantSplit/>
        </w:trPr>
        <w:tc>
          <w:tcPr>
            <w:tcW w:w="949" w:type="pct"/>
          </w:tcPr>
          <w:p w:rsidR="00E70A90" w:rsidRPr="003667DB" w:rsidRDefault="00E70A90" w:rsidP="0077576A">
            <w:pPr>
              <w:pStyle w:val="TableBody"/>
              <w:rPr>
                <w:i/>
              </w:rPr>
            </w:pPr>
            <w:proofErr w:type="spellStart"/>
            <w:r w:rsidRPr="003667DB">
              <w:rPr>
                <w:i/>
              </w:rPr>
              <w:t>afterCCGR</w:t>
            </w:r>
            <w:proofErr w:type="spellEnd"/>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The Combined Cycle Generation Resource to which a Combined Cycle Train transitions.</w:t>
            </w:r>
          </w:p>
        </w:tc>
      </w:tr>
      <w:tr w:rsidR="00E70A90" w:rsidTr="0077576A">
        <w:trPr>
          <w:cantSplit/>
        </w:trPr>
        <w:tc>
          <w:tcPr>
            <w:tcW w:w="949" w:type="pct"/>
          </w:tcPr>
          <w:p w:rsidR="00E70A90" w:rsidRPr="003667DB" w:rsidRDefault="00E70A90" w:rsidP="0077576A">
            <w:pPr>
              <w:pStyle w:val="TableBody"/>
              <w:rPr>
                <w:i/>
              </w:rPr>
            </w:pPr>
            <w:proofErr w:type="spellStart"/>
            <w:r w:rsidRPr="005A03E7">
              <w:rPr>
                <w:i/>
              </w:rPr>
              <w:lastRenderedPageBreak/>
              <w:t>beforeCCGR</w:t>
            </w:r>
            <w:proofErr w:type="spellEnd"/>
          </w:p>
        </w:tc>
        <w:tc>
          <w:tcPr>
            <w:tcW w:w="448" w:type="pct"/>
          </w:tcPr>
          <w:p w:rsidR="00E70A90" w:rsidRDefault="00E70A90" w:rsidP="0077576A">
            <w:pPr>
              <w:pStyle w:val="TableBody"/>
              <w:jc w:val="center"/>
            </w:pPr>
            <w:r>
              <w:t>none</w:t>
            </w:r>
          </w:p>
        </w:tc>
        <w:tc>
          <w:tcPr>
            <w:tcW w:w="3603" w:type="pct"/>
          </w:tcPr>
          <w:p w:rsidR="00E70A90" w:rsidRDefault="00E70A90" w:rsidP="0077576A">
            <w:pPr>
              <w:pStyle w:val="TableBody"/>
            </w:pPr>
            <w:r>
              <w:t>The Combined Cycle Generation Resource from which a Combined Cycle Train transitions.</w:t>
            </w:r>
          </w:p>
        </w:tc>
      </w:tr>
    </w:tbl>
    <w:p w:rsidR="00187B49" w:rsidRDefault="00187B49"/>
    <w:sectPr w:rsidR="00187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90"/>
    <w:rsid w:val="000361A9"/>
    <w:rsid w:val="00155513"/>
    <w:rsid w:val="00187B49"/>
    <w:rsid w:val="00D0776F"/>
    <w:rsid w:val="00E7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CF88BD7-A643-4A28-8D69-6B808C3C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70A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0A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70A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aliases w:val=" Char2 Char Char, Char2,Char2 Char Char"/>
    <w:basedOn w:val="Normal"/>
    <w:link w:val="List2Char"/>
    <w:rsid w:val="00E70A90"/>
    <w:pPr>
      <w:spacing w:after="240" w:line="240" w:lineRule="auto"/>
      <w:ind w:left="1440" w:hanging="720"/>
    </w:pPr>
    <w:rPr>
      <w:rFonts w:ascii="Times New Roman" w:eastAsia="Times New Roman" w:hAnsi="Times New Roman" w:cs="Times New Roman"/>
      <w:sz w:val="24"/>
      <w:szCs w:val="20"/>
    </w:rPr>
  </w:style>
  <w:style w:type="paragraph" w:customStyle="1" w:styleId="H3">
    <w:name w:val="H3"/>
    <w:basedOn w:val="Heading3"/>
    <w:next w:val="BodyText"/>
    <w:link w:val="H3Char"/>
    <w:rsid w:val="00E70A90"/>
    <w:pPr>
      <w:keepLines w:val="0"/>
      <w:tabs>
        <w:tab w:val="left" w:pos="1080"/>
      </w:tabs>
      <w:spacing w:before="240" w:after="240" w:line="240" w:lineRule="auto"/>
      <w:ind w:left="1080" w:hanging="1080"/>
    </w:pPr>
    <w:rPr>
      <w:rFonts w:ascii="Times New Roman" w:eastAsia="Times New Roman" w:hAnsi="Times New Roman" w:cs="Times New Roman"/>
      <w:color w:val="auto"/>
      <w:szCs w:val="20"/>
      <w:lang w:val="x-none" w:eastAsia="x-none"/>
    </w:rPr>
  </w:style>
  <w:style w:type="character" w:customStyle="1" w:styleId="H3Char">
    <w:name w:val="H3 Char"/>
    <w:link w:val="H3"/>
    <w:rsid w:val="00E70A90"/>
    <w:rPr>
      <w:rFonts w:ascii="Times New Roman" w:eastAsia="Times New Roman" w:hAnsi="Times New Roman" w:cs="Times New Roman"/>
      <w:sz w:val="24"/>
      <w:szCs w:val="20"/>
      <w:lang w:val="x-none" w:eastAsia="x-none"/>
    </w:rPr>
  </w:style>
  <w:style w:type="character" w:customStyle="1" w:styleId="List2Char">
    <w:name w:val="List 2 Char"/>
    <w:aliases w:val=" Char2 Char Char Char, Char2 Char,Char2 Char Char Char"/>
    <w:link w:val="List2"/>
    <w:rsid w:val="00E70A90"/>
    <w:rPr>
      <w:rFonts w:ascii="Times New Roman" w:eastAsia="Times New Roman" w:hAnsi="Times New Roman" w:cs="Times New Roman"/>
      <w:sz w:val="24"/>
      <w:szCs w:val="20"/>
    </w:rPr>
  </w:style>
  <w:style w:type="paragraph" w:customStyle="1" w:styleId="BodyTextNumberedChar">
    <w:name w:val="Body Text Numbered Char"/>
    <w:basedOn w:val="BodyText"/>
    <w:link w:val="BodyTextNumberedCharChar"/>
    <w:rsid w:val="00E70A90"/>
    <w:pPr>
      <w:spacing w:after="240" w:line="240" w:lineRule="auto"/>
      <w:ind w:left="720" w:hanging="720"/>
    </w:pPr>
    <w:rPr>
      <w:rFonts w:ascii="Times New Roman" w:eastAsia="Times New Roman" w:hAnsi="Times New Roman" w:cs="Times New Roman"/>
      <w:sz w:val="24"/>
      <w:szCs w:val="20"/>
    </w:rPr>
  </w:style>
  <w:style w:type="character" w:customStyle="1" w:styleId="BodyTextNumberedCharChar">
    <w:name w:val="Body Text Numbered Char Char"/>
    <w:link w:val="BodyTextNumberedChar"/>
    <w:rsid w:val="00E70A90"/>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E70A9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E70A90"/>
    <w:pPr>
      <w:spacing w:after="120"/>
    </w:pPr>
  </w:style>
  <w:style w:type="character" w:customStyle="1" w:styleId="BodyTextChar">
    <w:name w:val="Body Text Char"/>
    <w:basedOn w:val="DefaultParagraphFont"/>
    <w:link w:val="BodyText"/>
    <w:rsid w:val="00E70A90"/>
  </w:style>
  <w:style w:type="paragraph" w:customStyle="1" w:styleId="H2">
    <w:name w:val="H2"/>
    <w:basedOn w:val="Heading2"/>
    <w:next w:val="BodyText"/>
    <w:link w:val="H2Char"/>
    <w:rsid w:val="00E70A90"/>
    <w:pPr>
      <w:keepLines w:val="0"/>
      <w:tabs>
        <w:tab w:val="left" w:pos="900"/>
      </w:tabs>
      <w:spacing w:before="240" w:after="240" w:line="240" w:lineRule="auto"/>
      <w:ind w:left="900" w:hanging="900"/>
    </w:pPr>
    <w:rPr>
      <w:rFonts w:ascii="Times New Roman" w:eastAsia="Times New Roman" w:hAnsi="Times New Roman" w:cs="Times New Roman"/>
      <w:b/>
      <w:color w:val="auto"/>
      <w:sz w:val="24"/>
      <w:szCs w:val="20"/>
    </w:rPr>
  </w:style>
  <w:style w:type="character" w:customStyle="1" w:styleId="H2Char">
    <w:name w:val="H2 Char"/>
    <w:link w:val="H2"/>
    <w:rsid w:val="00E70A90"/>
    <w:rPr>
      <w:rFonts w:ascii="Times New Roman" w:eastAsia="Times New Roman" w:hAnsi="Times New Roman" w:cs="Times New Roman"/>
      <w:b/>
      <w:sz w:val="24"/>
      <w:szCs w:val="20"/>
    </w:rPr>
  </w:style>
  <w:style w:type="paragraph" w:customStyle="1" w:styleId="H4">
    <w:name w:val="H4"/>
    <w:basedOn w:val="Heading4"/>
    <w:next w:val="BodyText"/>
    <w:link w:val="H4Char"/>
    <w:rsid w:val="00E70A90"/>
    <w:pPr>
      <w:keepLines w:val="0"/>
      <w:widowControl w:val="0"/>
      <w:tabs>
        <w:tab w:val="left" w:pos="1260"/>
      </w:tabs>
      <w:spacing w:before="240" w:after="240" w:line="240" w:lineRule="auto"/>
      <w:ind w:left="1260" w:hanging="1260"/>
    </w:pPr>
    <w:rPr>
      <w:rFonts w:ascii="Times New Roman" w:eastAsia="Times New Roman" w:hAnsi="Times New Roman" w:cs="Times New Roman"/>
      <w:b/>
      <w:bCs/>
      <w:i w:val="0"/>
      <w:iCs w:val="0"/>
      <w:snapToGrid w:val="0"/>
      <w:color w:val="auto"/>
      <w:sz w:val="24"/>
      <w:szCs w:val="20"/>
    </w:rPr>
  </w:style>
  <w:style w:type="paragraph" w:customStyle="1" w:styleId="FormulaBold">
    <w:name w:val="Formula Bold"/>
    <w:basedOn w:val="Normal"/>
    <w:link w:val="FormulaBoldChar"/>
    <w:autoRedefine/>
    <w:rsid w:val="00E70A90"/>
    <w:pPr>
      <w:tabs>
        <w:tab w:val="left" w:pos="2340"/>
        <w:tab w:val="left" w:pos="2880"/>
      </w:tabs>
      <w:spacing w:after="240" w:line="240" w:lineRule="auto"/>
      <w:ind w:left="3067" w:hanging="2347"/>
    </w:pPr>
    <w:rPr>
      <w:rFonts w:ascii="Times New Roman" w:eastAsia="Times New Roman" w:hAnsi="Times New Roman" w:cs="Times New Roman"/>
      <w:bCs/>
      <w:sz w:val="24"/>
      <w:szCs w:val="24"/>
      <w:lang w:val="x-none" w:eastAsia="x-none"/>
    </w:rPr>
  </w:style>
  <w:style w:type="paragraph" w:customStyle="1" w:styleId="Formula">
    <w:name w:val="Formula"/>
    <w:basedOn w:val="Normal"/>
    <w:link w:val="FormulaChar"/>
    <w:autoRedefine/>
    <w:rsid w:val="00E70A90"/>
    <w:pPr>
      <w:tabs>
        <w:tab w:val="left" w:pos="1440"/>
        <w:tab w:val="left" w:pos="2340"/>
      </w:tabs>
      <w:spacing w:after="240" w:line="240" w:lineRule="auto"/>
      <w:ind w:left="720"/>
    </w:pPr>
    <w:rPr>
      <w:rFonts w:ascii="Times New Roman" w:eastAsia="Times New Roman" w:hAnsi="Times New Roman" w:cs="Times New Roman"/>
      <w:bCs/>
      <w:sz w:val="24"/>
      <w:szCs w:val="24"/>
      <w:lang w:val="x-none" w:eastAsia="x-none"/>
    </w:rPr>
  </w:style>
  <w:style w:type="paragraph" w:customStyle="1" w:styleId="TableBody">
    <w:name w:val="Table Body"/>
    <w:basedOn w:val="BodyText"/>
    <w:rsid w:val="00E70A90"/>
    <w:pPr>
      <w:spacing w:after="60" w:line="240" w:lineRule="auto"/>
    </w:pPr>
    <w:rPr>
      <w:rFonts w:ascii="Times New Roman" w:eastAsia="Times New Roman" w:hAnsi="Times New Roman" w:cs="Times New Roman"/>
      <w:iCs/>
      <w:sz w:val="20"/>
      <w:szCs w:val="20"/>
    </w:rPr>
  </w:style>
  <w:style w:type="paragraph" w:customStyle="1" w:styleId="TableHead">
    <w:name w:val="Table Head"/>
    <w:basedOn w:val="BodyText"/>
    <w:rsid w:val="00E70A90"/>
    <w:pPr>
      <w:spacing w:line="240" w:lineRule="auto"/>
    </w:pPr>
    <w:rPr>
      <w:rFonts w:ascii="Times New Roman" w:eastAsia="Times New Roman" w:hAnsi="Times New Roman" w:cs="Times New Roman"/>
      <w:b/>
      <w:iCs/>
      <w:sz w:val="20"/>
      <w:szCs w:val="20"/>
    </w:rPr>
  </w:style>
  <w:style w:type="character" w:customStyle="1" w:styleId="H4Char">
    <w:name w:val="H4 Char"/>
    <w:link w:val="H4"/>
    <w:rsid w:val="00E70A90"/>
    <w:rPr>
      <w:rFonts w:ascii="Times New Roman" w:eastAsia="Times New Roman" w:hAnsi="Times New Roman" w:cs="Times New Roman"/>
      <w:b/>
      <w:bCs/>
      <w:snapToGrid w:val="0"/>
      <w:sz w:val="24"/>
      <w:szCs w:val="20"/>
    </w:rPr>
  </w:style>
  <w:style w:type="character" w:customStyle="1" w:styleId="CharCharCharChar">
    <w:name w:val="Char Char Char Char"/>
    <w:rsid w:val="00E70A90"/>
    <w:rPr>
      <w:iCs/>
      <w:sz w:val="24"/>
      <w:lang w:val="en-US" w:eastAsia="en-US" w:bidi="ar-SA"/>
    </w:rPr>
  </w:style>
  <w:style w:type="character" w:customStyle="1" w:styleId="FormulaBoldChar">
    <w:name w:val="Formula Bold Char"/>
    <w:link w:val="FormulaBold"/>
    <w:locked/>
    <w:rsid w:val="00E70A90"/>
    <w:rPr>
      <w:rFonts w:ascii="Times New Roman" w:eastAsia="Times New Roman" w:hAnsi="Times New Roman" w:cs="Times New Roman"/>
      <w:bCs/>
      <w:sz w:val="24"/>
      <w:szCs w:val="24"/>
      <w:lang w:val="x-none" w:eastAsia="x-none"/>
    </w:rPr>
  </w:style>
  <w:style w:type="character" w:customStyle="1" w:styleId="FormulaChar">
    <w:name w:val="Formula Char"/>
    <w:link w:val="Formula"/>
    <w:locked/>
    <w:rsid w:val="00E70A90"/>
    <w:rPr>
      <w:rFonts w:ascii="Times New Roman" w:eastAsia="Times New Roman" w:hAnsi="Times New Roman" w:cs="Times New Roman"/>
      <w:bCs/>
      <w:sz w:val="24"/>
      <w:szCs w:val="24"/>
      <w:lang w:val="x-none" w:eastAsia="x-none"/>
    </w:rPr>
  </w:style>
  <w:style w:type="character" w:customStyle="1" w:styleId="Heading2Char">
    <w:name w:val="Heading 2 Char"/>
    <w:basedOn w:val="DefaultParagraphFont"/>
    <w:link w:val="Heading2"/>
    <w:uiPriority w:val="9"/>
    <w:semiHidden/>
    <w:rsid w:val="00E70A9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70A9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oleObject" Target="embeddings/oleObject3.bin"/><Relationship Id="rId4" Type="http://schemas.openxmlformats.org/officeDocument/2006/relationships/image" Target="media/image1.wmf"/><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Ino</dc:creator>
  <cp:keywords/>
  <dc:description/>
  <cp:lastModifiedBy>Gonzalez, Ino</cp:lastModifiedBy>
  <cp:revision>3</cp:revision>
  <dcterms:created xsi:type="dcterms:W3CDTF">2016-02-22T15:26:00Z</dcterms:created>
  <dcterms:modified xsi:type="dcterms:W3CDTF">2016-02-23T17:10:00Z</dcterms:modified>
</cp:coreProperties>
</file>