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185"/>
        <w:gridCol w:w="1675"/>
        <w:gridCol w:w="2538"/>
      </w:tblGrid>
      <w:tr w:rsidR="00F85DF6" w:rsidTr="00F85DF6">
        <w:tc>
          <w:tcPr>
            <w:tcW w:w="2178" w:type="dxa"/>
          </w:tcPr>
          <w:p w:rsidR="00F85DF6" w:rsidRPr="00F84615" w:rsidRDefault="00F85DF6" w:rsidP="009645B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Type</w:t>
            </w:r>
          </w:p>
        </w:tc>
        <w:tc>
          <w:tcPr>
            <w:tcW w:w="3185" w:type="dxa"/>
          </w:tcPr>
          <w:p w:rsidR="00F85DF6" w:rsidRPr="00F84615" w:rsidRDefault="00F85DF6" w:rsidP="009645B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75" w:type="dxa"/>
          </w:tcPr>
          <w:p w:rsidR="00F85DF6" w:rsidRDefault="00F85DF6">
            <w:pPr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538" w:type="dxa"/>
          </w:tcPr>
          <w:p w:rsidR="00F85DF6" w:rsidRPr="00F84615" w:rsidRDefault="00F85DF6">
            <w:pPr>
              <w:rPr>
                <w:b/>
              </w:rPr>
            </w:pPr>
            <w:r>
              <w:rPr>
                <w:b/>
              </w:rPr>
              <w:t>WMS Role</w:t>
            </w:r>
          </w:p>
        </w:tc>
      </w:tr>
      <w:tr w:rsidR="00F85DF6" w:rsidTr="00F85DF6">
        <w:tc>
          <w:tcPr>
            <w:tcW w:w="2178" w:type="dxa"/>
          </w:tcPr>
          <w:p w:rsidR="00F85DF6" w:rsidRPr="00B8114D" w:rsidRDefault="00F85DF6" w:rsidP="009645B2">
            <w:r>
              <w:t>Market Enhancement</w:t>
            </w:r>
          </w:p>
        </w:tc>
        <w:tc>
          <w:tcPr>
            <w:tcW w:w="3185" w:type="dxa"/>
          </w:tcPr>
          <w:p w:rsidR="00F85DF6" w:rsidRPr="00B8114D" w:rsidRDefault="00F85DF6" w:rsidP="009645B2">
            <w:r w:rsidRPr="00B8114D">
              <w:t>Multi-Interval Real Time Market</w:t>
            </w:r>
          </w:p>
        </w:tc>
        <w:tc>
          <w:tcPr>
            <w:tcW w:w="1675" w:type="dxa"/>
          </w:tcPr>
          <w:p w:rsidR="00F85DF6" w:rsidRDefault="00F85DF6">
            <w:r>
              <w:t>SAWG</w:t>
            </w:r>
          </w:p>
        </w:tc>
        <w:tc>
          <w:tcPr>
            <w:tcW w:w="2538" w:type="dxa"/>
          </w:tcPr>
          <w:p w:rsidR="00F85DF6" w:rsidRDefault="00623D33">
            <w:r>
              <w:t>Develop Draft NPRRs to support a CBA effort</w:t>
            </w:r>
          </w:p>
        </w:tc>
      </w:tr>
      <w:tr w:rsidR="00F85DF6" w:rsidTr="00F85DF6">
        <w:tc>
          <w:tcPr>
            <w:tcW w:w="2178" w:type="dxa"/>
          </w:tcPr>
          <w:p w:rsidR="00F85DF6" w:rsidRPr="00B8114D" w:rsidRDefault="00F85DF6" w:rsidP="009645B2">
            <w:r>
              <w:t>Market Enhancement</w:t>
            </w:r>
          </w:p>
        </w:tc>
        <w:tc>
          <w:tcPr>
            <w:tcW w:w="3185" w:type="dxa"/>
          </w:tcPr>
          <w:p w:rsidR="00F85DF6" w:rsidRPr="00B8114D" w:rsidRDefault="00F85DF6" w:rsidP="009645B2">
            <w:r w:rsidRPr="00B8114D">
              <w:t>Real Time Co-Op</w:t>
            </w:r>
            <w:r>
              <w:t>timization</w:t>
            </w:r>
          </w:p>
        </w:tc>
        <w:tc>
          <w:tcPr>
            <w:tcW w:w="1675" w:type="dxa"/>
          </w:tcPr>
          <w:p w:rsidR="00F85DF6" w:rsidRDefault="00F85DF6">
            <w:r>
              <w:t>SAWG</w:t>
            </w:r>
          </w:p>
        </w:tc>
        <w:tc>
          <w:tcPr>
            <w:tcW w:w="2538" w:type="dxa"/>
          </w:tcPr>
          <w:p w:rsidR="00F85DF6" w:rsidRDefault="00623D33">
            <w:r>
              <w:t>Develop Draft NPRRs to support a CBA effort</w:t>
            </w:r>
          </w:p>
        </w:tc>
      </w:tr>
      <w:tr w:rsidR="00F85DF6" w:rsidTr="00F85DF6">
        <w:tc>
          <w:tcPr>
            <w:tcW w:w="2178" w:type="dxa"/>
          </w:tcPr>
          <w:p w:rsidR="00F85DF6" w:rsidRPr="00B8114D" w:rsidRDefault="00F85DF6" w:rsidP="009645B2">
            <w:r>
              <w:t>Market Enhancement</w:t>
            </w:r>
          </w:p>
        </w:tc>
        <w:tc>
          <w:tcPr>
            <w:tcW w:w="3185" w:type="dxa"/>
          </w:tcPr>
          <w:p w:rsidR="00F85DF6" w:rsidRPr="00B8114D" w:rsidRDefault="00F85DF6" w:rsidP="009645B2">
            <w:r w:rsidRPr="00B8114D">
              <w:t>Loads in SCED v2 (LMP minus G)</w:t>
            </w:r>
          </w:p>
        </w:tc>
        <w:tc>
          <w:tcPr>
            <w:tcW w:w="1675" w:type="dxa"/>
          </w:tcPr>
          <w:p w:rsidR="00F85DF6" w:rsidRDefault="00F85DF6" w:rsidP="00F85DF6">
            <w:r>
              <w:t>LRIS Subgroup / DSWG</w:t>
            </w:r>
          </w:p>
        </w:tc>
        <w:tc>
          <w:tcPr>
            <w:tcW w:w="2538" w:type="dxa"/>
          </w:tcPr>
          <w:p w:rsidR="00F85DF6" w:rsidRDefault="00623D33">
            <w:r>
              <w:t>Develop Draft NPRRs to support a CBA effort</w:t>
            </w:r>
          </w:p>
        </w:tc>
      </w:tr>
      <w:tr w:rsidR="00F85DF6" w:rsidTr="00F85DF6">
        <w:tc>
          <w:tcPr>
            <w:tcW w:w="2178" w:type="dxa"/>
          </w:tcPr>
          <w:p w:rsidR="00F85DF6" w:rsidRPr="00B8114D" w:rsidRDefault="00F85DF6" w:rsidP="009645B2">
            <w:r>
              <w:t>Market Enhancement</w:t>
            </w:r>
          </w:p>
        </w:tc>
        <w:tc>
          <w:tcPr>
            <w:tcW w:w="3185" w:type="dxa"/>
          </w:tcPr>
          <w:p w:rsidR="00F85DF6" w:rsidRPr="00B8114D" w:rsidRDefault="00623D33" w:rsidP="009645B2">
            <w:r>
              <w:t xml:space="preserve">NPRR667, </w:t>
            </w:r>
            <w:r w:rsidR="00F85DF6" w:rsidRPr="00B8114D">
              <w:t>Ancillary Service Redesign</w:t>
            </w:r>
          </w:p>
        </w:tc>
        <w:tc>
          <w:tcPr>
            <w:tcW w:w="1675" w:type="dxa"/>
          </w:tcPr>
          <w:p w:rsidR="00F85DF6" w:rsidRDefault="00F85DF6">
            <w:r>
              <w:t>ERCOT</w:t>
            </w:r>
          </w:p>
        </w:tc>
        <w:tc>
          <w:tcPr>
            <w:tcW w:w="2538" w:type="dxa"/>
          </w:tcPr>
          <w:p w:rsidR="00F85DF6" w:rsidRDefault="00623D33">
            <w:r>
              <w:t>Decisions on open policy questions for CBA effort</w:t>
            </w:r>
          </w:p>
        </w:tc>
      </w:tr>
      <w:tr w:rsidR="00F85DF6" w:rsidTr="00F85DF6">
        <w:tc>
          <w:tcPr>
            <w:tcW w:w="2178" w:type="dxa"/>
          </w:tcPr>
          <w:p w:rsidR="00F85DF6" w:rsidRPr="00B8114D" w:rsidRDefault="00F85DF6" w:rsidP="009645B2">
            <w:r>
              <w:t>Market Enhancement</w:t>
            </w:r>
          </w:p>
        </w:tc>
        <w:tc>
          <w:tcPr>
            <w:tcW w:w="3185" w:type="dxa"/>
          </w:tcPr>
          <w:p w:rsidR="00F85DF6" w:rsidRPr="00B8114D" w:rsidRDefault="00F85DF6" w:rsidP="009645B2">
            <w:r w:rsidRPr="00B8114D">
              <w:t>Outage Economics</w:t>
            </w:r>
          </w:p>
        </w:tc>
        <w:tc>
          <w:tcPr>
            <w:tcW w:w="1675" w:type="dxa"/>
          </w:tcPr>
          <w:p w:rsidR="00F85DF6" w:rsidRDefault="00F85DF6">
            <w:r>
              <w:t>OCTF / ROS</w:t>
            </w:r>
          </w:p>
        </w:tc>
        <w:tc>
          <w:tcPr>
            <w:tcW w:w="2538" w:type="dxa"/>
          </w:tcPr>
          <w:p w:rsidR="00F85DF6" w:rsidRDefault="00623D33">
            <w:r>
              <w:t>Coordination of Wholesale Market effects</w:t>
            </w:r>
          </w:p>
        </w:tc>
      </w:tr>
      <w:tr w:rsidR="00F85DF6" w:rsidTr="00F85DF6">
        <w:tc>
          <w:tcPr>
            <w:tcW w:w="2178" w:type="dxa"/>
          </w:tcPr>
          <w:p w:rsidR="00F85DF6" w:rsidRDefault="00F85DF6">
            <w:r>
              <w:t>Market Enhancement</w:t>
            </w:r>
          </w:p>
        </w:tc>
        <w:tc>
          <w:tcPr>
            <w:tcW w:w="3185" w:type="dxa"/>
          </w:tcPr>
          <w:p w:rsidR="00F85DF6" w:rsidRDefault="00F85DF6">
            <w:r>
              <w:t>SMT Transfer</w:t>
            </w:r>
          </w:p>
        </w:tc>
        <w:tc>
          <w:tcPr>
            <w:tcW w:w="1675" w:type="dxa"/>
          </w:tcPr>
          <w:p w:rsidR="00F85DF6" w:rsidRDefault="00F85DF6">
            <w:r>
              <w:t>RMS / AMWG</w:t>
            </w:r>
          </w:p>
        </w:tc>
        <w:tc>
          <w:tcPr>
            <w:tcW w:w="2538" w:type="dxa"/>
          </w:tcPr>
          <w:p w:rsidR="00F85DF6" w:rsidRDefault="005F7EAB">
            <w:r>
              <w:t>Monitor progress and enhanced data transparency where appropriate.</w:t>
            </w:r>
          </w:p>
        </w:tc>
      </w:tr>
      <w:tr w:rsidR="00F85DF6" w:rsidTr="00F85DF6">
        <w:tc>
          <w:tcPr>
            <w:tcW w:w="2178" w:type="dxa"/>
          </w:tcPr>
          <w:p w:rsidR="00F85DF6" w:rsidRPr="000B1407" w:rsidRDefault="00F85DF6" w:rsidP="001C3522">
            <w:r w:rsidRPr="000B1407">
              <w:t>Policy Review</w:t>
            </w:r>
          </w:p>
        </w:tc>
        <w:tc>
          <w:tcPr>
            <w:tcW w:w="3185" w:type="dxa"/>
          </w:tcPr>
          <w:p w:rsidR="00F85DF6" w:rsidRPr="000B1407" w:rsidRDefault="00F85DF6" w:rsidP="001C3522">
            <w:r w:rsidRPr="000B1407">
              <w:t>Switchable Generation Resources (whitepaper)</w:t>
            </w:r>
          </w:p>
        </w:tc>
        <w:tc>
          <w:tcPr>
            <w:tcW w:w="1675" w:type="dxa"/>
          </w:tcPr>
          <w:p w:rsidR="00F85DF6" w:rsidRDefault="00F85DF6">
            <w:r>
              <w:t>ERCOT</w:t>
            </w:r>
          </w:p>
        </w:tc>
        <w:tc>
          <w:tcPr>
            <w:tcW w:w="2538" w:type="dxa"/>
          </w:tcPr>
          <w:p w:rsidR="00F85DF6" w:rsidRDefault="005F7EAB">
            <w:r>
              <w:t>Assist in review of whitepaper and NPRR</w:t>
            </w:r>
          </w:p>
        </w:tc>
      </w:tr>
      <w:tr w:rsidR="00F85DF6" w:rsidTr="00F85DF6">
        <w:tc>
          <w:tcPr>
            <w:tcW w:w="2178" w:type="dxa"/>
          </w:tcPr>
          <w:p w:rsidR="00F85DF6" w:rsidRPr="000B1407" w:rsidRDefault="00F85DF6" w:rsidP="001C3522">
            <w:r w:rsidRPr="000B1407">
              <w:t>Policy Review</w:t>
            </w:r>
          </w:p>
        </w:tc>
        <w:tc>
          <w:tcPr>
            <w:tcW w:w="3185" w:type="dxa"/>
          </w:tcPr>
          <w:p w:rsidR="00F85DF6" w:rsidRPr="000B1407" w:rsidRDefault="00F85DF6" w:rsidP="001C3522">
            <w:r w:rsidRPr="000B1407">
              <w:t>Distributed Generation (whitepaper)</w:t>
            </w:r>
          </w:p>
        </w:tc>
        <w:tc>
          <w:tcPr>
            <w:tcW w:w="1675" w:type="dxa"/>
          </w:tcPr>
          <w:p w:rsidR="00F85DF6" w:rsidRDefault="00F85DF6">
            <w:r>
              <w:t>ERCOT</w:t>
            </w:r>
          </w:p>
        </w:tc>
        <w:tc>
          <w:tcPr>
            <w:tcW w:w="2538" w:type="dxa"/>
          </w:tcPr>
          <w:p w:rsidR="00F85DF6" w:rsidRDefault="005F7EAB">
            <w:r>
              <w:t>Assist in review of whitepaper and NPRR</w:t>
            </w:r>
          </w:p>
        </w:tc>
      </w:tr>
      <w:tr w:rsidR="00F85DF6" w:rsidTr="00F85DF6">
        <w:tc>
          <w:tcPr>
            <w:tcW w:w="2178" w:type="dxa"/>
          </w:tcPr>
          <w:p w:rsidR="00F85DF6" w:rsidRPr="000B1407" w:rsidRDefault="00F85DF6" w:rsidP="001C3522">
            <w:r w:rsidRPr="000B1407">
              <w:t>Policy Review</w:t>
            </w:r>
          </w:p>
        </w:tc>
        <w:tc>
          <w:tcPr>
            <w:tcW w:w="3185" w:type="dxa"/>
          </w:tcPr>
          <w:p w:rsidR="00F85DF6" w:rsidRDefault="00F85DF6" w:rsidP="001C3522">
            <w:r w:rsidRPr="000B1407">
              <w:t>Revisions to Planning Guides</w:t>
            </w:r>
          </w:p>
          <w:p w:rsidR="00F85DF6" w:rsidRPr="005F7EAB" w:rsidRDefault="005F7EAB" w:rsidP="00F84615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5F7EAB">
              <w:rPr>
                <w:sz w:val="18"/>
              </w:rPr>
              <w:t>Consideration of Generation alternatives in Transmission Planning</w:t>
            </w:r>
          </w:p>
          <w:p w:rsidR="005F7EAB" w:rsidRPr="000B1407" w:rsidRDefault="005F7EAB" w:rsidP="00F84615">
            <w:pPr>
              <w:pStyle w:val="ListParagraph"/>
              <w:numPr>
                <w:ilvl w:val="0"/>
                <w:numId w:val="1"/>
              </w:numPr>
            </w:pPr>
            <w:r w:rsidRPr="005F7EAB">
              <w:rPr>
                <w:sz w:val="18"/>
              </w:rPr>
              <w:t>Merchant DC Ties</w:t>
            </w:r>
          </w:p>
        </w:tc>
        <w:tc>
          <w:tcPr>
            <w:tcW w:w="1675" w:type="dxa"/>
          </w:tcPr>
          <w:p w:rsidR="00F85DF6" w:rsidRDefault="00F85DF6">
            <w:r>
              <w:t>PLWG / ROS</w:t>
            </w:r>
          </w:p>
        </w:tc>
        <w:tc>
          <w:tcPr>
            <w:tcW w:w="2538" w:type="dxa"/>
          </w:tcPr>
          <w:p w:rsidR="00F85DF6" w:rsidRDefault="005F7EAB">
            <w:r>
              <w:t>Coordination of Wholesale Market effects</w:t>
            </w:r>
          </w:p>
        </w:tc>
      </w:tr>
      <w:tr w:rsidR="00F85DF6" w:rsidTr="00F85DF6">
        <w:tc>
          <w:tcPr>
            <w:tcW w:w="2178" w:type="dxa"/>
          </w:tcPr>
          <w:p w:rsidR="00F85DF6" w:rsidRPr="00B8114D" w:rsidRDefault="00F85DF6" w:rsidP="00C11357">
            <w:r>
              <w:t>Policy Review</w:t>
            </w:r>
          </w:p>
        </w:tc>
        <w:tc>
          <w:tcPr>
            <w:tcW w:w="3185" w:type="dxa"/>
          </w:tcPr>
          <w:p w:rsidR="00F85DF6" w:rsidRPr="00B8114D" w:rsidRDefault="00F85DF6" w:rsidP="00C11357">
            <w:r w:rsidRPr="00B8114D">
              <w:t>Subsynchronous Oscillation</w:t>
            </w:r>
          </w:p>
        </w:tc>
        <w:tc>
          <w:tcPr>
            <w:tcW w:w="1675" w:type="dxa"/>
          </w:tcPr>
          <w:p w:rsidR="00F85DF6" w:rsidRDefault="00F85DF6" w:rsidP="00C11357">
            <w:r>
              <w:t>ERCOT</w:t>
            </w:r>
          </w:p>
        </w:tc>
        <w:tc>
          <w:tcPr>
            <w:tcW w:w="2538" w:type="dxa"/>
          </w:tcPr>
          <w:p w:rsidR="00F85DF6" w:rsidRDefault="005F7EAB" w:rsidP="00C11357">
            <w:r>
              <w:t>Continue to develop the technical requirements of the NPRR</w:t>
            </w:r>
          </w:p>
        </w:tc>
      </w:tr>
      <w:tr w:rsidR="00F85DF6" w:rsidTr="00F85DF6">
        <w:tc>
          <w:tcPr>
            <w:tcW w:w="2178" w:type="dxa"/>
          </w:tcPr>
          <w:p w:rsidR="00F85DF6" w:rsidRDefault="00F85DF6" w:rsidP="00C11357">
            <w:r>
              <w:t>Policy Review</w:t>
            </w:r>
          </w:p>
        </w:tc>
        <w:tc>
          <w:tcPr>
            <w:tcW w:w="3185" w:type="dxa"/>
          </w:tcPr>
          <w:p w:rsidR="00F85DF6" w:rsidRPr="00B8114D" w:rsidRDefault="00F85DF6" w:rsidP="00C11357">
            <w:r>
              <w:t>Credit Risk for Tail Event</w:t>
            </w:r>
          </w:p>
        </w:tc>
        <w:tc>
          <w:tcPr>
            <w:tcW w:w="1675" w:type="dxa"/>
          </w:tcPr>
          <w:p w:rsidR="00F85DF6" w:rsidRDefault="00F85DF6" w:rsidP="00C11357">
            <w:r>
              <w:t>CWG / MCWG</w:t>
            </w:r>
          </w:p>
        </w:tc>
        <w:tc>
          <w:tcPr>
            <w:tcW w:w="2538" w:type="dxa"/>
          </w:tcPr>
          <w:p w:rsidR="00F85DF6" w:rsidRDefault="005F7EAB" w:rsidP="00C11357">
            <w:r>
              <w:t>Monitor progress</w:t>
            </w:r>
          </w:p>
        </w:tc>
      </w:tr>
    </w:tbl>
    <w:p w:rsidR="00D41802" w:rsidRDefault="00D41802"/>
    <w:sectPr w:rsidR="00D41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3C8"/>
    <w:multiLevelType w:val="hybridMultilevel"/>
    <w:tmpl w:val="6212ABF2"/>
    <w:lvl w:ilvl="0" w:tplc="C550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02"/>
    <w:rsid w:val="00021DC3"/>
    <w:rsid w:val="005B37DB"/>
    <w:rsid w:val="005F7EAB"/>
    <w:rsid w:val="00623D33"/>
    <w:rsid w:val="00925261"/>
    <w:rsid w:val="00A05119"/>
    <w:rsid w:val="00A57019"/>
    <w:rsid w:val="00C4674C"/>
    <w:rsid w:val="00C6740F"/>
    <w:rsid w:val="00D41802"/>
    <w:rsid w:val="00F84615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PLWG 012115</dc:creator>
  <cp:lastModifiedBy>Albracht, Brittney</cp:lastModifiedBy>
  <cp:revision>2</cp:revision>
  <dcterms:created xsi:type="dcterms:W3CDTF">2015-03-31T19:01:00Z</dcterms:created>
  <dcterms:modified xsi:type="dcterms:W3CDTF">2015-03-31T19:01:00Z</dcterms:modified>
</cp:coreProperties>
</file>