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BDA" w:rsidRPr="00496E4D" w:rsidRDefault="004D3BDA" w:rsidP="009A723D">
      <w:pPr>
        <w:rPr>
          <w:b/>
          <w:sz w:val="22"/>
          <w:szCs w:val="22"/>
        </w:rPr>
      </w:pPr>
      <w:r w:rsidRPr="00496E4D">
        <w:rPr>
          <w:b/>
          <w:sz w:val="22"/>
          <w:szCs w:val="22"/>
        </w:rPr>
        <w:t>AGENDA</w:t>
      </w:r>
    </w:p>
    <w:p w:rsidR="00FB10FC" w:rsidRPr="00CA51C3" w:rsidRDefault="00CA51C3" w:rsidP="009A723D">
      <w:pPr>
        <w:rPr>
          <w:color w:val="000000"/>
          <w:sz w:val="22"/>
          <w:szCs w:val="22"/>
        </w:rPr>
      </w:pPr>
      <w:r w:rsidRPr="00CA51C3">
        <w:rPr>
          <w:color w:val="000000"/>
          <w:sz w:val="22"/>
          <w:szCs w:val="22"/>
        </w:rPr>
        <w:t xml:space="preserve">Operations Working Group </w:t>
      </w:r>
      <w:r w:rsidRPr="00CA51C3">
        <w:rPr>
          <w:color w:val="000000"/>
          <w:sz w:val="22"/>
          <w:szCs w:val="22"/>
        </w:rPr>
        <w:t xml:space="preserve">(OWG) </w:t>
      </w:r>
      <w:r w:rsidRPr="00CA51C3">
        <w:rPr>
          <w:color w:val="000000"/>
          <w:sz w:val="22"/>
          <w:szCs w:val="22"/>
        </w:rPr>
        <w:t>Meeting</w:t>
      </w:r>
      <w:r w:rsidRPr="00CA51C3">
        <w:rPr>
          <w:color w:val="000000"/>
          <w:sz w:val="22"/>
          <w:szCs w:val="22"/>
        </w:rPr>
        <w:t xml:space="preserve"> </w:t>
      </w:r>
    </w:p>
    <w:p w:rsidR="00CA51C3" w:rsidRPr="00CA51C3" w:rsidRDefault="00CA51C3" w:rsidP="00CA51C3">
      <w:pPr>
        <w:rPr>
          <w:color w:val="000000"/>
          <w:sz w:val="22"/>
          <w:szCs w:val="22"/>
        </w:rPr>
      </w:pPr>
      <w:r w:rsidRPr="00CA51C3">
        <w:rPr>
          <w:color w:val="000000"/>
          <w:sz w:val="22"/>
          <w:szCs w:val="22"/>
        </w:rPr>
        <w:t>Hilton Austin Airport</w:t>
      </w:r>
      <w:r>
        <w:rPr>
          <w:color w:val="000000"/>
          <w:sz w:val="22"/>
          <w:szCs w:val="22"/>
        </w:rPr>
        <w:t xml:space="preserve">, </w:t>
      </w:r>
      <w:r w:rsidRPr="00CA51C3">
        <w:rPr>
          <w:color w:val="000000"/>
          <w:sz w:val="22"/>
          <w:szCs w:val="22"/>
        </w:rPr>
        <w:t>9515 Hotel Drive, Austin, TX 78719</w:t>
      </w:r>
    </w:p>
    <w:p w:rsidR="004D3BDA" w:rsidRPr="00496E4D" w:rsidRDefault="00CA51C3" w:rsidP="009A723D">
      <w:pPr>
        <w:rPr>
          <w:color w:val="000000"/>
          <w:sz w:val="22"/>
          <w:szCs w:val="22"/>
        </w:rPr>
      </w:pPr>
      <w:r>
        <w:rPr>
          <w:color w:val="000000"/>
          <w:sz w:val="22"/>
          <w:szCs w:val="22"/>
        </w:rPr>
        <w:t xml:space="preserve">January 26, 2106 8:00 a.m. – 11:00 a.m. </w:t>
      </w:r>
    </w:p>
    <w:p w:rsidR="004D3BDA" w:rsidRPr="00496E4D" w:rsidRDefault="004D3BDA" w:rsidP="009A723D">
      <w:pPr>
        <w:rPr>
          <w:color w:val="000000"/>
          <w:sz w:val="22"/>
          <w:szCs w:val="22"/>
        </w:rPr>
      </w:pPr>
    </w:p>
    <w:p w:rsidR="004D3BDA" w:rsidRPr="004D3BDA" w:rsidRDefault="00CA51C3" w:rsidP="009A723D">
      <w:pPr>
        <w:rPr>
          <w:rFonts w:ascii="Arial" w:hAnsi="Arial" w:cs="Arial"/>
          <w:sz w:val="22"/>
          <w:szCs w:val="22"/>
        </w:rPr>
      </w:pPr>
      <w:r>
        <w:t xml:space="preserve"> </w:t>
      </w:r>
    </w:p>
    <w:p w:rsidR="004D3BDA" w:rsidRPr="004D3BDA" w:rsidRDefault="004D3BDA" w:rsidP="00370802">
      <w:pPr>
        <w:rPr>
          <w:sz w:val="22"/>
          <w:szCs w:val="22"/>
        </w:rPr>
      </w:pPr>
    </w:p>
    <w:tbl>
      <w:tblPr>
        <w:tblW w:w="0" w:type="auto"/>
        <w:tblInd w:w="-162" w:type="dxa"/>
        <w:tblLook w:val="01E0" w:firstRow="1" w:lastRow="1" w:firstColumn="1" w:lastColumn="1" w:noHBand="0" w:noVBand="0"/>
      </w:tblPr>
      <w:tblGrid>
        <w:gridCol w:w="515"/>
        <w:gridCol w:w="5967"/>
        <w:gridCol w:w="1163"/>
        <w:gridCol w:w="1157"/>
      </w:tblGrid>
      <w:tr w:rsidR="006D26BB" w:rsidRPr="00496E4D" w:rsidTr="006D26BB">
        <w:trPr>
          <w:trHeight w:val="360"/>
        </w:trPr>
        <w:tc>
          <w:tcPr>
            <w:tcW w:w="515" w:type="dxa"/>
          </w:tcPr>
          <w:p w:rsidR="00342820" w:rsidRPr="00496E4D" w:rsidRDefault="00342820" w:rsidP="00370802">
            <w:pPr>
              <w:jc w:val="right"/>
              <w:rPr>
                <w:sz w:val="22"/>
                <w:szCs w:val="22"/>
              </w:rPr>
            </w:pPr>
            <w:bookmarkStart w:id="0" w:name="OLE_LINK1"/>
            <w:bookmarkStart w:id="1" w:name="OLE_LINK2"/>
            <w:bookmarkStart w:id="2" w:name="OLE_LINK3"/>
            <w:bookmarkStart w:id="3" w:name="OLE_LINK4"/>
            <w:bookmarkStart w:id="4" w:name="_GoBack" w:colFirst="0" w:colLast="3"/>
            <w:r w:rsidRPr="00496E4D">
              <w:rPr>
                <w:sz w:val="22"/>
                <w:szCs w:val="22"/>
              </w:rPr>
              <w:t>1.</w:t>
            </w:r>
          </w:p>
        </w:tc>
        <w:tc>
          <w:tcPr>
            <w:tcW w:w="5967" w:type="dxa"/>
          </w:tcPr>
          <w:p w:rsidR="00342820" w:rsidRPr="00496E4D" w:rsidRDefault="00342820" w:rsidP="00370802">
            <w:pPr>
              <w:rPr>
                <w:sz w:val="22"/>
                <w:szCs w:val="22"/>
              </w:rPr>
            </w:pPr>
            <w:r w:rsidRPr="00496E4D">
              <w:rPr>
                <w:sz w:val="22"/>
                <w:szCs w:val="22"/>
              </w:rPr>
              <w:t>Antitrust Admonition</w:t>
            </w:r>
          </w:p>
        </w:tc>
        <w:tc>
          <w:tcPr>
            <w:tcW w:w="1163" w:type="dxa"/>
          </w:tcPr>
          <w:p w:rsidR="00342820" w:rsidRPr="00496E4D" w:rsidRDefault="00354AB9" w:rsidP="00354AB9">
            <w:pPr>
              <w:rPr>
                <w:sz w:val="22"/>
                <w:szCs w:val="22"/>
              </w:rPr>
            </w:pPr>
            <w:r>
              <w:rPr>
                <w:sz w:val="22"/>
                <w:szCs w:val="22"/>
              </w:rPr>
              <w:t>M. Carter</w:t>
            </w:r>
          </w:p>
        </w:tc>
        <w:tc>
          <w:tcPr>
            <w:tcW w:w="1157" w:type="dxa"/>
          </w:tcPr>
          <w:p w:rsidR="00342820" w:rsidRPr="00496E4D" w:rsidRDefault="00354AB9" w:rsidP="00354AB9">
            <w:pPr>
              <w:jc w:val="right"/>
              <w:rPr>
                <w:sz w:val="22"/>
                <w:szCs w:val="22"/>
              </w:rPr>
            </w:pPr>
            <w:r>
              <w:rPr>
                <w:sz w:val="22"/>
                <w:szCs w:val="22"/>
              </w:rPr>
              <w:t xml:space="preserve">8:00 </w:t>
            </w:r>
            <w:r w:rsidR="00342820" w:rsidRPr="00496E4D">
              <w:rPr>
                <w:sz w:val="22"/>
                <w:szCs w:val="22"/>
              </w:rPr>
              <w:t>a.m.</w:t>
            </w:r>
          </w:p>
        </w:tc>
      </w:tr>
      <w:tr w:rsidR="006D26BB" w:rsidRPr="00496E4D" w:rsidTr="006D26BB">
        <w:trPr>
          <w:trHeight w:val="360"/>
        </w:trPr>
        <w:tc>
          <w:tcPr>
            <w:tcW w:w="515" w:type="dxa"/>
          </w:tcPr>
          <w:p w:rsidR="00342820" w:rsidRPr="00496E4D" w:rsidRDefault="00342820" w:rsidP="00370802">
            <w:pPr>
              <w:jc w:val="right"/>
              <w:rPr>
                <w:sz w:val="22"/>
                <w:szCs w:val="22"/>
              </w:rPr>
            </w:pPr>
            <w:r w:rsidRPr="00496E4D">
              <w:rPr>
                <w:sz w:val="22"/>
                <w:szCs w:val="22"/>
              </w:rPr>
              <w:t>2.</w:t>
            </w:r>
          </w:p>
        </w:tc>
        <w:tc>
          <w:tcPr>
            <w:tcW w:w="5967" w:type="dxa"/>
          </w:tcPr>
          <w:p w:rsidR="00342820" w:rsidRPr="00496E4D" w:rsidRDefault="00354AB9" w:rsidP="00354AB9">
            <w:pPr>
              <w:rPr>
                <w:sz w:val="22"/>
                <w:szCs w:val="22"/>
              </w:rPr>
            </w:pPr>
            <w:r>
              <w:rPr>
                <w:sz w:val="22"/>
                <w:szCs w:val="22"/>
              </w:rPr>
              <w:t>ROS Meeting Report</w:t>
            </w:r>
          </w:p>
        </w:tc>
        <w:tc>
          <w:tcPr>
            <w:tcW w:w="1163" w:type="dxa"/>
          </w:tcPr>
          <w:p w:rsidR="00342820" w:rsidRPr="00496E4D" w:rsidRDefault="00354AB9" w:rsidP="00354AB9">
            <w:pPr>
              <w:rPr>
                <w:sz w:val="22"/>
                <w:szCs w:val="22"/>
              </w:rPr>
            </w:pPr>
            <w:r>
              <w:rPr>
                <w:sz w:val="22"/>
                <w:szCs w:val="22"/>
              </w:rPr>
              <w:t>M. Carter</w:t>
            </w:r>
          </w:p>
        </w:tc>
        <w:tc>
          <w:tcPr>
            <w:tcW w:w="1157" w:type="dxa"/>
          </w:tcPr>
          <w:p w:rsidR="00342820" w:rsidRPr="00496E4D" w:rsidRDefault="00342820" w:rsidP="00370802">
            <w:pPr>
              <w:jc w:val="right"/>
              <w:rPr>
                <w:sz w:val="22"/>
                <w:szCs w:val="22"/>
              </w:rPr>
            </w:pPr>
          </w:p>
        </w:tc>
      </w:tr>
      <w:tr w:rsidR="006D26BB" w:rsidRPr="00496E4D" w:rsidTr="006D26BB">
        <w:trPr>
          <w:trHeight w:val="360"/>
        </w:trPr>
        <w:tc>
          <w:tcPr>
            <w:tcW w:w="515" w:type="dxa"/>
          </w:tcPr>
          <w:p w:rsidR="00342820" w:rsidRPr="00496E4D" w:rsidRDefault="00342820" w:rsidP="00370802">
            <w:pPr>
              <w:jc w:val="right"/>
              <w:rPr>
                <w:sz w:val="22"/>
                <w:szCs w:val="22"/>
              </w:rPr>
            </w:pPr>
            <w:r w:rsidRPr="00496E4D">
              <w:rPr>
                <w:sz w:val="22"/>
                <w:szCs w:val="22"/>
              </w:rPr>
              <w:t>3.</w:t>
            </w:r>
          </w:p>
        </w:tc>
        <w:tc>
          <w:tcPr>
            <w:tcW w:w="5967" w:type="dxa"/>
          </w:tcPr>
          <w:p w:rsidR="00342820" w:rsidRPr="00496E4D" w:rsidRDefault="00354AB9" w:rsidP="00354AB9">
            <w:pPr>
              <w:rPr>
                <w:sz w:val="22"/>
                <w:szCs w:val="22"/>
              </w:rPr>
            </w:pPr>
            <w:r>
              <w:rPr>
                <w:sz w:val="22"/>
                <w:szCs w:val="22"/>
              </w:rPr>
              <w:t xml:space="preserve">OWG meeting notes approval; December Meeting </w:t>
            </w:r>
          </w:p>
        </w:tc>
        <w:tc>
          <w:tcPr>
            <w:tcW w:w="1163" w:type="dxa"/>
          </w:tcPr>
          <w:p w:rsidR="00342820" w:rsidRPr="00496E4D" w:rsidRDefault="00354AB9" w:rsidP="00370802">
            <w:pPr>
              <w:rPr>
                <w:sz w:val="22"/>
                <w:szCs w:val="22"/>
              </w:rPr>
            </w:pPr>
            <w:r>
              <w:rPr>
                <w:sz w:val="22"/>
                <w:szCs w:val="22"/>
              </w:rPr>
              <w:t>All</w:t>
            </w:r>
          </w:p>
        </w:tc>
        <w:tc>
          <w:tcPr>
            <w:tcW w:w="1157" w:type="dxa"/>
          </w:tcPr>
          <w:p w:rsidR="00342820" w:rsidRPr="00496E4D" w:rsidRDefault="00342820" w:rsidP="00370802">
            <w:pPr>
              <w:jc w:val="right"/>
              <w:rPr>
                <w:sz w:val="22"/>
                <w:szCs w:val="22"/>
              </w:rPr>
            </w:pPr>
          </w:p>
        </w:tc>
      </w:tr>
      <w:tr w:rsidR="006D26BB" w:rsidRPr="00496E4D" w:rsidTr="006D26BB">
        <w:trPr>
          <w:trHeight w:val="360"/>
        </w:trPr>
        <w:tc>
          <w:tcPr>
            <w:tcW w:w="515" w:type="dxa"/>
          </w:tcPr>
          <w:p w:rsidR="00342820" w:rsidRPr="00496E4D" w:rsidRDefault="00342820" w:rsidP="00370802">
            <w:pPr>
              <w:jc w:val="right"/>
              <w:rPr>
                <w:sz w:val="22"/>
                <w:szCs w:val="22"/>
              </w:rPr>
            </w:pPr>
            <w:r w:rsidRPr="00496E4D">
              <w:rPr>
                <w:sz w:val="22"/>
                <w:szCs w:val="22"/>
              </w:rPr>
              <w:t>4.</w:t>
            </w:r>
          </w:p>
        </w:tc>
        <w:tc>
          <w:tcPr>
            <w:tcW w:w="5967" w:type="dxa"/>
          </w:tcPr>
          <w:p w:rsidR="00342820" w:rsidRPr="00496E4D" w:rsidRDefault="00354AB9" w:rsidP="00354AB9">
            <w:pPr>
              <w:rPr>
                <w:sz w:val="22"/>
                <w:szCs w:val="22"/>
              </w:rPr>
            </w:pPr>
            <w:r>
              <w:rPr>
                <w:sz w:val="22"/>
                <w:szCs w:val="22"/>
              </w:rPr>
              <w:t>Outage Scheduler Enhancement Team Presentation</w:t>
            </w:r>
          </w:p>
        </w:tc>
        <w:tc>
          <w:tcPr>
            <w:tcW w:w="1163" w:type="dxa"/>
          </w:tcPr>
          <w:p w:rsidR="00342820" w:rsidRPr="00496E4D" w:rsidRDefault="00354AB9" w:rsidP="00370802">
            <w:pPr>
              <w:rPr>
                <w:sz w:val="22"/>
                <w:szCs w:val="22"/>
              </w:rPr>
            </w:pPr>
            <w:proofErr w:type="spellStart"/>
            <w:r>
              <w:rPr>
                <w:sz w:val="22"/>
                <w:szCs w:val="22"/>
              </w:rPr>
              <w:t>Caufield</w:t>
            </w:r>
            <w:proofErr w:type="spellEnd"/>
          </w:p>
        </w:tc>
        <w:tc>
          <w:tcPr>
            <w:tcW w:w="1157" w:type="dxa"/>
          </w:tcPr>
          <w:p w:rsidR="00342820" w:rsidRPr="00496E4D" w:rsidRDefault="00342820" w:rsidP="00370802">
            <w:pPr>
              <w:jc w:val="right"/>
              <w:rPr>
                <w:sz w:val="22"/>
                <w:szCs w:val="22"/>
              </w:rPr>
            </w:pPr>
          </w:p>
        </w:tc>
      </w:tr>
      <w:tr w:rsidR="006D26BB" w:rsidRPr="00496E4D" w:rsidTr="006D26BB">
        <w:trPr>
          <w:trHeight w:val="360"/>
        </w:trPr>
        <w:tc>
          <w:tcPr>
            <w:tcW w:w="515" w:type="dxa"/>
          </w:tcPr>
          <w:p w:rsidR="00342820" w:rsidRPr="00496E4D" w:rsidRDefault="00342820" w:rsidP="00370802">
            <w:pPr>
              <w:jc w:val="right"/>
              <w:rPr>
                <w:sz w:val="22"/>
                <w:szCs w:val="22"/>
              </w:rPr>
            </w:pPr>
            <w:r w:rsidRPr="00496E4D">
              <w:rPr>
                <w:sz w:val="22"/>
                <w:szCs w:val="22"/>
              </w:rPr>
              <w:t>5.</w:t>
            </w:r>
          </w:p>
        </w:tc>
        <w:tc>
          <w:tcPr>
            <w:tcW w:w="5967" w:type="dxa"/>
          </w:tcPr>
          <w:p w:rsidR="00354AB9" w:rsidRPr="00496E4D" w:rsidRDefault="00354AB9" w:rsidP="00354AB9">
            <w:pPr>
              <w:rPr>
                <w:sz w:val="22"/>
                <w:szCs w:val="22"/>
              </w:rPr>
            </w:pPr>
            <w:r>
              <w:rPr>
                <w:sz w:val="22"/>
                <w:szCs w:val="22"/>
              </w:rPr>
              <w:t xml:space="preserve">NOGRRs for Review and Language Changes: </w:t>
            </w:r>
          </w:p>
        </w:tc>
        <w:tc>
          <w:tcPr>
            <w:tcW w:w="1163" w:type="dxa"/>
          </w:tcPr>
          <w:p w:rsidR="00342820" w:rsidRPr="00496E4D" w:rsidRDefault="00354AB9" w:rsidP="00370802">
            <w:pPr>
              <w:rPr>
                <w:sz w:val="22"/>
                <w:szCs w:val="22"/>
              </w:rPr>
            </w:pPr>
            <w:r>
              <w:rPr>
                <w:sz w:val="22"/>
                <w:szCs w:val="22"/>
              </w:rPr>
              <w:t>All</w:t>
            </w:r>
          </w:p>
        </w:tc>
        <w:tc>
          <w:tcPr>
            <w:tcW w:w="1157" w:type="dxa"/>
          </w:tcPr>
          <w:p w:rsidR="00342820" w:rsidRPr="00496E4D" w:rsidRDefault="00342820" w:rsidP="00370802">
            <w:pPr>
              <w:jc w:val="right"/>
              <w:rPr>
                <w:sz w:val="22"/>
                <w:szCs w:val="22"/>
              </w:rPr>
            </w:pPr>
          </w:p>
        </w:tc>
      </w:tr>
      <w:tr w:rsidR="006D26BB" w:rsidRPr="00496E4D" w:rsidTr="006D26BB">
        <w:trPr>
          <w:trHeight w:val="360"/>
        </w:trPr>
        <w:tc>
          <w:tcPr>
            <w:tcW w:w="515" w:type="dxa"/>
          </w:tcPr>
          <w:p w:rsidR="00354AB9" w:rsidRPr="00496E4D" w:rsidRDefault="00354AB9" w:rsidP="00370802">
            <w:pPr>
              <w:jc w:val="right"/>
              <w:rPr>
                <w:sz w:val="22"/>
                <w:szCs w:val="22"/>
              </w:rPr>
            </w:pPr>
          </w:p>
        </w:tc>
        <w:tc>
          <w:tcPr>
            <w:tcW w:w="5967" w:type="dxa"/>
          </w:tcPr>
          <w:p w:rsidR="00354AB9" w:rsidRPr="006D26BB" w:rsidRDefault="00354AB9" w:rsidP="00354AB9">
            <w:pPr>
              <w:pStyle w:val="ListParagraph"/>
              <w:numPr>
                <w:ilvl w:val="0"/>
                <w:numId w:val="4"/>
              </w:numPr>
              <w:overflowPunct/>
              <w:autoSpaceDE/>
              <w:autoSpaceDN/>
              <w:adjustRightInd/>
              <w:textAlignment w:val="auto"/>
              <w:rPr>
                <w:sz w:val="22"/>
                <w:szCs w:val="22"/>
              </w:rPr>
            </w:pPr>
            <w:r w:rsidRPr="006D26BB">
              <w:rPr>
                <w:b/>
                <w:sz w:val="22"/>
                <w:szCs w:val="22"/>
              </w:rPr>
              <w:t xml:space="preserve">149NOGRR Revision to Definition of Transmission Operator. </w:t>
            </w:r>
            <w:r w:rsidRPr="006D26BB">
              <w:rPr>
                <w:sz w:val="22"/>
                <w:szCs w:val="22"/>
              </w:rPr>
              <w:t>This Nodal Operating Guide Revision Request (NOGRR) revises the definition of “Transmission Operator” to establish a “Bright Line” threshold (annual peak MW) below which a Distribution Service Provider (DSP) owning no transmission or generation facilities, and who is not provided or offered Transmission Operator (TO) services from their incumbent Transmission Service Provider (TSP) or wholesale power supplier, would be exempted from having to procure designated TO services from a third-party provider. The “Bright Line” threshold being recommended is 25 MW. [Schneider Engineering]</w:t>
            </w:r>
          </w:p>
          <w:p w:rsidR="00354AB9" w:rsidRPr="006D26BB" w:rsidRDefault="00354AB9" w:rsidP="00354AB9">
            <w:pPr>
              <w:pStyle w:val="ListParagraph"/>
              <w:numPr>
                <w:ilvl w:val="0"/>
                <w:numId w:val="6"/>
              </w:numPr>
              <w:overflowPunct/>
              <w:autoSpaceDE/>
              <w:autoSpaceDN/>
              <w:adjustRightInd/>
              <w:textAlignment w:val="auto"/>
              <w:rPr>
                <w:b/>
                <w:sz w:val="22"/>
                <w:szCs w:val="22"/>
              </w:rPr>
            </w:pPr>
            <w:r w:rsidRPr="006D26BB">
              <w:rPr>
                <w:b/>
                <w:sz w:val="22"/>
                <w:szCs w:val="22"/>
              </w:rPr>
              <w:t>150NOGRR Alignment with NPRR747, Revision of Voltage Control Requirements.</w:t>
            </w:r>
            <w:r w:rsidRPr="006D26BB">
              <w:rPr>
                <w:b/>
                <w:bCs/>
                <w:sz w:val="22"/>
                <w:szCs w:val="22"/>
              </w:rPr>
              <w:t xml:space="preserve">  </w:t>
            </w:r>
            <w:r w:rsidRPr="006D26BB">
              <w:rPr>
                <w:sz w:val="22"/>
                <w:szCs w:val="22"/>
              </w:rPr>
              <w:t>This Nodal Operating Guide Revision Request (NOGRR) relocates language concerning voltage support obligations that currently resides in an ERCOT procedure document but that should be moved to the Operating Guide so that the requirements are recognized as binding.  Based in part on discussions at the April 8, 2015 Voltage Workshop, this NOGRR also allocates each of various voltage support responsibilities to the appropriate Entity.  Additionally, this NOGRR clarifies that the ERCOT Transmission Operator (TO) has the authority to instruct a Qualified Scheduling Entity (QSE) to modify its Generation Resource’s Voltage Set Point.  Additional edits are intended to better synchronize language with the North American Electric Reliability Corporation (NERC) Reliability Standards. [ERCOT]</w:t>
            </w:r>
          </w:p>
          <w:p w:rsidR="00354AB9" w:rsidRPr="006D26BB" w:rsidRDefault="00354AB9" w:rsidP="00354AB9">
            <w:pPr>
              <w:pStyle w:val="ListParagraph"/>
              <w:numPr>
                <w:ilvl w:val="0"/>
                <w:numId w:val="4"/>
              </w:numPr>
              <w:overflowPunct/>
              <w:autoSpaceDE/>
              <w:autoSpaceDN/>
              <w:adjustRightInd/>
              <w:textAlignment w:val="auto"/>
              <w:rPr>
                <w:b/>
                <w:sz w:val="22"/>
                <w:szCs w:val="22"/>
              </w:rPr>
            </w:pPr>
            <w:r w:rsidRPr="006D26BB">
              <w:rPr>
                <w:b/>
                <w:sz w:val="22"/>
                <w:szCs w:val="22"/>
              </w:rPr>
              <w:t>151NOGRR Alignment with NPRR748, Revisions associated with COM-002-4 and Other Clarifications Associated with Dispatch Instructions</w:t>
            </w:r>
            <w:r w:rsidRPr="006D26BB">
              <w:rPr>
                <w:b/>
                <w:bCs/>
                <w:sz w:val="22"/>
                <w:szCs w:val="22"/>
              </w:rPr>
              <w:t xml:space="preserve">. </w:t>
            </w:r>
            <w:r w:rsidRPr="006D26BB">
              <w:rPr>
                <w:sz w:val="22"/>
                <w:szCs w:val="22"/>
              </w:rPr>
              <w:t xml:space="preserve">This Nodal Operating Guide Revision Request (NOGRR) aligns the Operating Guides with changes made in NPRR748 and </w:t>
            </w:r>
            <w:r w:rsidRPr="006D26BB">
              <w:rPr>
                <w:sz w:val="22"/>
                <w:szCs w:val="22"/>
              </w:rPr>
              <w:lastRenderedPageBreak/>
              <w:t>also provides consistency, transparency, and clarification related to communication protocol in the ERCOT Region. [ERCOT]</w:t>
            </w:r>
          </w:p>
          <w:p w:rsidR="00354AB9" w:rsidRPr="006D26BB" w:rsidRDefault="00354AB9" w:rsidP="00354AB9">
            <w:pPr>
              <w:pStyle w:val="ListParagraph"/>
              <w:numPr>
                <w:ilvl w:val="0"/>
                <w:numId w:val="4"/>
              </w:numPr>
              <w:overflowPunct/>
              <w:autoSpaceDE/>
              <w:autoSpaceDN/>
              <w:adjustRightInd/>
              <w:textAlignment w:val="auto"/>
              <w:rPr>
                <w:b/>
                <w:sz w:val="22"/>
                <w:szCs w:val="22"/>
              </w:rPr>
            </w:pPr>
            <w:r w:rsidRPr="006D26BB">
              <w:rPr>
                <w:b/>
                <w:sz w:val="22"/>
                <w:szCs w:val="22"/>
              </w:rPr>
              <w:t>152NOGRR Restore Synchrony between Contingency Planning for Minimum Level of Responsive Reserve Service and Real Time Contingency Analysis</w:t>
            </w:r>
            <w:r w:rsidRPr="006D26BB">
              <w:rPr>
                <w:b/>
                <w:bCs/>
                <w:sz w:val="22"/>
                <w:szCs w:val="22"/>
              </w:rPr>
              <w:t xml:space="preserve">. </w:t>
            </w:r>
            <w:r w:rsidRPr="006D26BB">
              <w:rPr>
                <w:sz w:val="22"/>
                <w:szCs w:val="22"/>
              </w:rPr>
              <w:t>Align consideration of the simultaneous loss of the South Texas Nuclear Project (STP) as a credible single contingency for purposes of determining the minimum amount of Responsive Reserve (RRS) as it is currently used in the Real-Time Contingency Analysis (RTCA). [Apex et al]</w:t>
            </w:r>
          </w:p>
          <w:p w:rsidR="00354AB9" w:rsidRPr="006D26BB" w:rsidRDefault="00354AB9" w:rsidP="00354AB9">
            <w:pPr>
              <w:pStyle w:val="ListParagraph"/>
              <w:numPr>
                <w:ilvl w:val="0"/>
                <w:numId w:val="4"/>
              </w:numPr>
              <w:rPr>
                <w:sz w:val="22"/>
                <w:szCs w:val="22"/>
              </w:rPr>
            </w:pPr>
            <w:r w:rsidRPr="006D26BB">
              <w:rPr>
                <w:b/>
                <w:sz w:val="22"/>
                <w:szCs w:val="22"/>
              </w:rPr>
              <w:t>747NPRR Revision of Voltage Control Requirements.</w:t>
            </w:r>
            <w:r w:rsidRPr="006D26BB">
              <w:rPr>
                <w:b/>
                <w:bCs/>
                <w:sz w:val="22"/>
                <w:szCs w:val="22"/>
              </w:rPr>
              <w:t xml:space="preserve"> </w:t>
            </w:r>
            <w:r w:rsidRPr="006D26BB">
              <w:rPr>
                <w:sz w:val="22"/>
                <w:szCs w:val="22"/>
              </w:rPr>
              <w:t>This Nodal Protocol Revision Request (NPRR) proposes new definitions related to Voltage Profiles, defines various entities’ responsibilities related to Voltage Support, and also clarifies that the interconnecting Transmission Service Provider (TSP) (or its designated agent) may modify a Generation Resource’s Voltage Set Point).  This NPRR addresses issues raised at the April 8, 2015 Voltage Workshop.  [ERCOT]</w:t>
            </w:r>
          </w:p>
          <w:p w:rsidR="00354AB9" w:rsidRPr="00354AB9" w:rsidRDefault="00354AB9" w:rsidP="00354AB9">
            <w:pPr>
              <w:pStyle w:val="ListParagraph"/>
              <w:numPr>
                <w:ilvl w:val="0"/>
                <w:numId w:val="4"/>
              </w:numPr>
              <w:rPr>
                <w:sz w:val="22"/>
                <w:szCs w:val="22"/>
              </w:rPr>
            </w:pPr>
            <w:r w:rsidRPr="006D26BB">
              <w:rPr>
                <w:b/>
                <w:sz w:val="22"/>
                <w:szCs w:val="22"/>
              </w:rPr>
              <w:t>748NPRR Revisions associated with COM-002-4 and Other Clarifications Associated with Dispatch Instructions</w:t>
            </w:r>
            <w:r w:rsidRPr="006D26BB">
              <w:rPr>
                <w:b/>
                <w:bCs/>
                <w:sz w:val="22"/>
                <w:szCs w:val="22"/>
              </w:rPr>
              <w:t xml:space="preserve">. </w:t>
            </w:r>
            <w:r w:rsidRPr="006D26BB">
              <w:rPr>
                <w:sz w:val="22"/>
                <w:szCs w:val="22"/>
              </w:rPr>
              <w:t>This Nodal Protocol Revision Request (NPRR) aligns with North American Electric Reliability Corporation (NERC) Standard COM-002-4, Operating Personnel Communications Protocols, and provides language clarification for Dispatch Instructions and procedures.  [ERCOT]</w:t>
            </w:r>
          </w:p>
        </w:tc>
        <w:tc>
          <w:tcPr>
            <w:tcW w:w="1163" w:type="dxa"/>
          </w:tcPr>
          <w:p w:rsidR="00354AB9" w:rsidRDefault="00354AB9" w:rsidP="00370802">
            <w:pPr>
              <w:rPr>
                <w:sz w:val="22"/>
                <w:szCs w:val="22"/>
              </w:rPr>
            </w:pPr>
          </w:p>
        </w:tc>
        <w:tc>
          <w:tcPr>
            <w:tcW w:w="1157" w:type="dxa"/>
          </w:tcPr>
          <w:p w:rsidR="00354AB9" w:rsidRPr="00496E4D" w:rsidRDefault="00354AB9" w:rsidP="00370802">
            <w:pPr>
              <w:jc w:val="right"/>
              <w:rPr>
                <w:sz w:val="22"/>
                <w:szCs w:val="22"/>
              </w:rPr>
            </w:pPr>
          </w:p>
        </w:tc>
      </w:tr>
      <w:tr w:rsidR="006D26BB" w:rsidRPr="00496E4D" w:rsidTr="006D26BB">
        <w:trPr>
          <w:trHeight w:val="360"/>
        </w:trPr>
        <w:tc>
          <w:tcPr>
            <w:tcW w:w="515" w:type="dxa"/>
          </w:tcPr>
          <w:p w:rsidR="00D11E67" w:rsidRPr="00496E4D" w:rsidDel="00B32631" w:rsidRDefault="00D11E67" w:rsidP="00370802">
            <w:pPr>
              <w:jc w:val="right"/>
              <w:rPr>
                <w:sz w:val="22"/>
                <w:szCs w:val="22"/>
              </w:rPr>
            </w:pPr>
            <w:r w:rsidRPr="00496E4D">
              <w:rPr>
                <w:sz w:val="22"/>
                <w:szCs w:val="22"/>
              </w:rPr>
              <w:lastRenderedPageBreak/>
              <w:t>6.</w:t>
            </w:r>
          </w:p>
        </w:tc>
        <w:tc>
          <w:tcPr>
            <w:tcW w:w="5967" w:type="dxa"/>
          </w:tcPr>
          <w:p w:rsidR="00D11E67" w:rsidRDefault="00354AB9" w:rsidP="00354AB9">
            <w:pPr>
              <w:rPr>
                <w:sz w:val="22"/>
                <w:szCs w:val="22"/>
              </w:rPr>
            </w:pPr>
            <w:r>
              <w:rPr>
                <w:sz w:val="22"/>
                <w:szCs w:val="22"/>
              </w:rPr>
              <w:t>Operation Report</w:t>
            </w:r>
          </w:p>
          <w:p w:rsidR="006D26BB" w:rsidRPr="006D26BB" w:rsidRDefault="006D26BB" w:rsidP="006D26BB">
            <w:pPr>
              <w:pStyle w:val="ListParagraph"/>
              <w:numPr>
                <w:ilvl w:val="0"/>
                <w:numId w:val="4"/>
              </w:numPr>
              <w:rPr>
                <w:sz w:val="22"/>
                <w:szCs w:val="22"/>
              </w:rPr>
            </w:pPr>
            <w:r w:rsidRPr="006D26BB">
              <w:rPr>
                <w:sz w:val="22"/>
                <w:szCs w:val="22"/>
              </w:rPr>
              <w:t>Monthly Operations Report Summary/Questions</w:t>
            </w:r>
          </w:p>
        </w:tc>
        <w:tc>
          <w:tcPr>
            <w:tcW w:w="1163" w:type="dxa"/>
          </w:tcPr>
          <w:p w:rsidR="00D11E67" w:rsidRPr="00496E4D" w:rsidRDefault="006D26BB" w:rsidP="006D26BB">
            <w:pPr>
              <w:rPr>
                <w:sz w:val="22"/>
                <w:szCs w:val="22"/>
              </w:rPr>
            </w:pPr>
            <w:r>
              <w:rPr>
                <w:sz w:val="22"/>
                <w:szCs w:val="22"/>
              </w:rPr>
              <w:t>ERCOT</w:t>
            </w:r>
          </w:p>
        </w:tc>
        <w:tc>
          <w:tcPr>
            <w:tcW w:w="1157" w:type="dxa"/>
          </w:tcPr>
          <w:p w:rsidR="00D11E67" w:rsidRPr="00496E4D" w:rsidRDefault="00D11E67" w:rsidP="00370802">
            <w:pPr>
              <w:jc w:val="right"/>
              <w:rPr>
                <w:sz w:val="22"/>
                <w:szCs w:val="22"/>
              </w:rPr>
            </w:pPr>
          </w:p>
        </w:tc>
      </w:tr>
      <w:tr w:rsidR="006D26BB" w:rsidRPr="00496E4D" w:rsidTr="006D26BB">
        <w:trPr>
          <w:trHeight w:val="360"/>
        </w:trPr>
        <w:tc>
          <w:tcPr>
            <w:tcW w:w="515" w:type="dxa"/>
          </w:tcPr>
          <w:p w:rsidR="00D11E67" w:rsidRPr="00496E4D" w:rsidRDefault="00D11E67" w:rsidP="00370802">
            <w:pPr>
              <w:jc w:val="right"/>
              <w:rPr>
                <w:sz w:val="22"/>
                <w:szCs w:val="22"/>
              </w:rPr>
            </w:pPr>
            <w:r w:rsidRPr="00496E4D">
              <w:rPr>
                <w:sz w:val="22"/>
                <w:szCs w:val="22"/>
              </w:rPr>
              <w:t>7.</w:t>
            </w:r>
          </w:p>
        </w:tc>
        <w:tc>
          <w:tcPr>
            <w:tcW w:w="5967" w:type="dxa"/>
          </w:tcPr>
          <w:p w:rsidR="00D11E67" w:rsidRDefault="006D26BB" w:rsidP="006D26BB">
            <w:pPr>
              <w:rPr>
                <w:sz w:val="22"/>
                <w:szCs w:val="22"/>
              </w:rPr>
            </w:pPr>
            <w:r>
              <w:rPr>
                <w:sz w:val="22"/>
                <w:szCs w:val="22"/>
              </w:rPr>
              <w:t>Texas RE Update Report</w:t>
            </w:r>
          </w:p>
          <w:p w:rsidR="006D26BB" w:rsidRPr="006D26BB" w:rsidRDefault="006D26BB" w:rsidP="006D26BB">
            <w:pPr>
              <w:pStyle w:val="ListParagraph"/>
              <w:numPr>
                <w:ilvl w:val="0"/>
                <w:numId w:val="4"/>
              </w:numPr>
              <w:rPr>
                <w:sz w:val="22"/>
                <w:szCs w:val="22"/>
              </w:rPr>
            </w:pPr>
            <w:r>
              <w:rPr>
                <w:sz w:val="22"/>
                <w:szCs w:val="22"/>
              </w:rPr>
              <w:t>Standards Update</w:t>
            </w:r>
          </w:p>
        </w:tc>
        <w:tc>
          <w:tcPr>
            <w:tcW w:w="1163" w:type="dxa"/>
          </w:tcPr>
          <w:p w:rsidR="00D11E67" w:rsidRPr="00496E4D" w:rsidRDefault="006D26BB" w:rsidP="00370802">
            <w:pPr>
              <w:rPr>
                <w:sz w:val="22"/>
                <w:szCs w:val="22"/>
              </w:rPr>
            </w:pPr>
            <w:r>
              <w:rPr>
                <w:sz w:val="22"/>
                <w:szCs w:val="22"/>
              </w:rPr>
              <w:t>TRE</w:t>
            </w:r>
          </w:p>
        </w:tc>
        <w:tc>
          <w:tcPr>
            <w:tcW w:w="1157" w:type="dxa"/>
          </w:tcPr>
          <w:p w:rsidR="00D11E67" w:rsidRPr="00496E4D" w:rsidRDefault="006D26BB" w:rsidP="00370802">
            <w:pPr>
              <w:jc w:val="right"/>
              <w:rPr>
                <w:sz w:val="22"/>
                <w:szCs w:val="22"/>
              </w:rPr>
            </w:pPr>
            <w:r>
              <w:rPr>
                <w:sz w:val="22"/>
                <w:szCs w:val="22"/>
              </w:rPr>
              <w:t xml:space="preserve"> </w:t>
            </w:r>
          </w:p>
        </w:tc>
      </w:tr>
      <w:tr w:rsidR="006D26BB" w:rsidRPr="00496E4D" w:rsidTr="006D26BB">
        <w:trPr>
          <w:trHeight w:val="360"/>
        </w:trPr>
        <w:tc>
          <w:tcPr>
            <w:tcW w:w="515" w:type="dxa"/>
          </w:tcPr>
          <w:p w:rsidR="00D11E67" w:rsidRPr="00496E4D" w:rsidRDefault="00D11E67" w:rsidP="00370802">
            <w:pPr>
              <w:jc w:val="right"/>
              <w:rPr>
                <w:sz w:val="22"/>
                <w:szCs w:val="22"/>
              </w:rPr>
            </w:pPr>
            <w:r w:rsidRPr="00496E4D">
              <w:rPr>
                <w:sz w:val="22"/>
                <w:szCs w:val="22"/>
              </w:rPr>
              <w:t>8.</w:t>
            </w:r>
          </w:p>
        </w:tc>
        <w:tc>
          <w:tcPr>
            <w:tcW w:w="5967" w:type="dxa"/>
          </w:tcPr>
          <w:p w:rsidR="00D11E67" w:rsidRDefault="006D26BB" w:rsidP="006D26BB">
            <w:pPr>
              <w:rPr>
                <w:sz w:val="22"/>
                <w:szCs w:val="22"/>
              </w:rPr>
            </w:pPr>
            <w:r>
              <w:rPr>
                <w:sz w:val="22"/>
                <w:szCs w:val="22"/>
              </w:rPr>
              <w:t>System Operations Report</w:t>
            </w:r>
          </w:p>
          <w:p w:rsidR="006D26BB" w:rsidRPr="006D26BB" w:rsidRDefault="006D26BB" w:rsidP="006D26BB">
            <w:pPr>
              <w:pStyle w:val="ListParagraph"/>
              <w:numPr>
                <w:ilvl w:val="0"/>
                <w:numId w:val="4"/>
              </w:numPr>
              <w:rPr>
                <w:sz w:val="22"/>
                <w:szCs w:val="22"/>
              </w:rPr>
            </w:pPr>
            <w:r>
              <w:rPr>
                <w:sz w:val="22"/>
                <w:szCs w:val="22"/>
              </w:rPr>
              <w:t xml:space="preserve">Operating Procedure Changes that Impact Market Participants </w:t>
            </w:r>
          </w:p>
        </w:tc>
        <w:tc>
          <w:tcPr>
            <w:tcW w:w="1163" w:type="dxa"/>
          </w:tcPr>
          <w:p w:rsidR="00D11E67" w:rsidRPr="00496E4D" w:rsidRDefault="006D26BB" w:rsidP="006D26BB">
            <w:pPr>
              <w:rPr>
                <w:sz w:val="22"/>
                <w:szCs w:val="22"/>
              </w:rPr>
            </w:pPr>
            <w:r>
              <w:rPr>
                <w:sz w:val="22"/>
                <w:szCs w:val="22"/>
              </w:rPr>
              <w:t>ERCOT</w:t>
            </w:r>
          </w:p>
        </w:tc>
        <w:tc>
          <w:tcPr>
            <w:tcW w:w="1157" w:type="dxa"/>
          </w:tcPr>
          <w:p w:rsidR="00D11E67" w:rsidRPr="00496E4D" w:rsidRDefault="00D11E67" w:rsidP="00370802">
            <w:pPr>
              <w:jc w:val="right"/>
              <w:rPr>
                <w:sz w:val="22"/>
                <w:szCs w:val="22"/>
              </w:rPr>
            </w:pPr>
          </w:p>
        </w:tc>
      </w:tr>
      <w:tr w:rsidR="006D26BB" w:rsidRPr="00496E4D" w:rsidTr="006D26BB">
        <w:trPr>
          <w:trHeight w:val="360"/>
        </w:trPr>
        <w:tc>
          <w:tcPr>
            <w:tcW w:w="515" w:type="dxa"/>
          </w:tcPr>
          <w:p w:rsidR="00D11E67" w:rsidRPr="00496E4D" w:rsidRDefault="00D11E67" w:rsidP="00370802">
            <w:pPr>
              <w:jc w:val="right"/>
              <w:rPr>
                <w:sz w:val="22"/>
                <w:szCs w:val="22"/>
              </w:rPr>
            </w:pPr>
            <w:r w:rsidRPr="00496E4D">
              <w:rPr>
                <w:sz w:val="22"/>
                <w:szCs w:val="22"/>
              </w:rPr>
              <w:t>9.</w:t>
            </w:r>
          </w:p>
        </w:tc>
        <w:tc>
          <w:tcPr>
            <w:tcW w:w="5967" w:type="dxa"/>
          </w:tcPr>
          <w:p w:rsidR="00D11E67" w:rsidRPr="00496E4D" w:rsidRDefault="006D26BB" w:rsidP="006D26BB">
            <w:pPr>
              <w:rPr>
                <w:sz w:val="22"/>
                <w:szCs w:val="22"/>
              </w:rPr>
            </w:pPr>
            <w:r>
              <w:rPr>
                <w:sz w:val="22"/>
                <w:szCs w:val="22"/>
              </w:rPr>
              <w:t>Other</w:t>
            </w:r>
          </w:p>
        </w:tc>
        <w:tc>
          <w:tcPr>
            <w:tcW w:w="1163" w:type="dxa"/>
          </w:tcPr>
          <w:p w:rsidR="00D11E67" w:rsidRPr="00496E4D" w:rsidRDefault="006D26BB" w:rsidP="006D26BB">
            <w:pPr>
              <w:rPr>
                <w:sz w:val="22"/>
                <w:szCs w:val="22"/>
              </w:rPr>
            </w:pPr>
            <w:r>
              <w:rPr>
                <w:sz w:val="22"/>
                <w:szCs w:val="22"/>
              </w:rPr>
              <w:t>M. Carter</w:t>
            </w:r>
          </w:p>
        </w:tc>
        <w:tc>
          <w:tcPr>
            <w:tcW w:w="1157" w:type="dxa"/>
          </w:tcPr>
          <w:p w:rsidR="00D11E67" w:rsidRPr="00496E4D" w:rsidRDefault="00D11E67" w:rsidP="00370802">
            <w:pPr>
              <w:jc w:val="right"/>
              <w:rPr>
                <w:sz w:val="22"/>
                <w:szCs w:val="22"/>
              </w:rPr>
            </w:pPr>
          </w:p>
        </w:tc>
      </w:tr>
      <w:tr w:rsidR="006D26BB" w:rsidRPr="00496E4D" w:rsidTr="006D26BB">
        <w:trPr>
          <w:trHeight w:val="360"/>
        </w:trPr>
        <w:tc>
          <w:tcPr>
            <w:tcW w:w="515" w:type="dxa"/>
          </w:tcPr>
          <w:p w:rsidR="006D26BB" w:rsidRPr="00496E4D" w:rsidRDefault="006D26BB" w:rsidP="00370802">
            <w:pPr>
              <w:jc w:val="right"/>
              <w:rPr>
                <w:sz w:val="22"/>
                <w:szCs w:val="22"/>
              </w:rPr>
            </w:pPr>
          </w:p>
        </w:tc>
        <w:tc>
          <w:tcPr>
            <w:tcW w:w="5967" w:type="dxa"/>
          </w:tcPr>
          <w:p w:rsidR="006D26BB" w:rsidRPr="00496E4D" w:rsidRDefault="006D26BB" w:rsidP="00370802">
            <w:pPr>
              <w:rPr>
                <w:sz w:val="22"/>
                <w:szCs w:val="22"/>
              </w:rPr>
            </w:pPr>
          </w:p>
        </w:tc>
        <w:tc>
          <w:tcPr>
            <w:tcW w:w="1163" w:type="dxa"/>
          </w:tcPr>
          <w:p w:rsidR="006D26BB" w:rsidRPr="00496E4D" w:rsidRDefault="006D26BB" w:rsidP="00370802">
            <w:pPr>
              <w:rPr>
                <w:sz w:val="22"/>
                <w:szCs w:val="22"/>
              </w:rPr>
            </w:pPr>
          </w:p>
        </w:tc>
        <w:tc>
          <w:tcPr>
            <w:tcW w:w="1157" w:type="dxa"/>
          </w:tcPr>
          <w:p w:rsidR="006D26BB" w:rsidRPr="00496E4D" w:rsidRDefault="006D26BB" w:rsidP="00370802">
            <w:pPr>
              <w:jc w:val="right"/>
              <w:rPr>
                <w:sz w:val="22"/>
                <w:szCs w:val="22"/>
              </w:rPr>
            </w:pPr>
          </w:p>
        </w:tc>
      </w:tr>
      <w:tr w:rsidR="006D26BB" w:rsidRPr="00496E4D" w:rsidTr="006D26BB">
        <w:trPr>
          <w:trHeight w:val="360"/>
        </w:trPr>
        <w:tc>
          <w:tcPr>
            <w:tcW w:w="515" w:type="dxa"/>
          </w:tcPr>
          <w:p w:rsidR="00D11E67" w:rsidRPr="00496E4D" w:rsidRDefault="00D11E67" w:rsidP="00370802">
            <w:pPr>
              <w:jc w:val="right"/>
              <w:rPr>
                <w:sz w:val="22"/>
                <w:szCs w:val="22"/>
              </w:rPr>
            </w:pPr>
          </w:p>
        </w:tc>
        <w:tc>
          <w:tcPr>
            <w:tcW w:w="5967" w:type="dxa"/>
          </w:tcPr>
          <w:p w:rsidR="00D11E67" w:rsidRPr="00496E4D" w:rsidRDefault="00D11E67" w:rsidP="00370802">
            <w:pPr>
              <w:rPr>
                <w:sz w:val="22"/>
                <w:szCs w:val="22"/>
              </w:rPr>
            </w:pPr>
            <w:r w:rsidRPr="00496E4D">
              <w:rPr>
                <w:sz w:val="22"/>
                <w:szCs w:val="22"/>
              </w:rPr>
              <w:t>Adjourn</w:t>
            </w:r>
          </w:p>
        </w:tc>
        <w:tc>
          <w:tcPr>
            <w:tcW w:w="1163" w:type="dxa"/>
          </w:tcPr>
          <w:p w:rsidR="00D11E67" w:rsidRPr="00496E4D" w:rsidRDefault="006D26BB" w:rsidP="006D26BB">
            <w:pPr>
              <w:rPr>
                <w:sz w:val="22"/>
                <w:szCs w:val="22"/>
              </w:rPr>
            </w:pPr>
            <w:r>
              <w:rPr>
                <w:sz w:val="22"/>
                <w:szCs w:val="22"/>
              </w:rPr>
              <w:t xml:space="preserve">M. Carter </w:t>
            </w:r>
          </w:p>
        </w:tc>
        <w:tc>
          <w:tcPr>
            <w:tcW w:w="1157" w:type="dxa"/>
          </w:tcPr>
          <w:p w:rsidR="00D11E67" w:rsidRPr="00496E4D" w:rsidRDefault="006D26BB" w:rsidP="006D26BB">
            <w:pPr>
              <w:jc w:val="right"/>
              <w:rPr>
                <w:sz w:val="22"/>
                <w:szCs w:val="22"/>
              </w:rPr>
            </w:pPr>
            <w:r>
              <w:rPr>
                <w:sz w:val="22"/>
                <w:szCs w:val="22"/>
              </w:rPr>
              <w:t xml:space="preserve">11:00 a.m. </w:t>
            </w:r>
          </w:p>
        </w:tc>
      </w:tr>
      <w:bookmarkEnd w:id="4"/>
      <w:tr w:rsidR="006D26BB" w:rsidRPr="00496E4D" w:rsidTr="006D26BB">
        <w:trPr>
          <w:trHeight w:val="360"/>
        </w:trPr>
        <w:tc>
          <w:tcPr>
            <w:tcW w:w="515" w:type="dxa"/>
          </w:tcPr>
          <w:p w:rsidR="00D11E67" w:rsidRPr="00496E4D" w:rsidRDefault="00D11E67" w:rsidP="00370802">
            <w:pPr>
              <w:rPr>
                <w:sz w:val="22"/>
                <w:szCs w:val="22"/>
              </w:rPr>
            </w:pPr>
          </w:p>
        </w:tc>
        <w:tc>
          <w:tcPr>
            <w:tcW w:w="5967" w:type="dxa"/>
          </w:tcPr>
          <w:p w:rsidR="006D26BB" w:rsidRDefault="00D11E67" w:rsidP="00370802">
            <w:pPr>
              <w:rPr>
                <w:sz w:val="22"/>
                <w:szCs w:val="22"/>
              </w:rPr>
            </w:pPr>
            <w:r w:rsidRPr="00496E4D">
              <w:rPr>
                <w:sz w:val="22"/>
                <w:szCs w:val="22"/>
              </w:rPr>
              <w:t>Future Meetings</w:t>
            </w:r>
          </w:p>
          <w:p w:rsidR="00D11E67" w:rsidRPr="006D26BB" w:rsidRDefault="006D26BB" w:rsidP="006D26BB">
            <w:pPr>
              <w:pStyle w:val="ListParagraph"/>
              <w:numPr>
                <w:ilvl w:val="0"/>
                <w:numId w:val="4"/>
              </w:numPr>
              <w:rPr>
                <w:sz w:val="22"/>
                <w:szCs w:val="22"/>
              </w:rPr>
            </w:pPr>
            <w:r>
              <w:rPr>
                <w:sz w:val="22"/>
                <w:szCs w:val="22"/>
              </w:rPr>
              <w:t xml:space="preserve">March 18, 2016 ERCOT Met Center, Room 168 </w:t>
            </w:r>
          </w:p>
        </w:tc>
        <w:tc>
          <w:tcPr>
            <w:tcW w:w="1163" w:type="dxa"/>
          </w:tcPr>
          <w:p w:rsidR="00D11E67" w:rsidRPr="00496E4D" w:rsidRDefault="00D11E67" w:rsidP="00370802">
            <w:pPr>
              <w:rPr>
                <w:sz w:val="22"/>
                <w:szCs w:val="22"/>
              </w:rPr>
            </w:pPr>
            <w:r w:rsidRPr="00496E4D">
              <w:rPr>
                <w:sz w:val="22"/>
                <w:szCs w:val="22"/>
              </w:rPr>
              <w:t>Presenter</w:t>
            </w:r>
          </w:p>
        </w:tc>
        <w:tc>
          <w:tcPr>
            <w:tcW w:w="1157" w:type="dxa"/>
          </w:tcPr>
          <w:p w:rsidR="00D11E67" w:rsidRPr="00496E4D" w:rsidRDefault="00D11E67" w:rsidP="00370802">
            <w:pPr>
              <w:jc w:val="right"/>
              <w:rPr>
                <w:sz w:val="22"/>
                <w:szCs w:val="22"/>
              </w:rPr>
            </w:pPr>
          </w:p>
        </w:tc>
      </w:tr>
      <w:bookmarkEnd w:id="0"/>
      <w:bookmarkEnd w:id="1"/>
      <w:bookmarkEnd w:id="2"/>
      <w:bookmarkEnd w:id="3"/>
    </w:tbl>
    <w:p w:rsidR="004D3BDA" w:rsidRPr="004D3BDA" w:rsidRDefault="004D3BDA" w:rsidP="00370802">
      <w:pPr>
        <w:rPr>
          <w:sz w:val="22"/>
          <w:szCs w:val="22"/>
        </w:rPr>
      </w:pPr>
    </w:p>
    <w:sectPr w:rsidR="004D3BDA" w:rsidRPr="004D3BDA" w:rsidSect="00357C3B">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A06" w:rsidRDefault="00677A06" w:rsidP="00357C3B">
      <w:r>
        <w:separator/>
      </w:r>
    </w:p>
  </w:endnote>
  <w:endnote w:type="continuationSeparator" w:id="0">
    <w:p w:rsidR="00677A06" w:rsidRDefault="00677A06" w:rsidP="0035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F4" w:rsidRDefault="00357C3B">
    <w:pPr>
      <w:pStyle w:val="Footer"/>
    </w:pPr>
    <w:r>
      <w:fldChar w:fldCharType="begin"/>
    </w:r>
    <w:r w:rsidR="004D3BDA">
      <w:instrText xml:space="preserve"> FILENAME </w:instrText>
    </w:r>
    <w:r>
      <w:fldChar w:fldCharType="separate"/>
    </w:r>
    <w:r w:rsidR="004D3BDA">
      <w:rPr>
        <w:noProof/>
      </w:rPr>
      <w:t xml:space="preserve">Agenda </w:t>
    </w:r>
    <w:r w:rsidR="006D26BB">
      <w:rPr>
        <w:noProof/>
      </w:rPr>
      <w:t>OWG 20160126</w:t>
    </w:r>
    <w:r w:rsidR="00A86276">
      <w:rPr>
        <w:noProof/>
      </w:rPr>
      <w:t>.</w:t>
    </w:r>
    <w:r w:rsidR="004D3BDA">
      <w:rPr>
        <w:noProof/>
      </w:rPr>
      <w:t>doc</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A06" w:rsidRDefault="00677A06" w:rsidP="00357C3B">
      <w:r>
        <w:separator/>
      </w:r>
    </w:p>
  </w:footnote>
  <w:footnote w:type="continuationSeparator" w:id="0">
    <w:p w:rsidR="00677A06" w:rsidRDefault="00677A06" w:rsidP="00357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F4" w:rsidRDefault="00677A06">
    <w:pPr>
      <w:tabs>
        <w:tab w:val="left" w:pos="1368"/>
        <w:tab w:val="center" w:pos="4320"/>
      </w:tabs>
      <w:jc w:val="center"/>
      <w:rPr>
        <w:b/>
        <w:sz w:val="24"/>
        <w:szCs w:val="24"/>
      </w:rPr>
    </w:pPr>
  </w:p>
  <w:p w:rsidR="000F10F4" w:rsidRDefault="00677A06">
    <w:pPr>
      <w:tabs>
        <w:tab w:val="left" w:pos="1368"/>
        <w:tab w:val="center" w:pos="4320"/>
      </w:tabs>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8630A"/>
    <w:multiLevelType w:val="hybridMultilevel"/>
    <w:tmpl w:val="4C2C9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986498"/>
    <w:multiLevelType w:val="hybridMultilevel"/>
    <w:tmpl w:val="A86CA4FA"/>
    <w:lvl w:ilvl="0" w:tplc="405697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186CC3"/>
    <w:multiLevelType w:val="hybridMultilevel"/>
    <w:tmpl w:val="964C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C2A1E"/>
    <w:multiLevelType w:val="hybridMultilevel"/>
    <w:tmpl w:val="182C9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FA1539"/>
    <w:multiLevelType w:val="hybridMultilevel"/>
    <w:tmpl w:val="BFD0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6B21AF"/>
    <w:multiLevelType w:val="hybridMultilevel"/>
    <w:tmpl w:val="F7784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2324CF"/>
    <w:multiLevelType w:val="hybridMultilevel"/>
    <w:tmpl w:val="4BA6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CB"/>
    <w:rsid w:val="00045CB3"/>
    <w:rsid w:val="00193673"/>
    <w:rsid w:val="002D184D"/>
    <w:rsid w:val="00303C55"/>
    <w:rsid w:val="00341E23"/>
    <w:rsid w:val="00342820"/>
    <w:rsid w:val="00354AB9"/>
    <w:rsid w:val="00357C3B"/>
    <w:rsid w:val="00370802"/>
    <w:rsid w:val="003906F8"/>
    <w:rsid w:val="004066FF"/>
    <w:rsid w:val="00407EB8"/>
    <w:rsid w:val="00496E4D"/>
    <w:rsid w:val="004D3BDA"/>
    <w:rsid w:val="0065452B"/>
    <w:rsid w:val="00677A06"/>
    <w:rsid w:val="006D26BB"/>
    <w:rsid w:val="00712D49"/>
    <w:rsid w:val="00717922"/>
    <w:rsid w:val="007B1F13"/>
    <w:rsid w:val="0081448A"/>
    <w:rsid w:val="008227A1"/>
    <w:rsid w:val="0082586F"/>
    <w:rsid w:val="009A723D"/>
    <w:rsid w:val="00A54C11"/>
    <w:rsid w:val="00A81720"/>
    <w:rsid w:val="00A86276"/>
    <w:rsid w:val="00B306AD"/>
    <w:rsid w:val="00BC379D"/>
    <w:rsid w:val="00BD0CCB"/>
    <w:rsid w:val="00C07D65"/>
    <w:rsid w:val="00CA51C3"/>
    <w:rsid w:val="00CF3ED6"/>
    <w:rsid w:val="00D11E67"/>
    <w:rsid w:val="00D7130B"/>
    <w:rsid w:val="00E16822"/>
    <w:rsid w:val="00E24207"/>
    <w:rsid w:val="00E509A0"/>
    <w:rsid w:val="00E93775"/>
    <w:rsid w:val="00F05BF6"/>
    <w:rsid w:val="00FA1BDD"/>
    <w:rsid w:val="00FB10FC"/>
    <w:rsid w:val="00FD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2AF07-C2FE-4029-BA28-DA7B4302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BDA"/>
    <w:pPr>
      <w:overflowPunct w:val="0"/>
      <w:autoSpaceDE w:val="0"/>
      <w:autoSpaceDN w:val="0"/>
      <w:adjustRightInd w:val="0"/>
      <w:textAlignment w:val="baseline"/>
    </w:pPr>
  </w:style>
  <w:style w:type="paragraph" w:styleId="Heading2">
    <w:name w:val="heading 2"/>
    <w:basedOn w:val="Normal"/>
    <w:next w:val="Normal"/>
    <w:link w:val="Heading2Char"/>
    <w:qFormat/>
    <w:rsid w:val="00FA1BDD"/>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BDD"/>
    <w:rPr>
      <w:b/>
    </w:rPr>
  </w:style>
  <w:style w:type="paragraph" w:styleId="Title">
    <w:name w:val="Title"/>
    <w:basedOn w:val="Normal"/>
    <w:link w:val="TitleChar"/>
    <w:uiPriority w:val="10"/>
    <w:qFormat/>
    <w:rsid w:val="00FA1BDD"/>
    <w:pPr>
      <w:jc w:val="center"/>
    </w:pPr>
    <w:rPr>
      <w:b/>
    </w:rPr>
  </w:style>
  <w:style w:type="character" w:customStyle="1" w:styleId="TitleChar">
    <w:name w:val="Title Char"/>
    <w:basedOn w:val="DefaultParagraphFont"/>
    <w:link w:val="Title"/>
    <w:uiPriority w:val="10"/>
    <w:rsid w:val="00FA1BDD"/>
    <w:rPr>
      <w:b/>
      <w:sz w:val="24"/>
    </w:rPr>
  </w:style>
  <w:style w:type="character" w:styleId="Strong">
    <w:name w:val="Strong"/>
    <w:basedOn w:val="DefaultParagraphFont"/>
    <w:uiPriority w:val="22"/>
    <w:qFormat/>
    <w:rsid w:val="00FA1BDD"/>
    <w:rPr>
      <w:b/>
      <w:bCs/>
    </w:rPr>
  </w:style>
  <w:style w:type="paragraph" w:styleId="Header">
    <w:name w:val="header"/>
    <w:basedOn w:val="Normal"/>
    <w:link w:val="HeaderChar"/>
    <w:rsid w:val="004D3BDA"/>
    <w:pPr>
      <w:tabs>
        <w:tab w:val="center" w:pos="4320"/>
        <w:tab w:val="right" w:pos="8640"/>
      </w:tabs>
    </w:pPr>
  </w:style>
  <w:style w:type="character" w:customStyle="1" w:styleId="HeaderChar">
    <w:name w:val="Header Char"/>
    <w:basedOn w:val="DefaultParagraphFont"/>
    <w:link w:val="Header"/>
    <w:rsid w:val="004D3BDA"/>
  </w:style>
  <w:style w:type="paragraph" w:styleId="Footer">
    <w:name w:val="footer"/>
    <w:basedOn w:val="Normal"/>
    <w:link w:val="FooterChar"/>
    <w:rsid w:val="004D3BDA"/>
    <w:pPr>
      <w:tabs>
        <w:tab w:val="center" w:pos="4320"/>
        <w:tab w:val="right" w:pos="8640"/>
      </w:tabs>
    </w:pPr>
  </w:style>
  <w:style w:type="character" w:customStyle="1" w:styleId="FooterChar">
    <w:name w:val="Footer Char"/>
    <w:basedOn w:val="DefaultParagraphFont"/>
    <w:link w:val="Footer"/>
    <w:rsid w:val="004D3BDA"/>
  </w:style>
  <w:style w:type="character" w:styleId="Hyperlink">
    <w:name w:val="Hyperlink"/>
    <w:uiPriority w:val="99"/>
    <w:unhideWhenUsed/>
    <w:rsid w:val="004D3BDA"/>
    <w:rPr>
      <w:color w:val="0000FF"/>
      <w:u w:val="single"/>
    </w:rPr>
  </w:style>
  <w:style w:type="paragraph" w:styleId="ListParagraph">
    <w:name w:val="List Paragraph"/>
    <w:basedOn w:val="Normal"/>
    <w:uiPriority w:val="34"/>
    <w:qFormat/>
    <w:rsid w:val="00D11E67"/>
    <w:pPr>
      <w:ind w:left="720"/>
      <w:contextualSpacing/>
    </w:pPr>
  </w:style>
  <w:style w:type="paragraph" w:styleId="BalloonText">
    <w:name w:val="Balloon Text"/>
    <w:basedOn w:val="Normal"/>
    <w:link w:val="BalloonTextChar"/>
    <w:uiPriority w:val="99"/>
    <w:semiHidden/>
    <w:unhideWhenUsed/>
    <w:rsid w:val="009A723D"/>
    <w:rPr>
      <w:rFonts w:ascii="Tahoma" w:hAnsi="Tahoma" w:cs="Tahoma"/>
      <w:sz w:val="16"/>
      <w:szCs w:val="16"/>
    </w:rPr>
  </w:style>
  <w:style w:type="character" w:customStyle="1" w:styleId="BalloonTextChar">
    <w:name w:val="Balloon Text Char"/>
    <w:basedOn w:val="DefaultParagraphFont"/>
    <w:link w:val="BalloonText"/>
    <w:uiPriority w:val="99"/>
    <w:semiHidden/>
    <w:rsid w:val="009A723D"/>
    <w:rPr>
      <w:rFonts w:ascii="Tahoma" w:hAnsi="Tahoma" w:cs="Tahoma"/>
      <w:sz w:val="16"/>
      <w:szCs w:val="16"/>
    </w:rPr>
  </w:style>
  <w:style w:type="character" w:customStyle="1" w:styleId="apple-converted-space">
    <w:name w:val="apple-converted-space"/>
    <w:basedOn w:val="DefaultParagraphFont"/>
    <w:rsid w:val="00FB1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9719E-4C6F-4E61-9B79-E63D8A05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Energy Reliability Council of Texas</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albracht</dc:creator>
  <cp:lastModifiedBy>Clifton, Suzy</cp:lastModifiedBy>
  <cp:revision>4</cp:revision>
  <dcterms:created xsi:type="dcterms:W3CDTF">2016-01-25T21:32:00Z</dcterms:created>
  <dcterms:modified xsi:type="dcterms:W3CDTF">2016-01-25T21:53:00Z</dcterms:modified>
</cp:coreProperties>
</file>