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7E5" w:rsidRDefault="007E0C59" w:rsidP="006B4494">
      <w:pPr>
        <w:spacing w:line="240" w:lineRule="auto"/>
        <w:contextualSpacing/>
        <w:jc w:val="center"/>
        <w:rPr>
          <w:b/>
          <w:i/>
          <w:sz w:val="28"/>
          <w:szCs w:val="28"/>
        </w:rPr>
      </w:pPr>
      <w:r>
        <w:rPr>
          <w:b/>
          <w:i/>
          <w:sz w:val="28"/>
          <w:szCs w:val="28"/>
        </w:rPr>
        <w:t xml:space="preserve">Comments of </w:t>
      </w:r>
      <w:r w:rsidR="00B007E5" w:rsidRPr="00B007E5">
        <w:rPr>
          <w:b/>
          <w:i/>
          <w:sz w:val="28"/>
          <w:szCs w:val="28"/>
        </w:rPr>
        <w:t>Br</w:t>
      </w:r>
      <w:r>
        <w:rPr>
          <w:b/>
          <w:i/>
          <w:sz w:val="28"/>
          <w:szCs w:val="28"/>
        </w:rPr>
        <w:t>azos Electric Power Cooperative</w:t>
      </w:r>
      <w:r w:rsidR="00893753">
        <w:rPr>
          <w:b/>
          <w:i/>
          <w:sz w:val="28"/>
          <w:szCs w:val="28"/>
        </w:rPr>
        <w:t>, Inc</w:t>
      </w:r>
      <w:bookmarkStart w:id="0" w:name="_GoBack"/>
      <w:r w:rsidR="00893753">
        <w:rPr>
          <w:b/>
          <w:i/>
          <w:sz w:val="28"/>
          <w:szCs w:val="28"/>
        </w:rPr>
        <w:t>.</w:t>
      </w:r>
      <w:r>
        <w:rPr>
          <w:b/>
          <w:i/>
          <w:sz w:val="28"/>
          <w:szCs w:val="28"/>
        </w:rPr>
        <w:t xml:space="preserve"> </w:t>
      </w:r>
      <w:r w:rsidR="00CA1009">
        <w:rPr>
          <w:b/>
          <w:i/>
          <w:sz w:val="28"/>
          <w:szCs w:val="28"/>
        </w:rPr>
        <w:t>and Rayburn</w:t>
      </w:r>
      <w:r w:rsidR="001F12C8">
        <w:rPr>
          <w:b/>
          <w:i/>
          <w:sz w:val="28"/>
          <w:szCs w:val="28"/>
        </w:rPr>
        <w:t xml:space="preserve"> </w:t>
      </w:r>
      <w:bookmarkEnd w:id="0"/>
      <w:r w:rsidR="001F12C8">
        <w:rPr>
          <w:b/>
          <w:i/>
          <w:sz w:val="28"/>
          <w:szCs w:val="28"/>
        </w:rPr>
        <w:t>Country</w:t>
      </w:r>
      <w:r w:rsidR="00CA1009">
        <w:rPr>
          <w:b/>
          <w:i/>
          <w:sz w:val="28"/>
          <w:szCs w:val="28"/>
        </w:rPr>
        <w:t xml:space="preserve"> Electric Cooperative, Inc. </w:t>
      </w:r>
      <w:r>
        <w:rPr>
          <w:b/>
          <w:i/>
          <w:sz w:val="28"/>
          <w:szCs w:val="28"/>
        </w:rPr>
        <w:t xml:space="preserve">on </w:t>
      </w:r>
      <w:r w:rsidR="00B007E5" w:rsidRPr="00B007E5">
        <w:rPr>
          <w:b/>
          <w:i/>
          <w:sz w:val="28"/>
          <w:szCs w:val="28"/>
        </w:rPr>
        <w:t>ORDC Options</w:t>
      </w:r>
      <w:r w:rsidR="00121163">
        <w:rPr>
          <w:b/>
          <w:i/>
          <w:sz w:val="28"/>
          <w:szCs w:val="28"/>
        </w:rPr>
        <w:t xml:space="preserve"> for Change</w:t>
      </w:r>
    </w:p>
    <w:p w:rsidR="00EC25CE" w:rsidRPr="00EC25CE" w:rsidRDefault="00EC25CE" w:rsidP="006B4494">
      <w:pPr>
        <w:spacing w:line="240" w:lineRule="auto"/>
        <w:contextualSpacing/>
        <w:jc w:val="center"/>
        <w:rPr>
          <w:b/>
          <w:i/>
          <w:sz w:val="24"/>
          <w:szCs w:val="24"/>
        </w:rPr>
      </w:pPr>
      <w:r w:rsidRPr="00EC25CE">
        <w:rPr>
          <w:b/>
          <w:i/>
          <w:sz w:val="24"/>
          <w:szCs w:val="24"/>
        </w:rPr>
        <w:t>01.04.16</w:t>
      </w:r>
    </w:p>
    <w:p w:rsidR="006B4494" w:rsidRDefault="006B4494" w:rsidP="006B4494">
      <w:pPr>
        <w:spacing w:line="240" w:lineRule="auto"/>
        <w:jc w:val="both"/>
      </w:pPr>
    </w:p>
    <w:p w:rsidR="00E514CA" w:rsidRPr="00121163" w:rsidRDefault="00AD6CD9" w:rsidP="006B4494">
      <w:pPr>
        <w:spacing w:line="240" w:lineRule="auto"/>
        <w:jc w:val="both"/>
      </w:pPr>
      <w:r w:rsidRPr="00121163">
        <w:t>Brazos Electric Power Cooperative</w:t>
      </w:r>
      <w:r w:rsidR="00893753" w:rsidRPr="00121163">
        <w:t>, Inc.</w:t>
      </w:r>
      <w:r w:rsidR="00CA1009" w:rsidRPr="00121163">
        <w:t xml:space="preserve"> and Rayburn </w:t>
      </w:r>
      <w:r w:rsidR="00C176AC" w:rsidRPr="00121163">
        <w:t xml:space="preserve">Country </w:t>
      </w:r>
      <w:r w:rsidR="00CA1009" w:rsidRPr="00121163">
        <w:t xml:space="preserve">Electric Cooperative, Inc. (collectively, the “Co-ops”) </w:t>
      </w:r>
      <w:r w:rsidRPr="00121163">
        <w:t xml:space="preserve">appreciate the opportunity to </w:t>
      </w:r>
      <w:r w:rsidR="005A0A5E" w:rsidRPr="00121163">
        <w:t xml:space="preserve">review </w:t>
      </w:r>
      <w:r w:rsidR="00AD73C1" w:rsidRPr="00121163">
        <w:t xml:space="preserve">and comment on </w:t>
      </w:r>
      <w:r w:rsidR="005A0A5E" w:rsidRPr="00121163">
        <w:t xml:space="preserve">the functionality of the Operating Reserve Demand Curve (ORDC) in the ERCOT market, and to </w:t>
      </w:r>
      <w:r w:rsidR="00AD73C1" w:rsidRPr="00121163">
        <w:t>provide feedback on the o</w:t>
      </w:r>
      <w:r w:rsidRPr="00121163">
        <w:t xml:space="preserve">ptions proposed by </w:t>
      </w:r>
      <w:r w:rsidR="00AD73C1" w:rsidRPr="00121163">
        <w:t xml:space="preserve">ERCOT </w:t>
      </w:r>
      <w:r w:rsidR="000014E4" w:rsidRPr="00121163">
        <w:t>s</w:t>
      </w:r>
      <w:r w:rsidRPr="00121163">
        <w:t xml:space="preserve">takeholders to </w:t>
      </w:r>
      <w:r w:rsidR="005A0A5E" w:rsidRPr="00121163">
        <w:t xml:space="preserve">address </w:t>
      </w:r>
      <w:r w:rsidR="00AD73C1" w:rsidRPr="00121163">
        <w:t xml:space="preserve">occasional events of </w:t>
      </w:r>
      <w:r w:rsidR="005A0A5E" w:rsidRPr="00121163">
        <w:t xml:space="preserve">perceived shortcomings of the </w:t>
      </w:r>
      <w:r w:rsidR="00AD73C1" w:rsidRPr="00121163">
        <w:t xml:space="preserve">current </w:t>
      </w:r>
      <w:r w:rsidR="005A0A5E" w:rsidRPr="00121163">
        <w:t>ORDC</w:t>
      </w:r>
      <w:r w:rsidR="00AD73C1" w:rsidRPr="00121163">
        <w:t xml:space="preserve"> </w:t>
      </w:r>
      <w:r w:rsidR="00FA7320" w:rsidRPr="00121163">
        <w:t xml:space="preserve">real-time price </w:t>
      </w:r>
      <w:r w:rsidR="00AD73C1" w:rsidRPr="00121163">
        <w:t>adder</w:t>
      </w:r>
      <w:r w:rsidR="005A0A5E" w:rsidRPr="00121163">
        <w:t>.</w:t>
      </w:r>
      <w:r w:rsidR="00E86F44" w:rsidRPr="00121163">
        <w:t xml:space="preserve"> </w:t>
      </w:r>
      <w:r w:rsidR="00800C7C" w:rsidRPr="00121163">
        <w:t>The Co-ops are</w:t>
      </w:r>
      <w:r w:rsidR="00E86F44" w:rsidRPr="00121163">
        <w:t xml:space="preserve"> concerned</w:t>
      </w:r>
      <w:r w:rsidR="004B0471" w:rsidRPr="00121163">
        <w:t xml:space="preserve"> about changing ORDC</w:t>
      </w:r>
      <w:r w:rsidR="00C176AC" w:rsidRPr="00121163">
        <w:t>,</w:t>
      </w:r>
      <w:r w:rsidR="004B0471" w:rsidRPr="00121163">
        <w:t xml:space="preserve"> at this time</w:t>
      </w:r>
      <w:r w:rsidR="00C176AC" w:rsidRPr="00121163">
        <w:t>,</w:t>
      </w:r>
      <w:r w:rsidR="004B0471" w:rsidRPr="00121163">
        <w:t xml:space="preserve"> as proposed in the various options </w:t>
      </w:r>
      <w:r w:rsidR="00E514CA" w:rsidRPr="00121163">
        <w:t>for a number of reasons, and</w:t>
      </w:r>
      <w:r w:rsidR="004B0471" w:rsidRPr="00121163">
        <w:t>,</w:t>
      </w:r>
      <w:r w:rsidR="00E514CA" w:rsidRPr="00121163">
        <w:t xml:space="preserve"> therefore</w:t>
      </w:r>
      <w:r w:rsidR="004B0471" w:rsidRPr="00121163">
        <w:t>,</w:t>
      </w:r>
      <w:r w:rsidR="00E514CA" w:rsidRPr="00121163">
        <w:t xml:space="preserve"> provides </w:t>
      </w:r>
      <w:r w:rsidR="00FD2BCE" w:rsidRPr="00121163">
        <w:t xml:space="preserve">these </w:t>
      </w:r>
      <w:r w:rsidR="00E514CA" w:rsidRPr="00121163">
        <w:t>comm</w:t>
      </w:r>
      <w:r w:rsidR="004B0471" w:rsidRPr="00121163">
        <w:t xml:space="preserve">ents. </w:t>
      </w:r>
      <w:r w:rsidR="00CA1009" w:rsidRPr="00121163">
        <w:t>The Co-ops’</w:t>
      </w:r>
      <w:r w:rsidR="00E514CA" w:rsidRPr="00121163">
        <w:t xml:space="preserve"> position can be summarized as follows:</w:t>
      </w:r>
    </w:p>
    <w:p w:rsidR="00E514CA" w:rsidRPr="00121163" w:rsidRDefault="00800C7C" w:rsidP="006B4494">
      <w:pPr>
        <w:pStyle w:val="ListParagraph"/>
        <w:numPr>
          <w:ilvl w:val="0"/>
          <w:numId w:val="20"/>
        </w:numPr>
        <w:spacing w:line="240" w:lineRule="auto"/>
        <w:jc w:val="both"/>
      </w:pPr>
      <w:r w:rsidRPr="00121163">
        <w:t>The Co-ops are</w:t>
      </w:r>
      <w:r w:rsidR="00E514CA" w:rsidRPr="00121163">
        <w:t xml:space="preserve"> generally concerned regarding all suggested options for changing ORDC </w:t>
      </w:r>
      <w:r w:rsidR="005853DB" w:rsidRPr="00121163">
        <w:t xml:space="preserve">due to </w:t>
      </w:r>
      <w:r w:rsidR="00C176AC" w:rsidRPr="00121163">
        <w:t>l</w:t>
      </w:r>
      <w:r w:rsidR="005853DB" w:rsidRPr="00121163">
        <w:t>ack</w:t>
      </w:r>
      <w:r w:rsidR="00C176AC" w:rsidRPr="00121163">
        <w:t xml:space="preserve"> of reliability impact evaluation, including </w:t>
      </w:r>
      <w:r w:rsidR="005853DB" w:rsidRPr="00121163">
        <w:t xml:space="preserve">sufficient analysis </w:t>
      </w:r>
      <w:r w:rsidR="00C176AC" w:rsidRPr="00121163">
        <w:t xml:space="preserve">supporting a reliability need for changing the ORDC, lack of analysis </w:t>
      </w:r>
      <w:r w:rsidR="005853DB" w:rsidRPr="00121163">
        <w:t>for all options</w:t>
      </w:r>
      <w:r w:rsidR="00C176AC" w:rsidRPr="00121163">
        <w:t xml:space="preserve"> proposed by stakeholders</w:t>
      </w:r>
      <w:r w:rsidR="005853DB" w:rsidRPr="00121163">
        <w:t>, and potential</w:t>
      </w:r>
      <w:r w:rsidR="00C176AC" w:rsidRPr="00121163">
        <w:t>ly</w:t>
      </w:r>
      <w:r w:rsidR="005853DB" w:rsidRPr="00121163">
        <w:t xml:space="preserve"> high cost</w:t>
      </w:r>
      <w:r w:rsidR="00C176AC" w:rsidRPr="00121163">
        <w:t>s</w:t>
      </w:r>
      <w:r w:rsidR="005853DB" w:rsidRPr="00121163">
        <w:t>.</w:t>
      </w:r>
      <w:r w:rsidR="0048361B" w:rsidRPr="00121163">
        <w:t xml:space="preserve"> </w:t>
      </w:r>
      <w:r w:rsidRPr="00121163">
        <w:t>The Co-ops</w:t>
      </w:r>
      <w:r w:rsidR="0048361B" w:rsidRPr="00121163">
        <w:t>, therefore, request furt</w:t>
      </w:r>
      <w:r w:rsidR="00BB5C99" w:rsidRPr="00121163">
        <w:t xml:space="preserve">her analysis and stakeholder </w:t>
      </w:r>
      <w:r w:rsidR="00AC656C" w:rsidRPr="00121163">
        <w:t>participation</w:t>
      </w:r>
      <w:r w:rsidR="00BB5C99" w:rsidRPr="00121163">
        <w:t xml:space="preserve"> before </w:t>
      </w:r>
      <w:r w:rsidR="00C176AC" w:rsidRPr="00121163">
        <w:t xml:space="preserve">a decision is made to change the ORDC, and before </w:t>
      </w:r>
      <w:r w:rsidR="00BB5C99" w:rsidRPr="00121163">
        <w:t>any option is selected</w:t>
      </w:r>
      <w:r w:rsidR="00C176AC" w:rsidRPr="00121163">
        <w:t xml:space="preserve"> to change it</w:t>
      </w:r>
      <w:r w:rsidR="00BB5C99" w:rsidRPr="00121163">
        <w:t>.</w:t>
      </w:r>
    </w:p>
    <w:p w:rsidR="00E43B82" w:rsidRPr="00121163" w:rsidRDefault="00800C7C" w:rsidP="006B4494">
      <w:pPr>
        <w:pStyle w:val="ListParagraph"/>
        <w:numPr>
          <w:ilvl w:val="0"/>
          <w:numId w:val="20"/>
        </w:numPr>
        <w:spacing w:line="240" w:lineRule="auto"/>
        <w:jc w:val="both"/>
      </w:pPr>
      <w:r w:rsidRPr="00121163">
        <w:t xml:space="preserve">The Co-ops are </w:t>
      </w:r>
      <w:r w:rsidR="00E514CA" w:rsidRPr="00121163">
        <w:t>specifically opposed to</w:t>
      </w:r>
      <w:r w:rsidR="00F4245D" w:rsidRPr="00121163">
        <w:t xml:space="preserve"> implementing</w:t>
      </w:r>
      <w:r w:rsidR="00E514CA" w:rsidRPr="00121163">
        <w:t xml:space="preserve"> Options 2, 6, 7, 8, 9 and 10 </w:t>
      </w:r>
      <w:r w:rsidR="007675BB" w:rsidRPr="00121163">
        <w:t>at this time</w:t>
      </w:r>
      <w:r w:rsidR="00C176AC" w:rsidRPr="00121163">
        <w:t>,</w:t>
      </w:r>
      <w:r w:rsidR="007675BB" w:rsidRPr="00121163">
        <w:t xml:space="preserve"> </w:t>
      </w:r>
      <w:r w:rsidR="00E514CA" w:rsidRPr="00121163">
        <w:t xml:space="preserve">because these options could result in drastic changes to the market and power costs </w:t>
      </w:r>
      <w:r w:rsidR="00BB5C99" w:rsidRPr="00121163">
        <w:t>without any demonstrable relia</w:t>
      </w:r>
      <w:r w:rsidR="00E514CA" w:rsidRPr="00121163">
        <w:t>bility benefit.</w:t>
      </w:r>
    </w:p>
    <w:p w:rsidR="00E514CA" w:rsidRPr="00121163" w:rsidRDefault="00145BCE" w:rsidP="006B4494">
      <w:pPr>
        <w:spacing w:line="240" w:lineRule="auto"/>
        <w:jc w:val="center"/>
        <w:rPr>
          <w:b/>
          <w:sz w:val="24"/>
          <w:szCs w:val="24"/>
        </w:rPr>
      </w:pPr>
      <w:r w:rsidRPr="00121163">
        <w:rPr>
          <w:b/>
          <w:sz w:val="24"/>
          <w:szCs w:val="24"/>
        </w:rPr>
        <w:t>1. General Concerns about ORDC Changes</w:t>
      </w:r>
    </w:p>
    <w:p w:rsidR="00AD73C1" w:rsidRPr="00121163" w:rsidRDefault="00800C7C" w:rsidP="006B4494">
      <w:pPr>
        <w:spacing w:line="240" w:lineRule="auto"/>
        <w:jc w:val="both"/>
      </w:pPr>
      <w:r w:rsidRPr="00121163">
        <w:t xml:space="preserve">The Co-ops’ </w:t>
      </w:r>
      <w:r w:rsidR="00E43B82" w:rsidRPr="00121163">
        <w:t>top concern is</w:t>
      </w:r>
      <w:r w:rsidR="00A84082" w:rsidRPr="00121163">
        <w:t xml:space="preserve"> </w:t>
      </w:r>
      <w:r w:rsidR="00E86F44" w:rsidRPr="00121163">
        <w:t>the</w:t>
      </w:r>
      <w:r w:rsidR="00AD73C1" w:rsidRPr="00121163">
        <w:t xml:space="preserve"> rushed</w:t>
      </w:r>
      <w:r w:rsidR="005A0A5E" w:rsidRPr="00121163">
        <w:t xml:space="preserve"> </w:t>
      </w:r>
      <w:r w:rsidR="00D957BA" w:rsidRPr="00121163">
        <w:t xml:space="preserve">manner in which </w:t>
      </w:r>
      <w:r w:rsidR="005A0A5E" w:rsidRPr="00121163">
        <w:t xml:space="preserve">this review </w:t>
      </w:r>
      <w:r w:rsidR="006D1ECF" w:rsidRPr="00121163">
        <w:t xml:space="preserve">is being </w:t>
      </w:r>
      <w:r w:rsidR="00D957BA" w:rsidRPr="00121163">
        <w:t>complet</w:t>
      </w:r>
      <w:r w:rsidR="00AD73C1" w:rsidRPr="00121163">
        <w:t>ed</w:t>
      </w:r>
      <w:r w:rsidR="005A0A5E" w:rsidRPr="00121163">
        <w:t xml:space="preserve">, considering </w:t>
      </w:r>
      <w:r w:rsidR="00E86F44" w:rsidRPr="00121163">
        <w:t xml:space="preserve">both </w:t>
      </w:r>
      <w:r w:rsidR="005A0A5E" w:rsidRPr="00121163">
        <w:t>the importance of</w:t>
      </w:r>
      <w:r w:rsidR="00933E43" w:rsidRPr="00121163">
        <w:t xml:space="preserve"> the</w:t>
      </w:r>
      <w:r w:rsidR="005A0A5E" w:rsidRPr="00121163">
        <w:t xml:space="preserve"> ORDC</w:t>
      </w:r>
      <w:r w:rsidR="00C176AC" w:rsidRPr="00121163">
        <w:t xml:space="preserve"> adder,</w:t>
      </w:r>
      <w:r w:rsidR="00E86F44" w:rsidRPr="00121163">
        <w:t xml:space="preserve"> </w:t>
      </w:r>
      <w:r w:rsidR="005A0A5E" w:rsidRPr="00121163">
        <w:t>in the ERCOT market</w:t>
      </w:r>
      <w:r w:rsidR="0048040A" w:rsidRPr="00121163">
        <w:t>,</w:t>
      </w:r>
      <w:r w:rsidR="00E86F44" w:rsidRPr="00121163">
        <w:t xml:space="preserve"> and the potential implications for </w:t>
      </w:r>
      <w:r w:rsidR="00F3684A" w:rsidRPr="00121163">
        <w:t>unintended consequences</w:t>
      </w:r>
      <w:r w:rsidR="00C176AC" w:rsidRPr="00121163">
        <w:t>,</w:t>
      </w:r>
      <w:r w:rsidR="00F3684A" w:rsidRPr="00121163">
        <w:t xml:space="preserve"> should changes to the ORDC be made without a complete record. </w:t>
      </w:r>
      <w:r w:rsidR="005A0A5E" w:rsidRPr="00121163">
        <w:t>The limited ti</w:t>
      </w:r>
      <w:r w:rsidR="00E86F44" w:rsidRPr="00121163">
        <w:t>meline assigned for this review</w:t>
      </w:r>
      <w:r w:rsidR="005A0A5E" w:rsidRPr="00121163">
        <w:t xml:space="preserve"> brings another level of </w:t>
      </w:r>
      <w:r w:rsidR="00E86F44" w:rsidRPr="00121163">
        <w:t>uncertainty, as stakeholders</w:t>
      </w:r>
      <w:r w:rsidR="005A0A5E" w:rsidRPr="00121163">
        <w:t xml:space="preserve"> have not </w:t>
      </w:r>
      <w:r w:rsidR="00933E43" w:rsidRPr="00121163">
        <w:t xml:space="preserve">been able to </w:t>
      </w:r>
      <w:r w:rsidR="001F12C8" w:rsidRPr="00121163">
        <w:t xml:space="preserve">perform </w:t>
      </w:r>
      <w:r w:rsidR="005A0A5E" w:rsidRPr="00121163">
        <w:t>a complete</w:t>
      </w:r>
      <w:r w:rsidR="00933E43" w:rsidRPr="00121163">
        <w:t>, thorough</w:t>
      </w:r>
      <w:r w:rsidR="00E86F44" w:rsidRPr="00121163">
        <w:t xml:space="preserve"> analysis of whether the issues raised in Commissioner Anderson’s October 7, 2015 Memo</w:t>
      </w:r>
      <w:r w:rsidR="00F3684A" w:rsidRPr="00121163">
        <w:t>randum</w:t>
      </w:r>
      <w:r w:rsidR="00E86F44" w:rsidRPr="00121163">
        <w:t xml:space="preserve"> </w:t>
      </w:r>
      <w:r w:rsidR="008874AE" w:rsidRPr="00121163">
        <w:t xml:space="preserve">represent a threat to ERCOT reliability, </w:t>
      </w:r>
      <w:r w:rsidR="00EA3B55" w:rsidRPr="00121163">
        <w:t xml:space="preserve">or some other dynamic, </w:t>
      </w:r>
      <w:r w:rsidR="008874AE" w:rsidRPr="00121163">
        <w:t>and how</w:t>
      </w:r>
      <w:r w:rsidR="00EA3B55" w:rsidRPr="00121163">
        <w:t xml:space="preserve"> </w:t>
      </w:r>
      <w:r w:rsidR="008874AE" w:rsidRPr="00121163">
        <w:t>to best amend</w:t>
      </w:r>
      <w:r w:rsidR="00E86F44" w:rsidRPr="00121163">
        <w:t xml:space="preserve"> the ORDC</w:t>
      </w:r>
      <w:r w:rsidR="00FF4190" w:rsidRPr="00121163">
        <w:t>,</w:t>
      </w:r>
      <w:r w:rsidR="005A0A5E" w:rsidRPr="00121163">
        <w:t xml:space="preserve"> if a chan</w:t>
      </w:r>
      <w:r w:rsidR="001C7D04" w:rsidRPr="00121163">
        <w:t>ge is warranted</w:t>
      </w:r>
      <w:r w:rsidR="005A0A5E" w:rsidRPr="00121163">
        <w:t>.</w:t>
      </w:r>
      <w:r w:rsidR="00933E43" w:rsidRPr="00121163">
        <w:t xml:space="preserve"> </w:t>
      </w:r>
      <w:r w:rsidRPr="00121163">
        <w:t>The Co-op’s</w:t>
      </w:r>
      <w:r w:rsidR="005853DB" w:rsidRPr="00121163">
        <w:t xml:space="preserve"> concerns are detailed below.</w:t>
      </w:r>
    </w:p>
    <w:p w:rsidR="005853DB" w:rsidRPr="00CA1009" w:rsidRDefault="005853DB" w:rsidP="006B4494">
      <w:pPr>
        <w:pStyle w:val="ListParagraph"/>
        <w:numPr>
          <w:ilvl w:val="0"/>
          <w:numId w:val="21"/>
        </w:numPr>
        <w:spacing w:line="240" w:lineRule="auto"/>
        <w:jc w:val="both"/>
        <w:rPr>
          <w:b/>
          <w:sz w:val="24"/>
          <w:szCs w:val="24"/>
        </w:rPr>
      </w:pPr>
      <w:r w:rsidRPr="00CA1009">
        <w:rPr>
          <w:b/>
          <w:sz w:val="24"/>
          <w:szCs w:val="24"/>
        </w:rPr>
        <w:t>Lack of Analysis</w:t>
      </w:r>
    </w:p>
    <w:p w:rsidR="009A4F02" w:rsidRPr="00121163" w:rsidRDefault="008D794F" w:rsidP="006B4494">
      <w:pPr>
        <w:spacing w:line="240" w:lineRule="auto"/>
        <w:jc w:val="both"/>
      </w:pPr>
      <w:r w:rsidRPr="00121163">
        <w:t>In ERCOT stakeholder discussions to</w:t>
      </w:r>
      <w:r w:rsidR="00C02A79" w:rsidRPr="00121163">
        <w:t xml:space="preserve"> </w:t>
      </w:r>
      <w:r w:rsidRPr="00121163">
        <w:t xml:space="preserve">date, </w:t>
      </w:r>
      <w:r w:rsidR="0048040A" w:rsidRPr="00121163">
        <w:t xml:space="preserve">there has been </w:t>
      </w:r>
      <w:r w:rsidRPr="00121163">
        <w:t>no review or analysis conducted to demonstrate which ORDC parameters, if any, n</w:t>
      </w:r>
      <w:r w:rsidR="0048040A" w:rsidRPr="00121163">
        <w:t>eed to be adjusted. Rather, analysis</w:t>
      </w:r>
      <w:r w:rsidRPr="00121163">
        <w:t xml:space="preserve"> has </w:t>
      </w:r>
      <w:r w:rsidR="006B4494" w:rsidRPr="00121163">
        <w:t xml:space="preserve">only </w:t>
      </w:r>
      <w:r w:rsidRPr="00121163">
        <w:t xml:space="preserve">been </w:t>
      </w:r>
      <w:r w:rsidR="00AE63F8">
        <w:t>performed</w:t>
      </w:r>
      <w:r w:rsidR="00AE63F8" w:rsidRPr="00121163">
        <w:t xml:space="preserve"> </w:t>
      </w:r>
      <w:r w:rsidRPr="00121163">
        <w:t>on what the relative price impacts might be of the various changes</w:t>
      </w:r>
      <w:r w:rsidR="0048040A" w:rsidRPr="00121163">
        <w:t xml:space="preserve"> proposed by stakeholders</w:t>
      </w:r>
      <w:r w:rsidRPr="00121163">
        <w:t>. The ERCOT analysis provided to stakeholders, along with the backcast tool, was helpful to see the marginal difference between in LMPs</w:t>
      </w:r>
      <w:r w:rsidR="0048040A" w:rsidRPr="00121163">
        <w:t xml:space="preserve"> and PNM</w:t>
      </w:r>
      <w:r w:rsidRPr="00121163">
        <w:t xml:space="preserve"> </w:t>
      </w:r>
      <w:r w:rsidR="004F083F">
        <w:t>for</w:t>
      </w:r>
      <w:r w:rsidR="004F083F" w:rsidRPr="00121163">
        <w:t xml:space="preserve"> </w:t>
      </w:r>
      <w:r w:rsidRPr="00121163">
        <w:t>each option</w:t>
      </w:r>
      <w:r w:rsidR="0048040A" w:rsidRPr="00121163">
        <w:t xml:space="preserve"> proposed</w:t>
      </w:r>
      <w:r w:rsidRPr="00121163">
        <w:t>, but it did not show how each option would affect a market participant’s individual portfolio</w:t>
      </w:r>
      <w:r w:rsidR="00CA1009" w:rsidRPr="00121163">
        <w:t xml:space="preserve">. </w:t>
      </w:r>
      <w:r w:rsidRPr="00121163">
        <w:t xml:space="preserve">There were also many assumptions that went into the backcast tool that greatly impact the results. </w:t>
      </w:r>
      <w:r w:rsidR="001150F7" w:rsidRPr="00121163">
        <w:t>ERCOT stakeholders also do not know</w:t>
      </w:r>
      <w:r w:rsidR="0048040A" w:rsidRPr="00121163">
        <w:t>,</w:t>
      </w:r>
      <w:r w:rsidR="001150F7" w:rsidRPr="00121163">
        <w:t xml:space="preserve"> with any degree of certainty</w:t>
      </w:r>
      <w:r w:rsidR="0048040A" w:rsidRPr="00121163">
        <w:t>,</w:t>
      </w:r>
      <w:r w:rsidR="001150F7" w:rsidRPr="00121163">
        <w:t xml:space="preserve"> which ORDC parameter should change, if any, and why. For example</w:t>
      </w:r>
      <w:r w:rsidR="0048040A" w:rsidRPr="00121163">
        <w:t>, August 13, 2015 was</w:t>
      </w:r>
      <w:r w:rsidR="001150F7" w:rsidRPr="00121163">
        <w:t xml:space="preserve"> a market day</w:t>
      </w:r>
      <w:r w:rsidR="0048040A" w:rsidRPr="00121163">
        <w:t xml:space="preserve"> selected</w:t>
      </w:r>
      <w:r w:rsidR="009B0C4E" w:rsidRPr="00121163">
        <w:t xml:space="preserve"> to be studied</w:t>
      </w:r>
      <w:r w:rsidR="00470A13">
        <w:t xml:space="preserve"> in which</w:t>
      </w:r>
      <w:r w:rsidR="0048040A" w:rsidRPr="00121163">
        <w:t xml:space="preserve"> </w:t>
      </w:r>
      <w:r w:rsidR="001150F7" w:rsidRPr="00121163">
        <w:t xml:space="preserve">ERCOT found that it was not </w:t>
      </w:r>
      <w:r w:rsidR="00C176AC" w:rsidRPr="00121163">
        <w:t>lacking</w:t>
      </w:r>
      <w:r w:rsidR="001150F7" w:rsidRPr="00121163">
        <w:t xml:space="preserve"> responsive reserve service (RRS) at all.</w:t>
      </w:r>
      <w:r w:rsidR="00CA1009" w:rsidRPr="00121163">
        <w:t xml:space="preserve"> </w:t>
      </w:r>
      <w:r w:rsidR="001150F7" w:rsidRPr="00121163">
        <w:t>In fact, ERCOT had an abundance of RRS.</w:t>
      </w:r>
      <w:r w:rsidR="00CA1009" w:rsidRPr="00121163">
        <w:t xml:space="preserve"> </w:t>
      </w:r>
      <w:r w:rsidR="001150F7" w:rsidRPr="00121163">
        <w:t xml:space="preserve">What ERCOT was actually </w:t>
      </w:r>
      <w:r w:rsidR="00C176AC" w:rsidRPr="00121163">
        <w:t>lacking</w:t>
      </w:r>
      <w:r w:rsidR="001150F7" w:rsidRPr="00121163">
        <w:t xml:space="preserve"> on that day was physical responsive capability (PRC). </w:t>
      </w:r>
      <w:r w:rsidR="009B0C4E" w:rsidRPr="00121163">
        <w:t>This day presented</w:t>
      </w:r>
      <w:r w:rsidR="0048040A" w:rsidRPr="00121163">
        <w:t xml:space="preserve"> was</w:t>
      </w:r>
      <w:r w:rsidR="009B0C4E" w:rsidRPr="00121163">
        <w:t xml:space="preserve"> only one scenario among many possibilities</w:t>
      </w:r>
      <w:r w:rsidR="0048040A" w:rsidRPr="00121163">
        <w:t>, but serves to point out that ORDC is working as intended</w:t>
      </w:r>
      <w:r w:rsidR="009B0C4E" w:rsidRPr="00121163">
        <w:t xml:space="preserve">. </w:t>
      </w:r>
      <w:r w:rsidR="001150F7" w:rsidRPr="00121163">
        <w:t xml:space="preserve">Consequently, how does ERCOT or an individual ERCOT stakeholder come up with successful solutions to fix a problem, when </w:t>
      </w:r>
      <w:r w:rsidR="0048040A" w:rsidRPr="00121163">
        <w:t>it is not yet clear what the problem is, or if a problem in fact exists</w:t>
      </w:r>
      <w:r w:rsidR="001150F7" w:rsidRPr="00121163">
        <w:t xml:space="preserve">? </w:t>
      </w:r>
      <w:r w:rsidR="00615FB4" w:rsidRPr="00121163">
        <w:t xml:space="preserve">While some of the proposals may have some merit, more </w:t>
      </w:r>
      <w:r w:rsidR="001150F7" w:rsidRPr="00121163">
        <w:t>time to study</w:t>
      </w:r>
      <w:r w:rsidR="00615FB4" w:rsidRPr="00121163">
        <w:t xml:space="preserve"> </w:t>
      </w:r>
      <w:r w:rsidR="009B0C4E" w:rsidRPr="00121163">
        <w:t xml:space="preserve">the basic </w:t>
      </w:r>
      <w:r w:rsidR="001150F7" w:rsidRPr="00121163">
        <w:t>issues</w:t>
      </w:r>
      <w:r w:rsidR="009B0C4E" w:rsidRPr="00121163">
        <w:t xml:space="preserve"> </w:t>
      </w:r>
      <w:r w:rsidR="001150F7" w:rsidRPr="00121163">
        <w:t>is clearly warranted</w:t>
      </w:r>
      <w:r w:rsidR="00615FB4" w:rsidRPr="00121163">
        <w:t>.</w:t>
      </w:r>
      <w:r w:rsidR="00670820" w:rsidRPr="00121163">
        <w:t xml:space="preserve"> </w:t>
      </w:r>
    </w:p>
    <w:p w:rsidR="005853DB" w:rsidRPr="00CA1009" w:rsidRDefault="00137F48" w:rsidP="006B4494">
      <w:pPr>
        <w:pStyle w:val="ListParagraph"/>
        <w:numPr>
          <w:ilvl w:val="0"/>
          <w:numId w:val="21"/>
        </w:numPr>
        <w:spacing w:line="240" w:lineRule="auto"/>
        <w:jc w:val="both"/>
        <w:rPr>
          <w:b/>
          <w:sz w:val="24"/>
          <w:szCs w:val="24"/>
        </w:rPr>
      </w:pPr>
      <w:r>
        <w:rPr>
          <w:b/>
          <w:sz w:val="24"/>
          <w:szCs w:val="24"/>
        </w:rPr>
        <w:lastRenderedPageBreak/>
        <w:t xml:space="preserve">No Connection to </w:t>
      </w:r>
      <w:r w:rsidR="005853DB" w:rsidRPr="00CA1009">
        <w:rPr>
          <w:b/>
          <w:sz w:val="24"/>
          <w:szCs w:val="24"/>
        </w:rPr>
        <w:t>Reliability</w:t>
      </w:r>
    </w:p>
    <w:p w:rsidR="00C44272" w:rsidRPr="00121163" w:rsidRDefault="00615FB4" w:rsidP="006B4494">
      <w:pPr>
        <w:spacing w:line="240" w:lineRule="auto"/>
        <w:jc w:val="both"/>
      </w:pPr>
      <w:r w:rsidRPr="00121163">
        <w:t xml:space="preserve">The Co-ops </w:t>
      </w:r>
      <w:r w:rsidR="008D794F" w:rsidRPr="00121163">
        <w:t xml:space="preserve">fundamentally believe </w:t>
      </w:r>
      <w:r w:rsidR="001150F7" w:rsidRPr="00121163">
        <w:t xml:space="preserve">that </w:t>
      </w:r>
      <w:r w:rsidR="008D794F" w:rsidRPr="00121163">
        <w:t xml:space="preserve">any changes to the ORDC intended to address reliability concerns described in the Supply Analysis Working Group whitepaper (“A Review of ORDC Options”) should be the result of a thorough review from ERCOT or other </w:t>
      </w:r>
      <w:r w:rsidR="00B62131" w:rsidRPr="00121163">
        <w:t>appropriate entity</w:t>
      </w:r>
      <w:r w:rsidR="008D794F" w:rsidRPr="00121163">
        <w:t xml:space="preserve">. </w:t>
      </w:r>
      <w:r w:rsidR="004E4BB1" w:rsidRPr="00121163">
        <w:t xml:space="preserve">Currently, </w:t>
      </w:r>
      <w:r w:rsidR="00137F48" w:rsidRPr="00121163">
        <w:t xml:space="preserve">the exact reliability issue has not been identified and </w:t>
      </w:r>
      <w:r w:rsidR="004E4BB1" w:rsidRPr="00121163">
        <w:t xml:space="preserve">none of the proposed options clearly address reliability concerns. </w:t>
      </w:r>
      <w:r w:rsidR="008D794F" w:rsidRPr="00121163">
        <w:t>Such a review is necessary to ensure that an unbiased view of what, or if, there is a specific issue of concern, regarding the current design of the ORDC, the use of offline resources or the triggering of Energy Emergency Alerts events. Implementing any changes without conducting such a review will likely result in unintended consequences</w:t>
      </w:r>
      <w:r w:rsidR="0048040A" w:rsidRPr="00121163">
        <w:t>. T</w:t>
      </w:r>
      <w:r w:rsidR="008D794F" w:rsidRPr="00121163">
        <w:t>he ERCOT market is simply too important to the Texas economy to experiment with changes</w:t>
      </w:r>
      <w:r w:rsidR="0048040A" w:rsidRPr="00121163">
        <w:t>,</w:t>
      </w:r>
      <w:r w:rsidR="008D794F" w:rsidRPr="00121163">
        <w:t xml:space="preserve"> without a full understanding of the market impacts. </w:t>
      </w:r>
      <w:r w:rsidRPr="00121163">
        <w:t>The Co-ops</w:t>
      </w:r>
      <w:r w:rsidR="008D794F" w:rsidRPr="00121163">
        <w:t>, therefore,</w:t>
      </w:r>
      <w:r w:rsidR="00C44272" w:rsidRPr="00121163">
        <w:t xml:space="preserve"> request that</w:t>
      </w:r>
      <w:r w:rsidR="005853DB" w:rsidRPr="00121163">
        <w:t xml:space="preserve"> </w:t>
      </w:r>
      <w:r w:rsidR="00C44272" w:rsidRPr="00121163">
        <w:t xml:space="preserve">prior to moving forward with any attempts to make changes to the ORDC, </w:t>
      </w:r>
      <w:r w:rsidR="005853DB" w:rsidRPr="00121163">
        <w:t xml:space="preserve">that </w:t>
      </w:r>
      <w:r w:rsidR="00626176" w:rsidRPr="00121163">
        <w:t>ERCOT or other suitable entity</w:t>
      </w:r>
      <w:r w:rsidR="005853DB" w:rsidRPr="00121163">
        <w:t xml:space="preserve"> conduct a root cause analysis assessing whether </w:t>
      </w:r>
      <w:r w:rsidR="00C44272" w:rsidRPr="00121163">
        <w:t xml:space="preserve">or not </w:t>
      </w:r>
      <w:r w:rsidR="005853DB" w:rsidRPr="00121163">
        <w:t>the ERCOT market has a physical electric service reliability issue that needs to be addressed</w:t>
      </w:r>
      <w:r w:rsidR="008E3D67" w:rsidRPr="00121163">
        <w:t>, along with recommending sound unbiased solutions</w:t>
      </w:r>
      <w:r w:rsidR="00121163">
        <w:t>.</w:t>
      </w:r>
    </w:p>
    <w:p w:rsidR="005853DB" w:rsidRPr="00C44272" w:rsidRDefault="00137F48" w:rsidP="006B4494">
      <w:pPr>
        <w:pStyle w:val="ListParagraph"/>
        <w:numPr>
          <w:ilvl w:val="0"/>
          <w:numId w:val="21"/>
        </w:numPr>
        <w:spacing w:line="240" w:lineRule="auto"/>
        <w:rPr>
          <w:sz w:val="24"/>
          <w:szCs w:val="24"/>
        </w:rPr>
      </w:pPr>
      <w:r w:rsidRPr="00C44272">
        <w:rPr>
          <w:b/>
          <w:sz w:val="24"/>
          <w:szCs w:val="24"/>
        </w:rPr>
        <w:t xml:space="preserve">Lack of </w:t>
      </w:r>
      <w:r w:rsidR="008E3D67" w:rsidRPr="00C44272">
        <w:rPr>
          <w:b/>
          <w:sz w:val="24"/>
          <w:szCs w:val="24"/>
        </w:rPr>
        <w:t xml:space="preserve">Time for Proper </w:t>
      </w:r>
      <w:r w:rsidR="005853DB" w:rsidRPr="00C44272">
        <w:rPr>
          <w:b/>
          <w:sz w:val="24"/>
          <w:szCs w:val="24"/>
        </w:rPr>
        <w:t>Stakeholder Involvement</w:t>
      </w:r>
    </w:p>
    <w:p w:rsidR="005853DB" w:rsidRPr="00121163" w:rsidRDefault="005853DB" w:rsidP="006B4494">
      <w:pPr>
        <w:spacing w:line="240" w:lineRule="auto"/>
        <w:jc w:val="both"/>
      </w:pPr>
      <w:r w:rsidRPr="00121163">
        <w:t>As market participant</w:t>
      </w:r>
      <w:r w:rsidR="00D4398A" w:rsidRPr="00121163">
        <w:t>s</w:t>
      </w:r>
      <w:r w:rsidRPr="00121163">
        <w:t xml:space="preserve"> committed to the ERCOT stakeholder process, </w:t>
      </w:r>
      <w:r w:rsidR="00615FB4" w:rsidRPr="00121163">
        <w:t>the Co-ops</w:t>
      </w:r>
      <w:r w:rsidRPr="00121163">
        <w:t xml:space="preserve"> submit that stakeholders </w:t>
      </w:r>
      <w:r w:rsidR="00A95793" w:rsidRPr="00121163">
        <w:t xml:space="preserve">must </w:t>
      </w:r>
      <w:r w:rsidR="00C44272" w:rsidRPr="00121163">
        <w:t>have</w:t>
      </w:r>
      <w:r w:rsidRPr="00121163">
        <w:t xml:space="preserve"> ample opportunity to fully vet any proposed changes to the ORDC</w:t>
      </w:r>
      <w:r w:rsidR="00C44272" w:rsidRPr="00121163">
        <w:t>, and why they are necessary</w:t>
      </w:r>
      <w:r w:rsidRPr="00121163">
        <w:t xml:space="preserve">. </w:t>
      </w:r>
      <w:r w:rsidR="00976E05" w:rsidRPr="00121163">
        <w:t xml:space="preserve">This means </w:t>
      </w:r>
      <w:r w:rsidR="00C02A79" w:rsidRPr="00121163">
        <w:t xml:space="preserve">providing time for </w:t>
      </w:r>
      <w:r w:rsidR="00976E05" w:rsidRPr="00121163">
        <w:t>comments, reply comments,</w:t>
      </w:r>
      <w:r w:rsidR="00C02A79" w:rsidRPr="00121163">
        <w:t xml:space="preserve"> analysis,</w:t>
      </w:r>
      <w:r w:rsidR="00976E05" w:rsidRPr="00121163">
        <w:t xml:space="preserve"> meetings and other tools to allow</w:t>
      </w:r>
      <w:r w:rsidR="00C44272" w:rsidRPr="00121163">
        <w:t xml:space="preserve"> for</w:t>
      </w:r>
      <w:r w:rsidR="00976E05" w:rsidRPr="00121163">
        <w:t xml:space="preserve"> a full vetting of all issues and options.</w:t>
      </w:r>
      <w:r w:rsidR="004D445E" w:rsidRPr="00121163">
        <w:t xml:space="preserve"> </w:t>
      </w:r>
      <w:r w:rsidR="00A95793" w:rsidRPr="00121163">
        <w:t>The requested comments provide only one limited opportunity to respond with no opportunity to improve and refine concepts over time.</w:t>
      </w:r>
    </w:p>
    <w:p w:rsidR="005853DB" w:rsidRPr="00CA1009" w:rsidRDefault="00137F48" w:rsidP="006B4494">
      <w:pPr>
        <w:pStyle w:val="ListParagraph"/>
        <w:numPr>
          <w:ilvl w:val="0"/>
          <w:numId w:val="21"/>
        </w:numPr>
        <w:spacing w:line="240" w:lineRule="auto"/>
        <w:jc w:val="both"/>
        <w:rPr>
          <w:b/>
          <w:sz w:val="24"/>
          <w:szCs w:val="24"/>
        </w:rPr>
      </w:pPr>
      <w:r>
        <w:rPr>
          <w:b/>
          <w:sz w:val="24"/>
          <w:szCs w:val="24"/>
        </w:rPr>
        <w:t xml:space="preserve">High </w:t>
      </w:r>
      <w:r w:rsidR="00CA1009" w:rsidRPr="00CA1009">
        <w:rPr>
          <w:b/>
          <w:sz w:val="24"/>
          <w:szCs w:val="24"/>
        </w:rPr>
        <w:t>Cost</w:t>
      </w:r>
    </w:p>
    <w:p w:rsidR="001150F7" w:rsidRPr="00121163" w:rsidRDefault="00615FB4" w:rsidP="006B4494">
      <w:pPr>
        <w:spacing w:line="240" w:lineRule="auto"/>
        <w:jc w:val="both"/>
      </w:pPr>
      <w:r w:rsidRPr="00121163">
        <w:t xml:space="preserve">The Co-ops </w:t>
      </w:r>
      <w:r w:rsidR="005853DB" w:rsidRPr="00121163">
        <w:t>ha</w:t>
      </w:r>
      <w:r w:rsidRPr="00121163">
        <w:t>ve</w:t>
      </w:r>
      <w:r w:rsidR="005853DB" w:rsidRPr="00121163">
        <w:t xml:space="preserve"> serious concerns over the true market impact and costs that will occur if some of the above options were to be implemented and the resulting harm to the Texas economy.</w:t>
      </w:r>
      <w:r w:rsidR="00C02A79" w:rsidRPr="00121163">
        <w:t xml:space="preserve"> Based on very preliminary analysis,</w:t>
      </w:r>
      <w:r w:rsidRPr="00121163">
        <w:t xml:space="preserve"> the Co-ops</w:t>
      </w:r>
      <w:r w:rsidR="00C02A79" w:rsidRPr="00121163">
        <w:t xml:space="preserve"> </w:t>
      </w:r>
      <w:r w:rsidRPr="00121163">
        <w:t xml:space="preserve">have </w:t>
      </w:r>
      <w:r w:rsidR="00C02A79" w:rsidRPr="00121163">
        <w:t xml:space="preserve">found that many of the </w:t>
      </w:r>
      <w:r w:rsidR="008E3D67" w:rsidRPr="00121163">
        <w:t>o</w:t>
      </w:r>
      <w:r w:rsidR="00C02A79" w:rsidRPr="00121163">
        <w:t>ptions could</w:t>
      </w:r>
      <w:r w:rsidR="00C44272" w:rsidRPr="00121163">
        <w:t xml:space="preserve"> </w:t>
      </w:r>
      <w:r w:rsidR="00784073">
        <w:t xml:space="preserve">significantly </w:t>
      </w:r>
      <w:r w:rsidR="00C44272" w:rsidRPr="00121163">
        <w:t>increase cost to load serving entities (LSEs)</w:t>
      </w:r>
      <w:r w:rsidR="00C02A79" w:rsidRPr="00121163">
        <w:t>. Further s</w:t>
      </w:r>
      <w:r w:rsidR="00C44272" w:rsidRPr="00121163">
        <w:t>tudies</w:t>
      </w:r>
      <w:r w:rsidR="00C02A79" w:rsidRPr="00121163">
        <w:t xml:space="preserve"> will </w:t>
      </w:r>
      <w:r w:rsidR="00C44272" w:rsidRPr="00121163">
        <w:t xml:space="preserve">also </w:t>
      </w:r>
      <w:r w:rsidR="00C02A79" w:rsidRPr="00121163">
        <w:t xml:space="preserve">be needed to determine projected costs with more certainty and </w:t>
      </w:r>
      <w:r w:rsidR="00C44272" w:rsidRPr="00121163">
        <w:t xml:space="preserve">to </w:t>
      </w:r>
      <w:r w:rsidR="00C02A79" w:rsidRPr="00121163">
        <w:t>compare those costs to expected reliability benefits.</w:t>
      </w:r>
    </w:p>
    <w:p w:rsidR="009B14B0" w:rsidRPr="009A4F02" w:rsidRDefault="009B14B0" w:rsidP="006B4494">
      <w:pPr>
        <w:spacing w:line="240" w:lineRule="auto"/>
        <w:jc w:val="center"/>
        <w:rPr>
          <w:b/>
          <w:sz w:val="24"/>
          <w:szCs w:val="24"/>
        </w:rPr>
      </w:pPr>
      <w:r w:rsidRPr="009A4F02">
        <w:rPr>
          <w:b/>
          <w:sz w:val="24"/>
          <w:szCs w:val="24"/>
        </w:rPr>
        <w:t xml:space="preserve">2. Concerns About </w:t>
      </w:r>
      <w:r w:rsidR="00B62131" w:rsidRPr="00ED4697">
        <w:rPr>
          <w:b/>
          <w:sz w:val="24"/>
          <w:szCs w:val="24"/>
        </w:rPr>
        <w:t xml:space="preserve">Specific </w:t>
      </w:r>
      <w:r w:rsidRPr="009A4F02">
        <w:rPr>
          <w:b/>
          <w:sz w:val="24"/>
          <w:szCs w:val="24"/>
        </w:rPr>
        <w:t>Options</w:t>
      </w:r>
    </w:p>
    <w:p w:rsidR="00C168AA" w:rsidRPr="00121163" w:rsidRDefault="00C168AA" w:rsidP="006B4494">
      <w:pPr>
        <w:spacing w:line="240" w:lineRule="auto"/>
        <w:jc w:val="both"/>
      </w:pPr>
      <w:r w:rsidRPr="00121163">
        <w:t>Given the lack of time to fully identify whether or not a true reliability problem exists, and the lack of time to vet</w:t>
      </w:r>
      <w:r w:rsidR="000014E4" w:rsidRPr="00121163">
        <w:t xml:space="preserve"> the options proposed by ERCOT s</w:t>
      </w:r>
      <w:r w:rsidRPr="00121163">
        <w:t xml:space="preserve">takeholders, </w:t>
      </w:r>
      <w:r w:rsidR="001F12C8" w:rsidRPr="00121163">
        <w:t>t</w:t>
      </w:r>
      <w:r w:rsidR="00615FB4" w:rsidRPr="00121163">
        <w:t>he Co-ops are</w:t>
      </w:r>
      <w:r w:rsidRPr="00121163">
        <w:t xml:space="preserve"> opposed to amending the functionality of the ORDC by using </w:t>
      </w:r>
      <w:r w:rsidR="000014E4" w:rsidRPr="00121163">
        <w:rPr>
          <w:i/>
        </w:rPr>
        <w:t xml:space="preserve">any </w:t>
      </w:r>
      <w:r w:rsidR="000014E4" w:rsidRPr="00121163">
        <w:t>of the options proposed by s</w:t>
      </w:r>
      <w:r w:rsidRPr="00121163">
        <w:t>takeholders</w:t>
      </w:r>
      <w:r w:rsidR="009B14B0" w:rsidRPr="00121163">
        <w:t xml:space="preserve"> without further review</w:t>
      </w:r>
      <w:r w:rsidR="005853DB" w:rsidRPr="00121163">
        <w:t>.</w:t>
      </w:r>
      <w:r w:rsidRPr="00121163">
        <w:t xml:space="preserve"> </w:t>
      </w:r>
      <w:r w:rsidR="009B14B0" w:rsidRPr="00121163">
        <w:t xml:space="preserve">However, </w:t>
      </w:r>
      <w:r w:rsidR="00615FB4" w:rsidRPr="00121163">
        <w:t xml:space="preserve">the Co-ops have </w:t>
      </w:r>
      <w:r w:rsidR="009B14B0" w:rsidRPr="00121163">
        <w:t xml:space="preserve">particular </w:t>
      </w:r>
      <w:r w:rsidR="00615FB4" w:rsidRPr="00121163">
        <w:t>objections to</w:t>
      </w:r>
      <w:r w:rsidR="009B14B0" w:rsidRPr="00121163">
        <w:t xml:space="preserve"> Options</w:t>
      </w:r>
      <w:r w:rsidRPr="00121163">
        <w:t xml:space="preserve"> 2, 6, 7, 8, 9, </w:t>
      </w:r>
      <w:r w:rsidR="009B14B0" w:rsidRPr="00121163">
        <w:t xml:space="preserve">and </w:t>
      </w:r>
      <w:r w:rsidR="00121163">
        <w:t>10, as follows:</w:t>
      </w:r>
      <w:r w:rsidR="00CA1009" w:rsidRPr="00121163">
        <w:t xml:space="preserve"> </w:t>
      </w:r>
      <w:r w:rsidRPr="00121163">
        <w:t xml:space="preserve"> </w:t>
      </w:r>
    </w:p>
    <w:p w:rsidR="00C455CE" w:rsidRPr="001F12C8" w:rsidRDefault="004508FE" w:rsidP="006B4494">
      <w:pPr>
        <w:spacing w:line="240" w:lineRule="auto"/>
        <w:jc w:val="both"/>
        <w:rPr>
          <w:b/>
          <w:sz w:val="24"/>
          <w:szCs w:val="24"/>
        </w:rPr>
      </w:pPr>
      <w:r>
        <w:rPr>
          <w:b/>
          <w:sz w:val="24"/>
          <w:szCs w:val="24"/>
        </w:rPr>
        <w:t xml:space="preserve">Options 6, 7, 8, 9, and 10 </w:t>
      </w:r>
      <w:r w:rsidR="00C455CE" w:rsidRPr="001F12C8">
        <w:rPr>
          <w:b/>
          <w:sz w:val="24"/>
          <w:szCs w:val="24"/>
        </w:rPr>
        <w:t xml:space="preserve">propose some combination of changes involving </w:t>
      </w:r>
      <w:r>
        <w:rPr>
          <w:b/>
          <w:sz w:val="24"/>
          <w:szCs w:val="24"/>
        </w:rPr>
        <w:t xml:space="preserve">increasing </w:t>
      </w:r>
      <w:r w:rsidR="00C455CE" w:rsidRPr="001F12C8">
        <w:rPr>
          <w:b/>
          <w:sz w:val="24"/>
          <w:szCs w:val="24"/>
        </w:rPr>
        <w:t xml:space="preserve">VOLL, increasing the amount of RRS and/or PRC procured, with a corresponding change in the value of “x”. </w:t>
      </w:r>
      <w:r w:rsidR="001F12C8">
        <w:rPr>
          <w:b/>
          <w:sz w:val="24"/>
          <w:szCs w:val="24"/>
        </w:rPr>
        <w:t>The Co-ops</w:t>
      </w:r>
      <w:r w:rsidR="001F12C8" w:rsidRPr="001F12C8">
        <w:rPr>
          <w:b/>
          <w:sz w:val="24"/>
          <w:szCs w:val="24"/>
        </w:rPr>
        <w:t xml:space="preserve"> </w:t>
      </w:r>
      <w:r w:rsidR="00C455CE" w:rsidRPr="001F12C8">
        <w:rPr>
          <w:b/>
          <w:sz w:val="24"/>
          <w:szCs w:val="24"/>
        </w:rPr>
        <w:t>are opposed to changing these values for the following reasons:</w:t>
      </w:r>
    </w:p>
    <w:p w:rsidR="00C455CE" w:rsidRPr="001F12C8" w:rsidRDefault="00C455CE" w:rsidP="006B4494">
      <w:pPr>
        <w:spacing w:line="240" w:lineRule="auto"/>
        <w:ind w:left="720"/>
        <w:jc w:val="both"/>
        <w:rPr>
          <w:sz w:val="24"/>
          <w:szCs w:val="24"/>
        </w:rPr>
      </w:pPr>
      <w:r w:rsidRPr="001F12C8">
        <w:rPr>
          <w:b/>
          <w:sz w:val="24"/>
          <w:szCs w:val="24"/>
        </w:rPr>
        <w:t>VOLL</w:t>
      </w:r>
      <w:r w:rsidRPr="004508FE">
        <w:rPr>
          <w:sz w:val="24"/>
          <w:szCs w:val="24"/>
        </w:rPr>
        <w:t xml:space="preserve"> – </w:t>
      </w:r>
      <w:r w:rsidRPr="00121163">
        <w:t xml:space="preserve">Several </w:t>
      </w:r>
      <w:r w:rsidR="004508FE" w:rsidRPr="00121163">
        <w:t>o</w:t>
      </w:r>
      <w:r w:rsidRPr="00121163">
        <w:t>ptions include changing VOLL. Any increase to the VOLL will ultimately increase costs for end users and lead to more volatility. VOLL is supposed to represent the true costs of not serving load</w:t>
      </w:r>
      <w:r w:rsidR="004508FE" w:rsidRPr="00121163">
        <w:t>,</w:t>
      </w:r>
      <w:r w:rsidRPr="00121163">
        <w:t xml:space="preserve"> not an experimental value to raise the ORDC adder. $12,000 and $18,000</w:t>
      </w:r>
      <w:r w:rsidR="00C44272" w:rsidRPr="00121163">
        <w:t xml:space="preserve">, as noted in the proposals above, </w:t>
      </w:r>
      <w:r w:rsidRPr="00121163">
        <w:t>appear to be arbitrar</w:t>
      </w:r>
      <w:r w:rsidR="00C44272" w:rsidRPr="00121163">
        <w:t>y values selected to arrive at</w:t>
      </w:r>
      <w:r w:rsidRPr="00121163">
        <w:t xml:space="preserve"> specific pricing outcomes (lowering the hockey stick curve and increasing the frequency of ORDC price-spikes), that </w:t>
      </w:r>
      <w:r w:rsidR="00470A13">
        <w:t>are</w:t>
      </w:r>
      <w:r w:rsidR="00470A13" w:rsidRPr="00121163">
        <w:t xml:space="preserve"> </w:t>
      </w:r>
      <w:r w:rsidRPr="00121163">
        <w:t>not tied to a deficiency risk in physical electric service reliability.</w:t>
      </w:r>
    </w:p>
    <w:p w:rsidR="00C455CE" w:rsidRPr="00121163" w:rsidRDefault="00C455CE" w:rsidP="006B4494">
      <w:pPr>
        <w:pStyle w:val="ListParagraph"/>
        <w:spacing w:line="240" w:lineRule="auto"/>
        <w:jc w:val="both"/>
      </w:pPr>
      <w:r w:rsidRPr="001F12C8">
        <w:rPr>
          <w:b/>
          <w:sz w:val="24"/>
          <w:szCs w:val="24"/>
        </w:rPr>
        <w:lastRenderedPageBreak/>
        <w:t xml:space="preserve">Increasing minimum RRS </w:t>
      </w:r>
      <w:r w:rsidR="004508FE">
        <w:rPr>
          <w:b/>
          <w:sz w:val="24"/>
          <w:szCs w:val="24"/>
        </w:rPr>
        <w:t>and/or PRC requirements</w:t>
      </w:r>
      <w:r w:rsidRPr="001F12C8">
        <w:rPr>
          <w:b/>
          <w:sz w:val="24"/>
          <w:szCs w:val="24"/>
        </w:rPr>
        <w:t>,</w:t>
      </w:r>
      <w:r w:rsidRPr="00C455CE">
        <w:rPr>
          <w:b/>
          <w:sz w:val="24"/>
          <w:szCs w:val="24"/>
        </w:rPr>
        <w:t xml:space="preserve"> and </w:t>
      </w:r>
      <w:r w:rsidR="004508FE">
        <w:rPr>
          <w:b/>
          <w:sz w:val="24"/>
          <w:szCs w:val="24"/>
        </w:rPr>
        <w:t xml:space="preserve">changing </w:t>
      </w:r>
      <w:r w:rsidRPr="00C455CE">
        <w:rPr>
          <w:b/>
          <w:sz w:val="24"/>
          <w:szCs w:val="24"/>
        </w:rPr>
        <w:t xml:space="preserve">the value of </w:t>
      </w:r>
      <w:r w:rsidRPr="001F12C8">
        <w:rPr>
          <w:b/>
          <w:sz w:val="24"/>
          <w:szCs w:val="24"/>
        </w:rPr>
        <w:t>“</w:t>
      </w:r>
      <w:r w:rsidRPr="00C455CE">
        <w:rPr>
          <w:b/>
          <w:sz w:val="24"/>
          <w:szCs w:val="24"/>
        </w:rPr>
        <w:t>X</w:t>
      </w:r>
      <w:r w:rsidRPr="001F12C8">
        <w:rPr>
          <w:b/>
          <w:sz w:val="24"/>
          <w:szCs w:val="24"/>
        </w:rPr>
        <w:t>”</w:t>
      </w:r>
      <w:r w:rsidRPr="00C455CE">
        <w:rPr>
          <w:sz w:val="24"/>
          <w:szCs w:val="24"/>
        </w:rPr>
        <w:t xml:space="preserve"> </w:t>
      </w:r>
      <w:r w:rsidRPr="009627B1">
        <w:rPr>
          <w:sz w:val="24"/>
          <w:szCs w:val="24"/>
        </w:rPr>
        <w:t xml:space="preserve">– </w:t>
      </w:r>
      <w:r w:rsidRPr="00121163">
        <w:t>Prices will increase significantly, and sooner</w:t>
      </w:r>
      <w:r w:rsidR="00470A13">
        <w:t>,</w:t>
      </w:r>
      <w:r w:rsidRPr="00121163">
        <w:t xml:space="preserve"> due to </w:t>
      </w:r>
      <w:r w:rsidR="00C44272" w:rsidRPr="00121163">
        <w:t xml:space="preserve">the </w:t>
      </w:r>
      <w:r w:rsidRPr="00121163">
        <w:t>ORDC being in place</w:t>
      </w:r>
      <w:r w:rsidR="00C44272" w:rsidRPr="00121163">
        <w:t>,</w:t>
      </w:r>
      <w:r w:rsidRPr="00121163">
        <w:t xml:space="preserve"> at a higher level of reserve sufficiency, perhaps higher than a true reliability event requires. </w:t>
      </w:r>
      <w:r w:rsidR="001F12C8" w:rsidRPr="00121163">
        <w:t>Furthermore, o</w:t>
      </w:r>
      <w:r w:rsidRPr="00121163">
        <w:t xml:space="preserve">ptions suggesting an increase to the minimum amount of RRS, appear to be in direct conflict with the recently announced changes to 2016 ERCOT Ancillary Services Methodology. For 2016, ERCOT proposed and stakeholders endorsed a minimum standard RRS procurement of 1,375 MW for on peak hours and zero for off peak hours. </w:t>
      </w:r>
      <w:r w:rsidR="001B3C86" w:rsidRPr="00121163">
        <w:t>Several options</w:t>
      </w:r>
      <w:r w:rsidRPr="00121163">
        <w:t xml:space="preserve"> require almost double the amount of RRS and</w:t>
      </w:r>
      <w:r w:rsidR="001B3C86" w:rsidRPr="00121163">
        <w:t xml:space="preserve"> represent </w:t>
      </w:r>
      <w:r w:rsidRPr="00121163">
        <w:t xml:space="preserve">a complete change from the current purpose of RRS to provide frequency response and capacity in the event of a unit trip. </w:t>
      </w:r>
    </w:p>
    <w:p w:rsidR="00C168AA" w:rsidRPr="00E367DA" w:rsidRDefault="005E7F4F" w:rsidP="006B4494">
      <w:pPr>
        <w:spacing w:line="240" w:lineRule="auto"/>
        <w:jc w:val="both"/>
        <w:rPr>
          <w:b/>
          <w:sz w:val="24"/>
          <w:szCs w:val="24"/>
        </w:rPr>
      </w:pPr>
      <w:r w:rsidRPr="00E367DA">
        <w:rPr>
          <w:b/>
          <w:sz w:val="24"/>
          <w:szCs w:val="24"/>
        </w:rPr>
        <w:t xml:space="preserve">Option 2. </w:t>
      </w:r>
      <w:r w:rsidR="0077648D" w:rsidRPr="00E367DA">
        <w:rPr>
          <w:b/>
          <w:sz w:val="24"/>
          <w:szCs w:val="24"/>
        </w:rPr>
        <w:t>Ad</w:t>
      </w:r>
      <w:r w:rsidR="006D5524" w:rsidRPr="00E367DA">
        <w:rPr>
          <w:b/>
          <w:sz w:val="24"/>
          <w:szCs w:val="24"/>
        </w:rPr>
        <w:t>d</w:t>
      </w:r>
      <w:r w:rsidR="00BC6B85" w:rsidRPr="00E367DA">
        <w:rPr>
          <w:b/>
          <w:sz w:val="24"/>
          <w:szCs w:val="24"/>
        </w:rPr>
        <w:t xml:space="preserve"> ORDC to the DAM.</w:t>
      </w:r>
      <w:r w:rsidR="00CA1009" w:rsidRPr="00E367DA">
        <w:rPr>
          <w:b/>
          <w:sz w:val="24"/>
          <w:szCs w:val="24"/>
        </w:rPr>
        <w:t xml:space="preserve"> </w:t>
      </w:r>
      <w:r w:rsidR="00C168AA" w:rsidRPr="00E367DA">
        <w:rPr>
          <w:b/>
          <w:sz w:val="24"/>
          <w:szCs w:val="24"/>
        </w:rPr>
        <w:t>The ORDC curve would be used as the demand curve for AS procurement and pricing instead of today’s inelastic procurement.</w:t>
      </w:r>
      <w:r w:rsidR="00CA1009" w:rsidRPr="00E367DA">
        <w:rPr>
          <w:b/>
          <w:sz w:val="24"/>
          <w:szCs w:val="24"/>
        </w:rPr>
        <w:t xml:space="preserve"> </w:t>
      </w:r>
    </w:p>
    <w:p w:rsidR="00C44272" w:rsidRDefault="002C62C9" w:rsidP="006B4494">
      <w:pPr>
        <w:pStyle w:val="ListParagraph"/>
        <w:spacing w:line="240" w:lineRule="auto"/>
        <w:jc w:val="both"/>
      </w:pPr>
      <w:r w:rsidRPr="00121163">
        <w:t>A DAM</w:t>
      </w:r>
      <w:r w:rsidR="00825131" w:rsidRPr="00121163">
        <w:t xml:space="preserve"> with </w:t>
      </w:r>
      <w:r w:rsidR="005E7F4F" w:rsidRPr="00121163">
        <w:t>ORDC</w:t>
      </w:r>
      <w:r w:rsidR="00C44272" w:rsidRPr="00121163">
        <w:t xml:space="preserve">, </w:t>
      </w:r>
      <w:r w:rsidRPr="00121163">
        <w:t xml:space="preserve">and </w:t>
      </w:r>
      <w:r w:rsidR="005E7F4F" w:rsidRPr="00121163">
        <w:t xml:space="preserve">without real-time co-optimization could force a must run of generation </w:t>
      </w:r>
      <w:r w:rsidR="00404167">
        <w:t xml:space="preserve">in </w:t>
      </w:r>
      <w:r w:rsidR="005E7F4F" w:rsidRPr="00121163">
        <w:t>real-time that may not be economic</w:t>
      </w:r>
      <w:r w:rsidR="00C02A79" w:rsidRPr="00121163">
        <w:t>.</w:t>
      </w:r>
      <w:r w:rsidR="00C44272" w:rsidRPr="00121163">
        <w:t xml:space="preserve"> This option could cause an even greater lack of DAM participation due to withholding. </w:t>
      </w:r>
      <w:r w:rsidR="00DC38F6" w:rsidRPr="00121163">
        <w:t xml:space="preserve">Scarcity pricing should be based on operational shortfalls and reliability instances, not </w:t>
      </w:r>
      <w:r w:rsidRPr="00121163">
        <w:t>on</w:t>
      </w:r>
      <w:r w:rsidR="00DC38F6" w:rsidRPr="00121163">
        <w:t xml:space="preserve"> economic </w:t>
      </w:r>
      <w:r w:rsidRPr="00121163">
        <w:t xml:space="preserve">resource </w:t>
      </w:r>
      <w:r w:rsidR="00DC38F6" w:rsidRPr="00121163">
        <w:t xml:space="preserve">withholding by </w:t>
      </w:r>
      <w:r w:rsidR="001C629B" w:rsidRPr="00121163">
        <w:t>those</w:t>
      </w:r>
      <w:r w:rsidR="00DC38F6" w:rsidRPr="00121163">
        <w:t xml:space="preserve"> choosing not to participate </w:t>
      </w:r>
      <w:r w:rsidR="00AE3529" w:rsidRPr="00121163">
        <w:t>the</w:t>
      </w:r>
      <w:r w:rsidR="00825131" w:rsidRPr="00121163">
        <w:t xml:space="preserve"> </w:t>
      </w:r>
      <w:r w:rsidRPr="00121163">
        <w:t>in the DAM</w:t>
      </w:r>
      <w:r w:rsidR="00C02A79" w:rsidRPr="00121163">
        <w:t>.</w:t>
      </w:r>
      <w:r w:rsidR="00C44272" w:rsidRPr="00121163">
        <w:t xml:space="preserve"> </w:t>
      </w:r>
      <w:r w:rsidR="00DC38F6" w:rsidRPr="00121163">
        <w:t xml:space="preserve">Credit requirements </w:t>
      </w:r>
      <w:r w:rsidR="004E4BB1" w:rsidRPr="00121163">
        <w:t xml:space="preserve">would </w:t>
      </w:r>
      <w:r w:rsidR="00DC38F6" w:rsidRPr="00121163">
        <w:t>potentially increase</w:t>
      </w:r>
      <w:r w:rsidR="00221525" w:rsidRPr="00121163">
        <w:t xml:space="preserve"> significantly</w:t>
      </w:r>
      <w:r w:rsidR="00D957BA" w:rsidRPr="00121163">
        <w:t>.</w:t>
      </w:r>
    </w:p>
    <w:p w:rsidR="006B4494" w:rsidRPr="00121163" w:rsidRDefault="006B4494" w:rsidP="006B4494">
      <w:pPr>
        <w:pStyle w:val="ListParagraph"/>
        <w:spacing w:line="240" w:lineRule="auto"/>
        <w:jc w:val="both"/>
      </w:pPr>
    </w:p>
    <w:p w:rsidR="00C44272" w:rsidRPr="00C44272" w:rsidRDefault="00117B7D" w:rsidP="006B4494">
      <w:pPr>
        <w:pStyle w:val="ListParagraph"/>
        <w:numPr>
          <w:ilvl w:val="0"/>
          <w:numId w:val="20"/>
        </w:numPr>
        <w:spacing w:line="240" w:lineRule="auto"/>
        <w:jc w:val="center"/>
        <w:rPr>
          <w:b/>
          <w:sz w:val="24"/>
          <w:szCs w:val="24"/>
        </w:rPr>
      </w:pPr>
      <w:r w:rsidRPr="00C44272">
        <w:rPr>
          <w:b/>
          <w:sz w:val="24"/>
          <w:szCs w:val="24"/>
        </w:rPr>
        <w:t>Conclusion</w:t>
      </w:r>
    </w:p>
    <w:p w:rsidR="00127244" w:rsidRPr="00121163" w:rsidRDefault="00D957BA" w:rsidP="006B4494">
      <w:pPr>
        <w:spacing w:line="240" w:lineRule="auto"/>
        <w:contextualSpacing/>
        <w:jc w:val="both"/>
        <w:rPr>
          <w:b/>
        </w:rPr>
      </w:pPr>
      <w:r w:rsidRPr="00121163">
        <w:t>In conclusion,</w:t>
      </w:r>
      <w:r w:rsidR="007E0C59" w:rsidRPr="00121163">
        <w:t xml:space="preserve"> </w:t>
      </w:r>
      <w:r w:rsidR="00615FB4" w:rsidRPr="00121163">
        <w:t xml:space="preserve">the Co-ops </w:t>
      </w:r>
      <w:r w:rsidR="007E0C59" w:rsidRPr="00121163">
        <w:t xml:space="preserve">appreciate this opportunity to submit these comments on </w:t>
      </w:r>
      <w:r w:rsidR="00642D24" w:rsidRPr="00121163">
        <w:t>proposed changes to the</w:t>
      </w:r>
      <w:r w:rsidR="007E0C59" w:rsidRPr="00121163">
        <w:t xml:space="preserve"> ORDC</w:t>
      </w:r>
      <w:r w:rsidR="00121163">
        <w:t xml:space="preserve"> adder</w:t>
      </w:r>
      <w:r w:rsidR="007E0C59" w:rsidRPr="00121163">
        <w:t xml:space="preserve">. </w:t>
      </w:r>
      <w:r w:rsidR="00E514CA" w:rsidRPr="00121163">
        <w:t>As detailed above,</w:t>
      </w:r>
      <w:r w:rsidR="00145BCE" w:rsidRPr="00121163">
        <w:t xml:space="preserve"> </w:t>
      </w:r>
      <w:r w:rsidR="00615FB4" w:rsidRPr="00121163">
        <w:t>the Co-ops</w:t>
      </w:r>
      <w:r w:rsidR="00E514CA" w:rsidRPr="00121163">
        <w:t xml:space="preserve"> </w:t>
      </w:r>
      <w:r w:rsidR="00121163">
        <w:t xml:space="preserve">have not been presented with any reliability issues that would warrant a change to the ORDC adder, at this time. The Co-ops feel strongly that before we can responsibly move forward, we must have </w:t>
      </w:r>
      <w:r w:rsidR="00E514CA" w:rsidRPr="00121163">
        <w:t>thorough analysis</w:t>
      </w:r>
      <w:r w:rsidR="00121163">
        <w:t xml:space="preserve"> on the topics mentioned above</w:t>
      </w:r>
      <w:r w:rsidR="00E514CA" w:rsidRPr="00121163">
        <w:t xml:space="preserve"> and </w:t>
      </w:r>
      <w:r w:rsidR="009A4F02" w:rsidRPr="00121163">
        <w:t>additional stakeholder participation</w:t>
      </w:r>
      <w:r w:rsidR="00121163">
        <w:t xml:space="preserve"> and</w:t>
      </w:r>
      <w:r w:rsidR="009A4F02" w:rsidRPr="00121163">
        <w:t xml:space="preserve"> </w:t>
      </w:r>
      <w:r w:rsidR="00E514CA" w:rsidRPr="00121163">
        <w:t xml:space="preserve">discussion </w:t>
      </w:r>
      <w:r w:rsidR="00121163">
        <w:t xml:space="preserve">with ERCOT and any other appropriate entities, which leads to clearly identifying issues of concern, if any, </w:t>
      </w:r>
      <w:r w:rsidR="00E514CA" w:rsidRPr="00121163">
        <w:t>before any optio</w:t>
      </w:r>
      <w:r w:rsidR="00121163">
        <w:t>ns to change ORDC are</w:t>
      </w:r>
      <w:r w:rsidR="00E514CA" w:rsidRPr="00121163">
        <w:t xml:space="preserve"> selected. </w:t>
      </w:r>
    </w:p>
    <w:sectPr w:rsidR="00127244" w:rsidRPr="00121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C0C" w:rsidRDefault="00DF0C0C" w:rsidP="00BC6B85">
      <w:pPr>
        <w:spacing w:after="0" w:line="240" w:lineRule="auto"/>
      </w:pPr>
      <w:r>
        <w:separator/>
      </w:r>
    </w:p>
  </w:endnote>
  <w:endnote w:type="continuationSeparator" w:id="0">
    <w:p w:rsidR="00DF0C0C" w:rsidRDefault="00DF0C0C" w:rsidP="00BC6B85">
      <w:pPr>
        <w:spacing w:after="0" w:line="240" w:lineRule="auto"/>
      </w:pPr>
      <w:r>
        <w:continuationSeparator/>
      </w:r>
    </w:p>
  </w:endnote>
  <w:endnote w:type="continuationNotice" w:id="1">
    <w:p w:rsidR="00DF0C0C" w:rsidRDefault="00DF0C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C0C" w:rsidRDefault="00DF0C0C" w:rsidP="00BC6B85">
      <w:pPr>
        <w:spacing w:after="0" w:line="240" w:lineRule="auto"/>
      </w:pPr>
      <w:r>
        <w:separator/>
      </w:r>
    </w:p>
  </w:footnote>
  <w:footnote w:type="continuationSeparator" w:id="0">
    <w:p w:rsidR="00DF0C0C" w:rsidRDefault="00DF0C0C" w:rsidP="00BC6B85">
      <w:pPr>
        <w:spacing w:after="0" w:line="240" w:lineRule="auto"/>
      </w:pPr>
      <w:r>
        <w:continuationSeparator/>
      </w:r>
    </w:p>
  </w:footnote>
  <w:footnote w:type="continuationNotice" w:id="1">
    <w:p w:rsidR="00DF0C0C" w:rsidRDefault="00DF0C0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0352"/>
    <w:multiLevelType w:val="hybridMultilevel"/>
    <w:tmpl w:val="19F065BE"/>
    <w:lvl w:ilvl="0" w:tplc="BC3E1E3A">
      <w:start w:val="1"/>
      <w:numFmt w:val="bullet"/>
      <w:lvlText w:val="–"/>
      <w:lvlJc w:val="left"/>
      <w:pPr>
        <w:tabs>
          <w:tab w:val="num" w:pos="720"/>
        </w:tabs>
        <w:ind w:left="720" w:hanging="360"/>
      </w:pPr>
      <w:rPr>
        <w:rFonts w:ascii="Arial" w:hAnsi="Arial" w:hint="default"/>
      </w:rPr>
    </w:lvl>
    <w:lvl w:ilvl="1" w:tplc="F03A9320">
      <w:start w:val="1"/>
      <w:numFmt w:val="bullet"/>
      <w:lvlText w:val="–"/>
      <w:lvlJc w:val="left"/>
      <w:pPr>
        <w:tabs>
          <w:tab w:val="num" w:pos="1440"/>
        </w:tabs>
        <w:ind w:left="1440" w:hanging="360"/>
      </w:pPr>
      <w:rPr>
        <w:rFonts w:ascii="Arial" w:hAnsi="Arial" w:hint="default"/>
      </w:rPr>
    </w:lvl>
    <w:lvl w:ilvl="2" w:tplc="AE6AA71E" w:tentative="1">
      <w:start w:val="1"/>
      <w:numFmt w:val="bullet"/>
      <w:lvlText w:val="–"/>
      <w:lvlJc w:val="left"/>
      <w:pPr>
        <w:tabs>
          <w:tab w:val="num" w:pos="2160"/>
        </w:tabs>
        <w:ind w:left="2160" w:hanging="360"/>
      </w:pPr>
      <w:rPr>
        <w:rFonts w:ascii="Arial" w:hAnsi="Arial" w:hint="default"/>
      </w:rPr>
    </w:lvl>
    <w:lvl w:ilvl="3" w:tplc="AC386108" w:tentative="1">
      <w:start w:val="1"/>
      <w:numFmt w:val="bullet"/>
      <w:lvlText w:val="–"/>
      <w:lvlJc w:val="left"/>
      <w:pPr>
        <w:tabs>
          <w:tab w:val="num" w:pos="2880"/>
        </w:tabs>
        <w:ind w:left="2880" w:hanging="360"/>
      </w:pPr>
      <w:rPr>
        <w:rFonts w:ascii="Arial" w:hAnsi="Arial" w:hint="default"/>
      </w:rPr>
    </w:lvl>
    <w:lvl w:ilvl="4" w:tplc="FC48E9D4" w:tentative="1">
      <w:start w:val="1"/>
      <w:numFmt w:val="bullet"/>
      <w:lvlText w:val="–"/>
      <w:lvlJc w:val="left"/>
      <w:pPr>
        <w:tabs>
          <w:tab w:val="num" w:pos="3600"/>
        </w:tabs>
        <w:ind w:left="3600" w:hanging="360"/>
      </w:pPr>
      <w:rPr>
        <w:rFonts w:ascii="Arial" w:hAnsi="Arial" w:hint="default"/>
      </w:rPr>
    </w:lvl>
    <w:lvl w:ilvl="5" w:tplc="F3DAB6D8" w:tentative="1">
      <w:start w:val="1"/>
      <w:numFmt w:val="bullet"/>
      <w:lvlText w:val="–"/>
      <w:lvlJc w:val="left"/>
      <w:pPr>
        <w:tabs>
          <w:tab w:val="num" w:pos="4320"/>
        </w:tabs>
        <w:ind w:left="4320" w:hanging="360"/>
      </w:pPr>
      <w:rPr>
        <w:rFonts w:ascii="Arial" w:hAnsi="Arial" w:hint="default"/>
      </w:rPr>
    </w:lvl>
    <w:lvl w:ilvl="6" w:tplc="341CA772" w:tentative="1">
      <w:start w:val="1"/>
      <w:numFmt w:val="bullet"/>
      <w:lvlText w:val="–"/>
      <w:lvlJc w:val="left"/>
      <w:pPr>
        <w:tabs>
          <w:tab w:val="num" w:pos="5040"/>
        </w:tabs>
        <w:ind w:left="5040" w:hanging="360"/>
      </w:pPr>
      <w:rPr>
        <w:rFonts w:ascii="Arial" w:hAnsi="Arial" w:hint="default"/>
      </w:rPr>
    </w:lvl>
    <w:lvl w:ilvl="7" w:tplc="5CD01FD8" w:tentative="1">
      <w:start w:val="1"/>
      <w:numFmt w:val="bullet"/>
      <w:lvlText w:val="–"/>
      <w:lvlJc w:val="left"/>
      <w:pPr>
        <w:tabs>
          <w:tab w:val="num" w:pos="5760"/>
        </w:tabs>
        <w:ind w:left="5760" w:hanging="360"/>
      </w:pPr>
      <w:rPr>
        <w:rFonts w:ascii="Arial" w:hAnsi="Arial" w:hint="default"/>
      </w:rPr>
    </w:lvl>
    <w:lvl w:ilvl="8" w:tplc="175C72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A7081"/>
    <w:multiLevelType w:val="hybridMultilevel"/>
    <w:tmpl w:val="630AD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B7729"/>
    <w:multiLevelType w:val="hybridMultilevel"/>
    <w:tmpl w:val="5A26B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73637"/>
    <w:multiLevelType w:val="hybridMultilevel"/>
    <w:tmpl w:val="40043FDA"/>
    <w:lvl w:ilvl="0" w:tplc="17929960">
      <w:start w:val="1"/>
      <w:numFmt w:val="bullet"/>
      <w:lvlText w:val="–"/>
      <w:lvlJc w:val="left"/>
      <w:pPr>
        <w:tabs>
          <w:tab w:val="num" w:pos="720"/>
        </w:tabs>
        <w:ind w:left="720" w:hanging="360"/>
      </w:pPr>
      <w:rPr>
        <w:rFonts w:ascii="Arial" w:hAnsi="Arial" w:hint="default"/>
      </w:rPr>
    </w:lvl>
    <w:lvl w:ilvl="1" w:tplc="953EEBC0">
      <w:start w:val="1"/>
      <w:numFmt w:val="bullet"/>
      <w:lvlText w:val="–"/>
      <w:lvlJc w:val="left"/>
      <w:pPr>
        <w:tabs>
          <w:tab w:val="num" w:pos="1440"/>
        </w:tabs>
        <w:ind w:left="1440" w:hanging="360"/>
      </w:pPr>
      <w:rPr>
        <w:rFonts w:ascii="Arial" w:hAnsi="Arial" w:hint="default"/>
      </w:rPr>
    </w:lvl>
    <w:lvl w:ilvl="2" w:tplc="CD18A1E8" w:tentative="1">
      <w:start w:val="1"/>
      <w:numFmt w:val="bullet"/>
      <w:lvlText w:val="–"/>
      <w:lvlJc w:val="left"/>
      <w:pPr>
        <w:tabs>
          <w:tab w:val="num" w:pos="2160"/>
        </w:tabs>
        <w:ind w:left="2160" w:hanging="360"/>
      </w:pPr>
      <w:rPr>
        <w:rFonts w:ascii="Arial" w:hAnsi="Arial" w:hint="default"/>
      </w:rPr>
    </w:lvl>
    <w:lvl w:ilvl="3" w:tplc="B920B7C0" w:tentative="1">
      <w:start w:val="1"/>
      <w:numFmt w:val="bullet"/>
      <w:lvlText w:val="–"/>
      <w:lvlJc w:val="left"/>
      <w:pPr>
        <w:tabs>
          <w:tab w:val="num" w:pos="2880"/>
        </w:tabs>
        <w:ind w:left="2880" w:hanging="360"/>
      </w:pPr>
      <w:rPr>
        <w:rFonts w:ascii="Arial" w:hAnsi="Arial" w:hint="default"/>
      </w:rPr>
    </w:lvl>
    <w:lvl w:ilvl="4" w:tplc="CA107EAA" w:tentative="1">
      <w:start w:val="1"/>
      <w:numFmt w:val="bullet"/>
      <w:lvlText w:val="–"/>
      <w:lvlJc w:val="left"/>
      <w:pPr>
        <w:tabs>
          <w:tab w:val="num" w:pos="3600"/>
        </w:tabs>
        <w:ind w:left="3600" w:hanging="360"/>
      </w:pPr>
      <w:rPr>
        <w:rFonts w:ascii="Arial" w:hAnsi="Arial" w:hint="default"/>
      </w:rPr>
    </w:lvl>
    <w:lvl w:ilvl="5" w:tplc="9D66C71A" w:tentative="1">
      <w:start w:val="1"/>
      <w:numFmt w:val="bullet"/>
      <w:lvlText w:val="–"/>
      <w:lvlJc w:val="left"/>
      <w:pPr>
        <w:tabs>
          <w:tab w:val="num" w:pos="4320"/>
        </w:tabs>
        <w:ind w:left="4320" w:hanging="360"/>
      </w:pPr>
      <w:rPr>
        <w:rFonts w:ascii="Arial" w:hAnsi="Arial" w:hint="default"/>
      </w:rPr>
    </w:lvl>
    <w:lvl w:ilvl="6" w:tplc="B7D2AB0E" w:tentative="1">
      <w:start w:val="1"/>
      <w:numFmt w:val="bullet"/>
      <w:lvlText w:val="–"/>
      <w:lvlJc w:val="left"/>
      <w:pPr>
        <w:tabs>
          <w:tab w:val="num" w:pos="5040"/>
        </w:tabs>
        <w:ind w:left="5040" w:hanging="360"/>
      </w:pPr>
      <w:rPr>
        <w:rFonts w:ascii="Arial" w:hAnsi="Arial" w:hint="default"/>
      </w:rPr>
    </w:lvl>
    <w:lvl w:ilvl="7" w:tplc="BE1845AA" w:tentative="1">
      <w:start w:val="1"/>
      <w:numFmt w:val="bullet"/>
      <w:lvlText w:val="–"/>
      <w:lvlJc w:val="left"/>
      <w:pPr>
        <w:tabs>
          <w:tab w:val="num" w:pos="5760"/>
        </w:tabs>
        <w:ind w:left="5760" w:hanging="360"/>
      </w:pPr>
      <w:rPr>
        <w:rFonts w:ascii="Arial" w:hAnsi="Arial" w:hint="default"/>
      </w:rPr>
    </w:lvl>
    <w:lvl w:ilvl="8" w:tplc="1E6463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502E2"/>
    <w:multiLevelType w:val="hybridMultilevel"/>
    <w:tmpl w:val="77AA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4969"/>
    <w:multiLevelType w:val="hybridMultilevel"/>
    <w:tmpl w:val="2F94B542"/>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902D52"/>
    <w:multiLevelType w:val="hybridMultilevel"/>
    <w:tmpl w:val="C402F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AC21D7"/>
    <w:multiLevelType w:val="hybridMultilevel"/>
    <w:tmpl w:val="4F2237AC"/>
    <w:lvl w:ilvl="0" w:tplc="0409000F">
      <w:start w:val="6"/>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A41415"/>
    <w:multiLevelType w:val="hybridMultilevel"/>
    <w:tmpl w:val="25A201A0"/>
    <w:lvl w:ilvl="0" w:tplc="0409000F">
      <w:start w:val="8"/>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8C7703D"/>
    <w:multiLevelType w:val="hybridMultilevel"/>
    <w:tmpl w:val="3ED4C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4A1FAD"/>
    <w:multiLevelType w:val="hybridMultilevel"/>
    <w:tmpl w:val="75A4A6DA"/>
    <w:lvl w:ilvl="0" w:tplc="32008BCC">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5A7E18"/>
    <w:multiLevelType w:val="hybridMultilevel"/>
    <w:tmpl w:val="D10EA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46656"/>
    <w:multiLevelType w:val="hybridMultilevel"/>
    <w:tmpl w:val="7136AEF4"/>
    <w:lvl w:ilvl="0" w:tplc="551EF18A">
      <w:start w:val="1"/>
      <w:numFmt w:val="bullet"/>
      <w:lvlText w:val="–"/>
      <w:lvlJc w:val="left"/>
      <w:pPr>
        <w:tabs>
          <w:tab w:val="num" w:pos="720"/>
        </w:tabs>
        <w:ind w:left="720" w:hanging="360"/>
      </w:pPr>
      <w:rPr>
        <w:rFonts w:ascii="Arial" w:hAnsi="Arial" w:hint="default"/>
      </w:rPr>
    </w:lvl>
    <w:lvl w:ilvl="1" w:tplc="BB9CF534">
      <w:start w:val="1"/>
      <w:numFmt w:val="bullet"/>
      <w:lvlText w:val="–"/>
      <w:lvlJc w:val="left"/>
      <w:pPr>
        <w:tabs>
          <w:tab w:val="num" w:pos="1440"/>
        </w:tabs>
        <w:ind w:left="1440" w:hanging="360"/>
      </w:pPr>
      <w:rPr>
        <w:rFonts w:ascii="Arial" w:hAnsi="Arial" w:hint="default"/>
      </w:rPr>
    </w:lvl>
    <w:lvl w:ilvl="2" w:tplc="625E389C" w:tentative="1">
      <w:start w:val="1"/>
      <w:numFmt w:val="bullet"/>
      <w:lvlText w:val="–"/>
      <w:lvlJc w:val="left"/>
      <w:pPr>
        <w:tabs>
          <w:tab w:val="num" w:pos="2160"/>
        </w:tabs>
        <w:ind w:left="2160" w:hanging="360"/>
      </w:pPr>
      <w:rPr>
        <w:rFonts w:ascii="Arial" w:hAnsi="Arial" w:hint="default"/>
      </w:rPr>
    </w:lvl>
    <w:lvl w:ilvl="3" w:tplc="3C108904" w:tentative="1">
      <w:start w:val="1"/>
      <w:numFmt w:val="bullet"/>
      <w:lvlText w:val="–"/>
      <w:lvlJc w:val="left"/>
      <w:pPr>
        <w:tabs>
          <w:tab w:val="num" w:pos="2880"/>
        </w:tabs>
        <w:ind w:left="2880" w:hanging="360"/>
      </w:pPr>
      <w:rPr>
        <w:rFonts w:ascii="Arial" w:hAnsi="Arial" w:hint="default"/>
      </w:rPr>
    </w:lvl>
    <w:lvl w:ilvl="4" w:tplc="F242611C" w:tentative="1">
      <w:start w:val="1"/>
      <w:numFmt w:val="bullet"/>
      <w:lvlText w:val="–"/>
      <w:lvlJc w:val="left"/>
      <w:pPr>
        <w:tabs>
          <w:tab w:val="num" w:pos="3600"/>
        </w:tabs>
        <w:ind w:left="3600" w:hanging="360"/>
      </w:pPr>
      <w:rPr>
        <w:rFonts w:ascii="Arial" w:hAnsi="Arial" w:hint="default"/>
      </w:rPr>
    </w:lvl>
    <w:lvl w:ilvl="5" w:tplc="098EF8C4" w:tentative="1">
      <w:start w:val="1"/>
      <w:numFmt w:val="bullet"/>
      <w:lvlText w:val="–"/>
      <w:lvlJc w:val="left"/>
      <w:pPr>
        <w:tabs>
          <w:tab w:val="num" w:pos="4320"/>
        </w:tabs>
        <w:ind w:left="4320" w:hanging="360"/>
      </w:pPr>
      <w:rPr>
        <w:rFonts w:ascii="Arial" w:hAnsi="Arial" w:hint="default"/>
      </w:rPr>
    </w:lvl>
    <w:lvl w:ilvl="6" w:tplc="21F28C10" w:tentative="1">
      <w:start w:val="1"/>
      <w:numFmt w:val="bullet"/>
      <w:lvlText w:val="–"/>
      <w:lvlJc w:val="left"/>
      <w:pPr>
        <w:tabs>
          <w:tab w:val="num" w:pos="5040"/>
        </w:tabs>
        <w:ind w:left="5040" w:hanging="360"/>
      </w:pPr>
      <w:rPr>
        <w:rFonts w:ascii="Arial" w:hAnsi="Arial" w:hint="default"/>
      </w:rPr>
    </w:lvl>
    <w:lvl w:ilvl="7" w:tplc="B3B60494" w:tentative="1">
      <w:start w:val="1"/>
      <w:numFmt w:val="bullet"/>
      <w:lvlText w:val="–"/>
      <w:lvlJc w:val="left"/>
      <w:pPr>
        <w:tabs>
          <w:tab w:val="num" w:pos="5760"/>
        </w:tabs>
        <w:ind w:left="5760" w:hanging="360"/>
      </w:pPr>
      <w:rPr>
        <w:rFonts w:ascii="Arial" w:hAnsi="Arial" w:hint="default"/>
      </w:rPr>
    </w:lvl>
    <w:lvl w:ilvl="8" w:tplc="15FCA8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485E8F"/>
    <w:multiLevelType w:val="hybridMultilevel"/>
    <w:tmpl w:val="0700C9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B807A5A"/>
    <w:multiLevelType w:val="hybridMultilevel"/>
    <w:tmpl w:val="AE2C5D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C91F48"/>
    <w:multiLevelType w:val="hybridMultilevel"/>
    <w:tmpl w:val="B776C964"/>
    <w:lvl w:ilvl="0" w:tplc="56F0B45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982CBD"/>
    <w:multiLevelType w:val="hybridMultilevel"/>
    <w:tmpl w:val="049C4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A62ECB"/>
    <w:multiLevelType w:val="hybridMultilevel"/>
    <w:tmpl w:val="E4566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404DD"/>
    <w:multiLevelType w:val="hybridMultilevel"/>
    <w:tmpl w:val="87567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0075AA"/>
    <w:multiLevelType w:val="hybridMultilevel"/>
    <w:tmpl w:val="A2F2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31C2A"/>
    <w:multiLevelType w:val="hybridMultilevel"/>
    <w:tmpl w:val="626AEEF0"/>
    <w:lvl w:ilvl="0" w:tplc="16F407E0">
      <w:start w:val="1"/>
      <w:numFmt w:val="bullet"/>
      <w:lvlText w:val="–"/>
      <w:lvlJc w:val="left"/>
      <w:pPr>
        <w:tabs>
          <w:tab w:val="num" w:pos="720"/>
        </w:tabs>
        <w:ind w:left="720" w:hanging="360"/>
      </w:pPr>
      <w:rPr>
        <w:rFonts w:ascii="Arial" w:hAnsi="Arial" w:hint="default"/>
      </w:rPr>
    </w:lvl>
    <w:lvl w:ilvl="1" w:tplc="6EAC3F5C">
      <w:start w:val="1"/>
      <w:numFmt w:val="bullet"/>
      <w:lvlText w:val="–"/>
      <w:lvlJc w:val="left"/>
      <w:pPr>
        <w:tabs>
          <w:tab w:val="num" w:pos="1440"/>
        </w:tabs>
        <w:ind w:left="1440" w:hanging="360"/>
      </w:pPr>
      <w:rPr>
        <w:rFonts w:ascii="Arial" w:hAnsi="Arial" w:hint="default"/>
      </w:rPr>
    </w:lvl>
    <w:lvl w:ilvl="2" w:tplc="2714AA5E" w:tentative="1">
      <w:start w:val="1"/>
      <w:numFmt w:val="bullet"/>
      <w:lvlText w:val="–"/>
      <w:lvlJc w:val="left"/>
      <w:pPr>
        <w:tabs>
          <w:tab w:val="num" w:pos="2160"/>
        </w:tabs>
        <w:ind w:left="2160" w:hanging="360"/>
      </w:pPr>
      <w:rPr>
        <w:rFonts w:ascii="Arial" w:hAnsi="Arial" w:hint="default"/>
      </w:rPr>
    </w:lvl>
    <w:lvl w:ilvl="3" w:tplc="6B66A26A" w:tentative="1">
      <w:start w:val="1"/>
      <w:numFmt w:val="bullet"/>
      <w:lvlText w:val="–"/>
      <w:lvlJc w:val="left"/>
      <w:pPr>
        <w:tabs>
          <w:tab w:val="num" w:pos="2880"/>
        </w:tabs>
        <w:ind w:left="2880" w:hanging="360"/>
      </w:pPr>
      <w:rPr>
        <w:rFonts w:ascii="Arial" w:hAnsi="Arial" w:hint="default"/>
      </w:rPr>
    </w:lvl>
    <w:lvl w:ilvl="4" w:tplc="25429A9A" w:tentative="1">
      <w:start w:val="1"/>
      <w:numFmt w:val="bullet"/>
      <w:lvlText w:val="–"/>
      <w:lvlJc w:val="left"/>
      <w:pPr>
        <w:tabs>
          <w:tab w:val="num" w:pos="3600"/>
        </w:tabs>
        <w:ind w:left="3600" w:hanging="360"/>
      </w:pPr>
      <w:rPr>
        <w:rFonts w:ascii="Arial" w:hAnsi="Arial" w:hint="default"/>
      </w:rPr>
    </w:lvl>
    <w:lvl w:ilvl="5" w:tplc="899A4D9C" w:tentative="1">
      <w:start w:val="1"/>
      <w:numFmt w:val="bullet"/>
      <w:lvlText w:val="–"/>
      <w:lvlJc w:val="left"/>
      <w:pPr>
        <w:tabs>
          <w:tab w:val="num" w:pos="4320"/>
        </w:tabs>
        <w:ind w:left="4320" w:hanging="360"/>
      </w:pPr>
      <w:rPr>
        <w:rFonts w:ascii="Arial" w:hAnsi="Arial" w:hint="default"/>
      </w:rPr>
    </w:lvl>
    <w:lvl w:ilvl="6" w:tplc="AC888264" w:tentative="1">
      <w:start w:val="1"/>
      <w:numFmt w:val="bullet"/>
      <w:lvlText w:val="–"/>
      <w:lvlJc w:val="left"/>
      <w:pPr>
        <w:tabs>
          <w:tab w:val="num" w:pos="5040"/>
        </w:tabs>
        <w:ind w:left="5040" w:hanging="360"/>
      </w:pPr>
      <w:rPr>
        <w:rFonts w:ascii="Arial" w:hAnsi="Arial" w:hint="default"/>
      </w:rPr>
    </w:lvl>
    <w:lvl w:ilvl="7" w:tplc="9AD0C81A" w:tentative="1">
      <w:start w:val="1"/>
      <w:numFmt w:val="bullet"/>
      <w:lvlText w:val="–"/>
      <w:lvlJc w:val="left"/>
      <w:pPr>
        <w:tabs>
          <w:tab w:val="num" w:pos="5760"/>
        </w:tabs>
        <w:ind w:left="5760" w:hanging="360"/>
      </w:pPr>
      <w:rPr>
        <w:rFonts w:ascii="Arial" w:hAnsi="Arial" w:hint="default"/>
      </w:rPr>
    </w:lvl>
    <w:lvl w:ilvl="8" w:tplc="2DBE40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77E5D25"/>
    <w:multiLevelType w:val="hybridMultilevel"/>
    <w:tmpl w:val="5A32C0F4"/>
    <w:lvl w:ilvl="0" w:tplc="CBD42026">
      <w:start w:val="1"/>
      <w:numFmt w:val="bullet"/>
      <w:lvlText w:val="–"/>
      <w:lvlJc w:val="left"/>
      <w:pPr>
        <w:tabs>
          <w:tab w:val="num" w:pos="720"/>
        </w:tabs>
        <w:ind w:left="720" w:hanging="360"/>
      </w:pPr>
      <w:rPr>
        <w:rFonts w:ascii="Arial" w:hAnsi="Arial" w:hint="default"/>
      </w:rPr>
    </w:lvl>
    <w:lvl w:ilvl="1" w:tplc="DB98078E">
      <w:start w:val="1"/>
      <w:numFmt w:val="bullet"/>
      <w:lvlText w:val="–"/>
      <w:lvlJc w:val="left"/>
      <w:pPr>
        <w:tabs>
          <w:tab w:val="num" w:pos="1440"/>
        </w:tabs>
        <w:ind w:left="1440" w:hanging="360"/>
      </w:pPr>
      <w:rPr>
        <w:rFonts w:ascii="Arial" w:hAnsi="Arial" w:hint="default"/>
      </w:rPr>
    </w:lvl>
    <w:lvl w:ilvl="2" w:tplc="2D6AC316" w:tentative="1">
      <w:start w:val="1"/>
      <w:numFmt w:val="bullet"/>
      <w:lvlText w:val="–"/>
      <w:lvlJc w:val="left"/>
      <w:pPr>
        <w:tabs>
          <w:tab w:val="num" w:pos="2160"/>
        </w:tabs>
        <w:ind w:left="2160" w:hanging="360"/>
      </w:pPr>
      <w:rPr>
        <w:rFonts w:ascii="Arial" w:hAnsi="Arial" w:hint="default"/>
      </w:rPr>
    </w:lvl>
    <w:lvl w:ilvl="3" w:tplc="9C4A5E54" w:tentative="1">
      <w:start w:val="1"/>
      <w:numFmt w:val="bullet"/>
      <w:lvlText w:val="–"/>
      <w:lvlJc w:val="left"/>
      <w:pPr>
        <w:tabs>
          <w:tab w:val="num" w:pos="2880"/>
        </w:tabs>
        <w:ind w:left="2880" w:hanging="360"/>
      </w:pPr>
      <w:rPr>
        <w:rFonts w:ascii="Arial" w:hAnsi="Arial" w:hint="default"/>
      </w:rPr>
    </w:lvl>
    <w:lvl w:ilvl="4" w:tplc="2FC88E86" w:tentative="1">
      <w:start w:val="1"/>
      <w:numFmt w:val="bullet"/>
      <w:lvlText w:val="–"/>
      <w:lvlJc w:val="left"/>
      <w:pPr>
        <w:tabs>
          <w:tab w:val="num" w:pos="3600"/>
        </w:tabs>
        <w:ind w:left="3600" w:hanging="360"/>
      </w:pPr>
      <w:rPr>
        <w:rFonts w:ascii="Arial" w:hAnsi="Arial" w:hint="default"/>
      </w:rPr>
    </w:lvl>
    <w:lvl w:ilvl="5" w:tplc="0C683196" w:tentative="1">
      <w:start w:val="1"/>
      <w:numFmt w:val="bullet"/>
      <w:lvlText w:val="–"/>
      <w:lvlJc w:val="left"/>
      <w:pPr>
        <w:tabs>
          <w:tab w:val="num" w:pos="4320"/>
        </w:tabs>
        <w:ind w:left="4320" w:hanging="360"/>
      </w:pPr>
      <w:rPr>
        <w:rFonts w:ascii="Arial" w:hAnsi="Arial" w:hint="default"/>
      </w:rPr>
    </w:lvl>
    <w:lvl w:ilvl="6" w:tplc="B2448CD4" w:tentative="1">
      <w:start w:val="1"/>
      <w:numFmt w:val="bullet"/>
      <w:lvlText w:val="–"/>
      <w:lvlJc w:val="left"/>
      <w:pPr>
        <w:tabs>
          <w:tab w:val="num" w:pos="5040"/>
        </w:tabs>
        <w:ind w:left="5040" w:hanging="360"/>
      </w:pPr>
      <w:rPr>
        <w:rFonts w:ascii="Arial" w:hAnsi="Arial" w:hint="default"/>
      </w:rPr>
    </w:lvl>
    <w:lvl w:ilvl="7" w:tplc="304A0E02" w:tentative="1">
      <w:start w:val="1"/>
      <w:numFmt w:val="bullet"/>
      <w:lvlText w:val="–"/>
      <w:lvlJc w:val="left"/>
      <w:pPr>
        <w:tabs>
          <w:tab w:val="num" w:pos="5760"/>
        </w:tabs>
        <w:ind w:left="5760" w:hanging="360"/>
      </w:pPr>
      <w:rPr>
        <w:rFonts w:ascii="Arial" w:hAnsi="Arial" w:hint="default"/>
      </w:rPr>
    </w:lvl>
    <w:lvl w:ilvl="8" w:tplc="E7D092C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A04B24"/>
    <w:multiLevelType w:val="hybridMultilevel"/>
    <w:tmpl w:val="78B09352"/>
    <w:lvl w:ilvl="0" w:tplc="566CEA5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386256"/>
    <w:multiLevelType w:val="hybridMultilevel"/>
    <w:tmpl w:val="49E8D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0A3F04"/>
    <w:multiLevelType w:val="hybridMultilevel"/>
    <w:tmpl w:val="B0A655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F5B106B"/>
    <w:multiLevelType w:val="hybridMultilevel"/>
    <w:tmpl w:val="FE104840"/>
    <w:lvl w:ilvl="0" w:tplc="3508BC9E">
      <w:start w:val="1"/>
      <w:numFmt w:val="bullet"/>
      <w:lvlText w:val="–"/>
      <w:lvlJc w:val="left"/>
      <w:pPr>
        <w:tabs>
          <w:tab w:val="num" w:pos="720"/>
        </w:tabs>
        <w:ind w:left="720" w:hanging="360"/>
      </w:pPr>
      <w:rPr>
        <w:rFonts w:ascii="Arial" w:hAnsi="Arial" w:hint="default"/>
      </w:rPr>
    </w:lvl>
    <w:lvl w:ilvl="1" w:tplc="AABA2F82">
      <w:start w:val="1"/>
      <w:numFmt w:val="bullet"/>
      <w:lvlText w:val="–"/>
      <w:lvlJc w:val="left"/>
      <w:pPr>
        <w:tabs>
          <w:tab w:val="num" w:pos="1440"/>
        </w:tabs>
        <w:ind w:left="1440" w:hanging="360"/>
      </w:pPr>
      <w:rPr>
        <w:rFonts w:ascii="Arial" w:hAnsi="Arial" w:hint="default"/>
      </w:rPr>
    </w:lvl>
    <w:lvl w:ilvl="2" w:tplc="D87C9CD4" w:tentative="1">
      <w:start w:val="1"/>
      <w:numFmt w:val="bullet"/>
      <w:lvlText w:val="–"/>
      <w:lvlJc w:val="left"/>
      <w:pPr>
        <w:tabs>
          <w:tab w:val="num" w:pos="2160"/>
        </w:tabs>
        <w:ind w:left="2160" w:hanging="360"/>
      </w:pPr>
      <w:rPr>
        <w:rFonts w:ascii="Arial" w:hAnsi="Arial" w:hint="default"/>
      </w:rPr>
    </w:lvl>
    <w:lvl w:ilvl="3" w:tplc="F5F08F56" w:tentative="1">
      <w:start w:val="1"/>
      <w:numFmt w:val="bullet"/>
      <w:lvlText w:val="–"/>
      <w:lvlJc w:val="left"/>
      <w:pPr>
        <w:tabs>
          <w:tab w:val="num" w:pos="2880"/>
        </w:tabs>
        <w:ind w:left="2880" w:hanging="360"/>
      </w:pPr>
      <w:rPr>
        <w:rFonts w:ascii="Arial" w:hAnsi="Arial" w:hint="default"/>
      </w:rPr>
    </w:lvl>
    <w:lvl w:ilvl="4" w:tplc="4E8CA85A" w:tentative="1">
      <w:start w:val="1"/>
      <w:numFmt w:val="bullet"/>
      <w:lvlText w:val="–"/>
      <w:lvlJc w:val="left"/>
      <w:pPr>
        <w:tabs>
          <w:tab w:val="num" w:pos="3600"/>
        </w:tabs>
        <w:ind w:left="3600" w:hanging="360"/>
      </w:pPr>
      <w:rPr>
        <w:rFonts w:ascii="Arial" w:hAnsi="Arial" w:hint="default"/>
      </w:rPr>
    </w:lvl>
    <w:lvl w:ilvl="5" w:tplc="1CCAD7C4" w:tentative="1">
      <w:start w:val="1"/>
      <w:numFmt w:val="bullet"/>
      <w:lvlText w:val="–"/>
      <w:lvlJc w:val="left"/>
      <w:pPr>
        <w:tabs>
          <w:tab w:val="num" w:pos="4320"/>
        </w:tabs>
        <w:ind w:left="4320" w:hanging="360"/>
      </w:pPr>
      <w:rPr>
        <w:rFonts w:ascii="Arial" w:hAnsi="Arial" w:hint="default"/>
      </w:rPr>
    </w:lvl>
    <w:lvl w:ilvl="6" w:tplc="2C6231EA" w:tentative="1">
      <w:start w:val="1"/>
      <w:numFmt w:val="bullet"/>
      <w:lvlText w:val="–"/>
      <w:lvlJc w:val="left"/>
      <w:pPr>
        <w:tabs>
          <w:tab w:val="num" w:pos="5040"/>
        </w:tabs>
        <w:ind w:left="5040" w:hanging="360"/>
      </w:pPr>
      <w:rPr>
        <w:rFonts w:ascii="Arial" w:hAnsi="Arial" w:hint="default"/>
      </w:rPr>
    </w:lvl>
    <w:lvl w:ilvl="7" w:tplc="3E64D4A4" w:tentative="1">
      <w:start w:val="1"/>
      <w:numFmt w:val="bullet"/>
      <w:lvlText w:val="–"/>
      <w:lvlJc w:val="left"/>
      <w:pPr>
        <w:tabs>
          <w:tab w:val="num" w:pos="5760"/>
        </w:tabs>
        <w:ind w:left="5760" w:hanging="360"/>
      </w:pPr>
      <w:rPr>
        <w:rFonts w:ascii="Arial" w:hAnsi="Arial" w:hint="default"/>
      </w:rPr>
    </w:lvl>
    <w:lvl w:ilvl="8" w:tplc="1BAAA83E"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0"/>
  </w:num>
  <w:num w:numId="3">
    <w:abstractNumId w:val="4"/>
  </w:num>
  <w:num w:numId="4">
    <w:abstractNumId w:val="7"/>
  </w:num>
  <w:num w:numId="5">
    <w:abstractNumId w:val="5"/>
  </w:num>
  <w:num w:numId="6">
    <w:abstractNumId w:val="21"/>
  </w:num>
  <w:num w:numId="7">
    <w:abstractNumId w:val="25"/>
  </w:num>
  <w:num w:numId="8">
    <w:abstractNumId w:val="20"/>
  </w:num>
  <w:num w:numId="9">
    <w:abstractNumId w:val="3"/>
  </w:num>
  <w:num w:numId="10">
    <w:abstractNumId w:val="12"/>
  </w:num>
  <w:num w:numId="11">
    <w:abstractNumId w:val="8"/>
  </w:num>
  <w:num w:numId="12">
    <w:abstractNumId w:val="0"/>
  </w:num>
  <w:num w:numId="13">
    <w:abstractNumId w:val="13"/>
  </w:num>
  <w:num w:numId="14">
    <w:abstractNumId w:val="19"/>
  </w:num>
  <w:num w:numId="15">
    <w:abstractNumId w:val="2"/>
  </w:num>
  <w:num w:numId="16">
    <w:abstractNumId w:val="1"/>
  </w:num>
  <w:num w:numId="17">
    <w:abstractNumId w:val="14"/>
  </w:num>
  <w:num w:numId="18">
    <w:abstractNumId w:val="15"/>
  </w:num>
  <w:num w:numId="19">
    <w:abstractNumId w:val="11"/>
  </w:num>
  <w:num w:numId="20">
    <w:abstractNumId w:val="17"/>
  </w:num>
  <w:num w:numId="21">
    <w:abstractNumId w:val="22"/>
  </w:num>
  <w:num w:numId="22">
    <w:abstractNumId w:val="6"/>
  </w:num>
  <w:num w:numId="23">
    <w:abstractNumId w:val="9"/>
  </w:num>
  <w:num w:numId="24">
    <w:abstractNumId w:val="24"/>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14E4"/>
    <w:rsid w:val="0000390A"/>
    <w:rsid w:val="00017B54"/>
    <w:rsid w:val="00112D4E"/>
    <w:rsid w:val="001150F7"/>
    <w:rsid w:val="00117B7D"/>
    <w:rsid w:val="00121163"/>
    <w:rsid w:val="00127244"/>
    <w:rsid w:val="00137F48"/>
    <w:rsid w:val="00145BCE"/>
    <w:rsid w:val="00155540"/>
    <w:rsid w:val="00156E51"/>
    <w:rsid w:val="00180E58"/>
    <w:rsid w:val="001B3C86"/>
    <w:rsid w:val="001C153A"/>
    <w:rsid w:val="001C629B"/>
    <w:rsid w:val="001C7D04"/>
    <w:rsid w:val="001F12C8"/>
    <w:rsid w:val="00212372"/>
    <w:rsid w:val="00221525"/>
    <w:rsid w:val="00244329"/>
    <w:rsid w:val="00253986"/>
    <w:rsid w:val="002C38D1"/>
    <w:rsid w:val="002C3AEF"/>
    <w:rsid w:val="002C62C9"/>
    <w:rsid w:val="002D528C"/>
    <w:rsid w:val="0035242F"/>
    <w:rsid w:val="003B0D75"/>
    <w:rsid w:val="003D2F9E"/>
    <w:rsid w:val="003E1E2A"/>
    <w:rsid w:val="00404167"/>
    <w:rsid w:val="00404518"/>
    <w:rsid w:val="004508FE"/>
    <w:rsid w:val="00470A13"/>
    <w:rsid w:val="0048040A"/>
    <w:rsid w:val="00481E1B"/>
    <w:rsid w:val="0048361B"/>
    <w:rsid w:val="0048437A"/>
    <w:rsid w:val="004B0471"/>
    <w:rsid w:val="004B5F0B"/>
    <w:rsid w:val="004C5938"/>
    <w:rsid w:val="004D445E"/>
    <w:rsid w:val="004E4BB1"/>
    <w:rsid w:val="004F083F"/>
    <w:rsid w:val="005853DB"/>
    <w:rsid w:val="005A0A5E"/>
    <w:rsid w:val="005E7F4F"/>
    <w:rsid w:val="005F688C"/>
    <w:rsid w:val="00606A66"/>
    <w:rsid w:val="00615FB4"/>
    <w:rsid w:val="00616368"/>
    <w:rsid w:val="00626176"/>
    <w:rsid w:val="00642D24"/>
    <w:rsid w:val="006454D0"/>
    <w:rsid w:val="00670820"/>
    <w:rsid w:val="00692AB5"/>
    <w:rsid w:val="006A1C98"/>
    <w:rsid w:val="006B4494"/>
    <w:rsid w:val="006C3798"/>
    <w:rsid w:val="006D1ECF"/>
    <w:rsid w:val="006D5524"/>
    <w:rsid w:val="00706A96"/>
    <w:rsid w:val="00737D84"/>
    <w:rsid w:val="0074559B"/>
    <w:rsid w:val="007675BB"/>
    <w:rsid w:val="0077292B"/>
    <w:rsid w:val="0077648D"/>
    <w:rsid w:val="00784073"/>
    <w:rsid w:val="007A7E2A"/>
    <w:rsid w:val="007D023B"/>
    <w:rsid w:val="007D6647"/>
    <w:rsid w:val="007E0C59"/>
    <w:rsid w:val="00800C7C"/>
    <w:rsid w:val="0081292C"/>
    <w:rsid w:val="00825131"/>
    <w:rsid w:val="00832F29"/>
    <w:rsid w:val="008439F7"/>
    <w:rsid w:val="00843D08"/>
    <w:rsid w:val="00856427"/>
    <w:rsid w:val="0085677C"/>
    <w:rsid w:val="008874AE"/>
    <w:rsid w:val="00893753"/>
    <w:rsid w:val="008A4389"/>
    <w:rsid w:val="008B38F2"/>
    <w:rsid w:val="008D794F"/>
    <w:rsid w:val="008E3D67"/>
    <w:rsid w:val="008F6E8B"/>
    <w:rsid w:val="00933E43"/>
    <w:rsid w:val="00947E6F"/>
    <w:rsid w:val="00976E05"/>
    <w:rsid w:val="009A4F02"/>
    <w:rsid w:val="009B0C4E"/>
    <w:rsid w:val="009B14B0"/>
    <w:rsid w:val="009D5F8C"/>
    <w:rsid w:val="00A11F5B"/>
    <w:rsid w:val="00A20229"/>
    <w:rsid w:val="00A538FD"/>
    <w:rsid w:val="00A84082"/>
    <w:rsid w:val="00A95793"/>
    <w:rsid w:val="00AA3C70"/>
    <w:rsid w:val="00AC656C"/>
    <w:rsid w:val="00AD6CD9"/>
    <w:rsid w:val="00AD73C1"/>
    <w:rsid w:val="00AE3529"/>
    <w:rsid w:val="00AE63F8"/>
    <w:rsid w:val="00B007E5"/>
    <w:rsid w:val="00B62131"/>
    <w:rsid w:val="00B74254"/>
    <w:rsid w:val="00B84AA1"/>
    <w:rsid w:val="00BA56F9"/>
    <w:rsid w:val="00BA79B7"/>
    <w:rsid w:val="00BB5C99"/>
    <w:rsid w:val="00BC6B85"/>
    <w:rsid w:val="00BF6442"/>
    <w:rsid w:val="00BF69F3"/>
    <w:rsid w:val="00C01AF6"/>
    <w:rsid w:val="00C02A79"/>
    <w:rsid w:val="00C168AA"/>
    <w:rsid w:val="00C176AC"/>
    <w:rsid w:val="00C32373"/>
    <w:rsid w:val="00C40A53"/>
    <w:rsid w:val="00C41159"/>
    <w:rsid w:val="00C44272"/>
    <w:rsid w:val="00C455CE"/>
    <w:rsid w:val="00C47301"/>
    <w:rsid w:val="00C57EE2"/>
    <w:rsid w:val="00C830B1"/>
    <w:rsid w:val="00C86E0A"/>
    <w:rsid w:val="00CA1009"/>
    <w:rsid w:val="00D3304E"/>
    <w:rsid w:val="00D4398A"/>
    <w:rsid w:val="00D5492D"/>
    <w:rsid w:val="00D86C17"/>
    <w:rsid w:val="00D94791"/>
    <w:rsid w:val="00D957BA"/>
    <w:rsid w:val="00DC38F6"/>
    <w:rsid w:val="00DD55DC"/>
    <w:rsid w:val="00DF0C0C"/>
    <w:rsid w:val="00E249E3"/>
    <w:rsid w:val="00E367DA"/>
    <w:rsid w:val="00E43B82"/>
    <w:rsid w:val="00E514CA"/>
    <w:rsid w:val="00E86F44"/>
    <w:rsid w:val="00E9475C"/>
    <w:rsid w:val="00EA3B55"/>
    <w:rsid w:val="00EC25CE"/>
    <w:rsid w:val="00EE145F"/>
    <w:rsid w:val="00F3684A"/>
    <w:rsid w:val="00F4245D"/>
    <w:rsid w:val="00F57BBD"/>
    <w:rsid w:val="00FA4127"/>
    <w:rsid w:val="00FA7320"/>
    <w:rsid w:val="00FC2B9C"/>
    <w:rsid w:val="00FD24DA"/>
    <w:rsid w:val="00FD2BCE"/>
    <w:rsid w:val="00FF4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FA1412F-02F4-4417-AB7D-D5166C8D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85"/>
    <w:pPr>
      <w:ind w:left="720"/>
      <w:contextualSpacing/>
    </w:pPr>
  </w:style>
  <w:style w:type="paragraph" w:styleId="FootnoteText">
    <w:name w:val="footnote text"/>
    <w:basedOn w:val="Normal"/>
    <w:link w:val="FootnoteTextChar"/>
    <w:uiPriority w:val="99"/>
    <w:semiHidden/>
    <w:unhideWhenUsed/>
    <w:rsid w:val="00BC6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B85"/>
    <w:rPr>
      <w:sz w:val="20"/>
      <w:szCs w:val="20"/>
    </w:rPr>
  </w:style>
  <w:style w:type="character" w:styleId="FootnoteReference">
    <w:name w:val="footnote reference"/>
    <w:basedOn w:val="DefaultParagraphFont"/>
    <w:uiPriority w:val="99"/>
    <w:semiHidden/>
    <w:unhideWhenUsed/>
    <w:rsid w:val="00BC6B85"/>
    <w:rPr>
      <w:vertAlign w:val="superscript"/>
    </w:rPr>
  </w:style>
  <w:style w:type="character" w:styleId="CommentReference">
    <w:name w:val="annotation reference"/>
    <w:basedOn w:val="DefaultParagraphFont"/>
    <w:uiPriority w:val="99"/>
    <w:semiHidden/>
    <w:unhideWhenUsed/>
    <w:rsid w:val="00D957BA"/>
    <w:rPr>
      <w:sz w:val="16"/>
      <w:szCs w:val="16"/>
    </w:rPr>
  </w:style>
  <w:style w:type="paragraph" w:styleId="CommentText">
    <w:name w:val="annotation text"/>
    <w:basedOn w:val="Normal"/>
    <w:link w:val="CommentTextChar"/>
    <w:uiPriority w:val="99"/>
    <w:semiHidden/>
    <w:unhideWhenUsed/>
    <w:rsid w:val="00D957BA"/>
    <w:pPr>
      <w:spacing w:line="240" w:lineRule="auto"/>
    </w:pPr>
    <w:rPr>
      <w:sz w:val="20"/>
      <w:szCs w:val="20"/>
    </w:rPr>
  </w:style>
  <w:style w:type="character" w:customStyle="1" w:styleId="CommentTextChar">
    <w:name w:val="Comment Text Char"/>
    <w:basedOn w:val="DefaultParagraphFont"/>
    <w:link w:val="CommentText"/>
    <w:uiPriority w:val="99"/>
    <w:semiHidden/>
    <w:rsid w:val="00D957BA"/>
    <w:rPr>
      <w:sz w:val="20"/>
      <w:szCs w:val="20"/>
    </w:rPr>
  </w:style>
  <w:style w:type="paragraph" w:styleId="BalloonText">
    <w:name w:val="Balloon Text"/>
    <w:basedOn w:val="Normal"/>
    <w:link w:val="BalloonTextChar"/>
    <w:uiPriority w:val="99"/>
    <w:semiHidden/>
    <w:unhideWhenUsed/>
    <w:rsid w:val="00D9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7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684A"/>
    <w:rPr>
      <w:b/>
      <w:bCs/>
    </w:rPr>
  </w:style>
  <w:style w:type="character" w:customStyle="1" w:styleId="CommentSubjectChar">
    <w:name w:val="Comment Subject Char"/>
    <w:basedOn w:val="CommentTextChar"/>
    <w:link w:val="CommentSubject"/>
    <w:uiPriority w:val="99"/>
    <w:semiHidden/>
    <w:rsid w:val="00F3684A"/>
    <w:rPr>
      <w:b/>
      <w:bCs/>
      <w:sz w:val="20"/>
      <w:szCs w:val="20"/>
    </w:rPr>
  </w:style>
  <w:style w:type="paragraph" w:styleId="Header">
    <w:name w:val="header"/>
    <w:basedOn w:val="Normal"/>
    <w:link w:val="HeaderChar"/>
    <w:uiPriority w:val="99"/>
    <w:unhideWhenUsed/>
    <w:rsid w:val="006A1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C98"/>
  </w:style>
  <w:style w:type="paragraph" w:styleId="Footer">
    <w:name w:val="footer"/>
    <w:basedOn w:val="Normal"/>
    <w:link w:val="FooterChar"/>
    <w:uiPriority w:val="99"/>
    <w:unhideWhenUsed/>
    <w:rsid w:val="006A1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C98"/>
  </w:style>
  <w:style w:type="paragraph" w:styleId="Revision">
    <w:name w:val="Revision"/>
    <w:hidden/>
    <w:uiPriority w:val="99"/>
    <w:semiHidden/>
    <w:rsid w:val="00C32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94987">
      <w:bodyDiv w:val="1"/>
      <w:marLeft w:val="0"/>
      <w:marRight w:val="0"/>
      <w:marTop w:val="0"/>
      <w:marBottom w:val="0"/>
      <w:divBdr>
        <w:top w:val="none" w:sz="0" w:space="0" w:color="auto"/>
        <w:left w:val="none" w:sz="0" w:space="0" w:color="auto"/>
        <w:bottom w:val="none" w:sz="0" w:space="0" w:color="auto"/>
        <w:right w:val="none" w:sz="0" w:space="0" w:color="auto"/>
      </w:divBdr>
      <w:divsChild>
        <w:div w:id="762073289">
          <w:marLeft w:val="1166"/>
          <w:marRight w:val="0"/>
          <w:marTop w:val="86"/>
          <w:marBottom w:val="0"/>
          <w:divBdr>
            <w:top w:val="none" w:sz="0" w:space="0" w:color="auto"/>
            <w:left w:val="none" w:sz="0" w:space="0" w:color="auto"/>
            <w:bottom w:val="none" w:sz="0" w:space="0" w:color="auto"/>
            <w:right w:val="none" w:sz="0" w:space="0" w:color="auto"/>
          </w:divBdr>
        </w:div>
        <w:div w:id="948003811">
          <w:marLeft w:val="1166"/>
          <w:marRight w:val="0"/>
          <w:marTop w:val="86"/>
          <w:marBottom w:val="0"/>
          <w:divBdr>
            <w:top w:val="none" w:sz="0" w:space="0" w:color="auto"/>
            <w:left w:val="none" w:sz="0" w:space="0" w:color="auto"/>
            <w:bottom w:val="none" w:sz="0" w:space="0" w:color="auto"/>
            <w:right w:val="none" w:sz="0" w:space="0" w:color="auto"/>
          </w:divBdr>
        </w:div>
      </w:divsChild>
    </w:div>
    <w:div w:id="789057596">
      <w:bodyDiv w:val="1"/>
      <w:marLeft w:val="0"/>
      <w:marRight w:val="0"/>
      <w:marTop w:val="0"/>
      <w:marBottom w:val="0"/>
      <w:divBdr>
        <w:top w:val="none" w:sz="0" w:space="0" w:color="auto"/>
        <w:left w:val="none" w:sz="0" w:space="0" w:color="auto"/>
        <w:bottom w:val="none" w:sz="0" w:space="0" w:color="auto"/>
        <w:right w:val="none" w:sz="0" w:space="0" w:color="auto"/>
      </w:divBdr>
      <w:divsChild>
        <w:div w:id="1470055935">
          <w:marLeft w:val="1166"/>
          <w:marRight w:val="0"/>
          <w:marTop w:val="86"/>
          <w:marBottom w:val="0"/>
          <w:divBdr>
            <w:top w:val="none" w:sz="0" w:space="0" w:color="auto"/>
            <w:left w:val="none" w:sz="0" w:space="0" w:color="auto"/>
            <w:bottom w:val="none" w:sz="0" w:space="0" w:color="auto"/>
            <w:right w:val="none" w:sz="0" w:space="0" w:color="auto"/>
          </w:divBdr>
        </w:div>
        <w:div w:id="1336346969">
          <w:marLeft w:val="1166"/>
          <w:marRight w:val="0"/>
          <w:marTop w:val="86"/>
          <w:marBottom w:val="0"/>
          <w:divBdr>
            <w:top w:val="none" w:sz="0" w:space="0" w:color="auto"/>
            <w:left w:val="none" w:sz="0" w:space="0" w:color="auto"/>
            <w:bottom w:val="none" w:sz="0" w:space="0" w:color="auto"/>
            <w:right w:val="none" w:sz="0" w:space="0" w:color="auto"/>
          </w:divBdr>
        </w:div>
        <w:div w:id="1390765400">
          <w:marLeft w:val="1166"/>
          <w:marRight w:val="0"/>
          <w:marTop w:val="86"/>
          <w:marBottom w:val="0"/>
          <w:divBdr>
            <w:top w:val="none" w:sz="0" w:space="0" w:color="auto"/>
            <w:left w:val="none" w:sz="0" w:space="0" w:color="auto"/>
            <w:bottom w:val="none" w:sz="0" w:space="0" w:color="auto"/>
            <w:right w:val="none" w:sz="0" w:space="0" w:color="auto"/>
          </w:divBdr>
        </w:div>
        <w:div w:id="1624648308">
          <w:marLeft w:val="1166"/>
          <w:marRight w:val="0"/>
          <w:marTop w:val="86"/>
          <w:marBottom w:val="0"/>
          <w:divBdr>
            <w:top w:val="none" w:sz="0" w:space="0" w:color="auto"/>
            <w:left w:val="none" w:sz="0" w:space="0" w:color="auto"/>
            <w:bottom w:val="none" w:sz="0" w:space="0" w:color="auto"/>
            <w:right w:val="none" w:sz="0" w:space="0" w:color="auto"/>
          </w:divBdr>
        </w:div>
      </w:divsChild>
    </w:div>
    <w:div w:id="889876897">
      <w:bodyDiv w:val="1"/>
      <w:marLeft w:val="0"/>
      <w:marRight w:val="0"/>
      <w:marTop w:val="0"/>
      <w:marBottom w:val="0"/>
      <w:divBdr>
        <w:top w:val="none" w:sz="0" w:space="0" w:color="auto"/>
        <w:left w:val="none" w:sz="0" w:space="0" w:color="auto"/>
        <w:bottom w:val="none" w:sz="0" w:space="0" w:color="auto"/>
        <w:right w:val="none" w:sz="0" w:space="0" w:color="auto"/>
      </w:divBdr>
      <w:divsChild>
        <w:div w:id="1481077893">
          <w:marLeft w:val="1166"/>
          <w:marRight w:val="0"/>
          <w:marTop w:val="77"/>
          <w:marBottom w:val="0"/>
          <w:divBdr>
            <w:top w:val="none" w:sz="0" w:space="0" w:color="auto"/>
            <w:left w:val="none" w:sz="0" w:space="0" w:color="auto"/>
            <w:bottom w:val="none" w:sz="0" w:space="0" w:color="auto"/>
            <w:right w:val="none" w:sz="0" w:space="0" w:color="auto"/>
          </w:divBdr>
        </w:div>
        <w:div w:id="1212813156">
          <w:marLeft w:val="1166"/>
          <w:marRight w:val="0"/>
          <w:marTop w:val="77"/>
          <w:marBottom w:val="0"/>
          <w:divBdr>
            <w:top w:val="none" w:sz="0" w:space="0" w:color="auto"/>
            <w:left w:val="none" w:sz="0" w:space="0" w:color="auto"/>
            <w:bottom w:val="none" w:sz="0" w:space="0" w:color="auto"/>
            <w:right w:val="none" w:sz="0" w:space="0" w:color="auto"/>
          </w:divBdr>
        </w:div>
        <w:div w:id="571047289">
          <w:marLeft w:val="1166"/>
          <w:marRight w:val="0"/>
          <w:marTop w:val="77"/>
          <w:marBottom w:val="0"/>
          <w:divBdr>
            <w:top w:val="none" w:sz="0" w:space="0" w:color="auto"/>
            <w:left w:val="none" w:sz="0" w:space="0" w:color="auto"/>
            <w:bottom w:val="none" w:sz="0" w:space="0" w:color="auto"/>
            <w:right w:val="none" w:sz="0" w:space="0" w:color="auto"/>
          </w:divBdr>
        </w:div>
      </w:divsChild>
    </w:div>
    <w:div w:id="1135634704">
      <w:bodyDiv w:val="1"/>
      <w:marLeft w:val="0"/>
      <w:marRight w:val="0"/>
      <w:marTop w:val="0"/>
      <w:marBottom w:val="0"/>
      <w:divBdr>
        <w:top w:val="none" w:sz="0" w:space="0" w:color="auto"/>
        <w:left w:val="none" w:sz="0" w:space="0" w:color="auto"/>
        <w:bottom w:val="none" w:sz="0" w:space="0" w:color="auto"/>
        <w:right w:val="none" w:sz="0" w:space="0" w:color="auto"/>
      </w:divBdr>
      <w:divsChild>
        <w:div w:id="1722241121">
          <w:marLeft w:val="1166"/>
          <w:marRight w:val="0"/>
          <w:marTop w:val="86"/>
          <w:marBottom w:val="0"/>
          <w:divBdr>
            <w:top w:val="none" w:sz="0" w:space="0" w:color="auto"/>
            <w:left w:val="none" w:sz="0" w:space="0" w:color="auto"/>
            <w:bottom w:val="none" w:sz="0" w:space="0" w:color="auto"/>
            <w:right w:val="none" w:sz="0" w:space="0" w:color="auto"/>
          </w:divBdr>
        </w:div>
        <w:div w:id="445664275">
          <w:marLeft w:val="1166"/>
          <w:marRight w:val="0"/>
          <w:marTop w:val="86"/>
          <w:marBottom w:val="0"/>
          <w:divBdr>
            <w:top w:val="none" w:sz="0" w:space="0" w:color="auto"/>
            <w:left w:val="none" w:sz="0" w:space="0" w:color="auto"/>
            <w:bottom w:val="none" w:sz="0" w:space="0" w:color="auto"/>
            <w:right w:val="none" w:sz="0" w:space="0" w:color="auto"/>
          </w:divBdr>
        </w:div>
        <w:div w:id="1931157881">
          <w:marLeft w:val="1166"/>
          <w:marRight w:val="0"/>
          <w:marTop w:val="86"/>
          <w:marBottom w:val="0"/>
          <w:divBdr>
            <w:top w:val="none" w:sz="0" w:space="0" w:color="auto"/>
            <w:left w:val="none" w:sz="0" w:space="0" w:color="auto"/>
            <w:bottom w:val="none" w:sz="0" w:space="0" w:color="auto"/>
            <w:right w:val="none" w:sz="0" w:space="0" w:color="auto"/>
          </w:divBdr>
        </w:div>
      </w:divsChild>
    </w:div>
    <w:div w:id="1522622898">
      <w:bodyDiv w:val="1"/>
      <w:marLeft w:val="0"/>
      <w:marRight w:val="0"/>
      <w:marTop w:val="0"/>
      <w:marBottom w:val="0"/>
      <w:divBdr>
        <w:top w:val="none" w:sz="0" w:space="0" w:color="auto"/>
        <w:left w:val="none" w:sz="0" w:space="0" w:color="auto"/>
        <w:bottom w:val="none" w:sz="0" w:space="0" w:color="auto"/>
        <w:right w:val="none" w:sz="0" w:space="0" w:color="auto"/>
      </w:divBdr>
      <w:divsChild>
        <w:div w:id="1370909038">
          <w:marLeft w:val="1166"/>
          <w:marRight w:val="0"/>
          <w:marTop w:val="96"/>
          <w:marBottom w:val="0"/>
          <w:divBdr>
            <w:top w:val="none" w:sz="0" w:space="0" w:color="auto"/>
            <w:left w:val="none" w:sz="0" w:space="0" w:color="auto"/>
            <w:bottom w:val="none" w:sz="0" w:space="0" w:color="auto"/>
            <w:right w:val="none" w:sz="0" w:space="0" w:color="auto"/>
          </w:divBdr>
        </w:div>
        <w:div w:id="513881044">
          <w:marLeft w:val="1166"/>
          <w:marRight w:val="0"/>
          <w:marTop w:val="96"/>
          <w:marBottom w:val="0"/>
          <w:divBdr>
            <w:top w:val="none" w:sz="0" w:space="0" w:color="auto"/>
            <w:left w:val="none" w:sz="0" w:space="0" w:color="auto"/>
            <w:bottom w:val="none" w:sz="0" w:space="0" w:color="auto"/>
            <w:right w:val="none" w:sz="0" w:space="0" w:color="auto"/>
          </w:divBdr>
        </w:div>
      </w:divsChild>
    </w:div>
    <w:div w:id="1581913197">
      <w:bodyDiv w:val="1"/>
      <w:marLeft w:val="0"/>
      <w:marRight w:val="0"/>
      <w:marTop w:val="0"/>
      <w:marBottom w:val="0"/>
      <w:divBdr>
        <w:top w:val="none" w:sz="0" w:space="0" w:color="auto"/>
        <w:left w:val="none" w:sz="0" w:space="0" w:color="auto"/>
        <w:bottom w:val="none" w:sz="0" w:space="0" w:color="auto"/>
        <w:right w:val="none" w:sz="0" w:space="0" w:color="auto"/>
      </w:divBdr>
      <w:divsChild>
        <w:div w:id="479927793">
          <w:marLeft w:val="1166"/>
          <w:marRight w:val="0"/>
          <w:marTop w:val="86"/>
          <w:marBottom w:val="0"/>
          <w:divBdr>
            <w:top w:val="none" w:sz="0" w:space="0" w:color="auto"/>
            <w:left w:val="none" w:sz="0" w:space="0" w:color="auto"/>
            <w:bottom w:val="none" w:sz="0" w:space="0" w:color="auto"/>
            <w:right w:val="none" w:sz="0" w:space="0" w:color="auto"/>
          </w:divBdr>
        </w:div>
        <w:div w:id="2049408972">
          <w:marLeft w:val="1166"/>
          <w:marRight w:val="0"/>
          <w:marTop w:val="86"/>
          <w:marBottom w:val="0"/>
          <w:divBdr>
            <w:top w:val="none" w:sz="0" w:space="0" w:color="auto"/>
            <w:left w:val="none" w:sz="0" w:space="0" w:color="auto"/>
            <w:bottom w:val="none" w:sz="0" w:space="0" w:color="auto"/>
            <w:right w:val="none" w:sz="0" w:space="0" w:color="auto"/>
          </w:divBdr>
        </w:div>
      </w:divsChild>
    </w:div>
    <w:div w:id="1980113315">
      <w:bodyDiv w:val="1"/>
      <w:marLeft w:val="0"/>
      <w:marRight w:val="0"/>
      <w:marTop w:val="0"/>
      <w:marBottom w:val="0"/>
      <w:divBdr>
        <w:top w:val="none" w:sz="0" w:space="0" w:color="auto"/>
        <w:left w:val="none" w:sz="0" w:space="0" w:color="auto"/>
        <w:bottom w:val="none" w:sz="0" w:space="0" w:color="auto"/>
        <w:right w:val="none" w:sz="0" w:space="0" w:color="auto"/>
      </w:divBdr>
      <w:divsChild>
        <w:div w:id="1697611484">
          <w:marLeft w:val="1166"/>
          <w:marRight w:val="0"/>
          <w:marTop w:val="77"/>
          <w:marBottom w:val="0"/>
          <w:divBdr>
            <w:top w:val="none" w:sz="0" w:space="0" w:color="auto"/>
            <w:left w:val="none" w:sz="0" w:space="0" w:color="auto"/>
            <w:bottom w:val="none" w:sz="0" w:space="0" w:color="auto"/>
            <w:right w:val="none" w:sz="0" w:space="0" w:color="auto"/>
          </w:divBdr>
        </w:div>
        <w:div w:id="574897338">
          <w:marLeft w:val="1166"/>
          <w:marRight w:val="0"/>
          <w:marTop w:val="77"/>
          <w:marBottom w:val="0"/>
          <w:divBdr>
            <w:top w:val="none" w:sz="0" w:space="0" w:color="auto"/>
            <w:left w:val="none" w:sz="0" w:space="0" w:color="auto"/>
            <w:bottom w:val="none" w:sz="0" w:space="0" w:color="auto"/>
            <w:right w:val="none" w:sz="0" w:space="0" w:color="auto"/>
          </w:divBdr>
        </w:div>
        <w:div w:id="980573917">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65154-5A3B-4134-A16A-9ACAE6C8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ACES</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Tayaun Messer</dc:creator>
  <cp:lastModifiedBy>Tayaun Messer</cp:lastModifiedBy>
  <cp:revision>2</cp:revision>
  <dcterms:created xsi:type="dcterms:W3CDTF">2016-01-04T15:22:00Z</dcterms:created>
  <dcterms:modified xsi:type="dcterms:W3CDTF">2016-01-04T15:22:00Z</dcterms:modified>
</cp:coreProperties>
</file>