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58" w:rsidRPr="004B4243" w:rsidRDefault="00883158" w:rsidP="004B4243">
      <w:pPr>
        <w:jc w:val="center"/>
        <w:rPr>
          <w:b/>
          <w:u w:val="single"/>
        </w:rPr>
      </w:pPr>
      <w:r w:rsidRPr="004B4243">
        <w:rPr>
          <w:b/>
          <w:u w:val="single"/>
        </w:rPr>
        <w:t>ORDC Parameter Review</w:t>
      </w:r>
      <w:r w:rsidR="004B4243" w:rsidRPr="004B4243">
        <w:rPr>
          <w:b/>
          <w:u w:val="single"/>
        </w:rPr>
        <w:t xml:space="preserve"> and Discussion</w:t>
      </w:r>
    </w:p>
    <w:p w:rsidR="00883158" w:rsidRPr="004B4243" w:rsidRDefault="00883158" w:rsidP="004B4243">
      <w:pPr>
        <w:jc w:val="center"/>
        <w:rPr>
          <w:b/>
        </w:rPr>
      </w:pPr>
      <w:r w:rsidRPr="004B4243">
        <w:rPr>
          <w:b/>
        </w:rPr>
        <w:t>NRG Com</w:t>
      </w:r>
      <w:r w:rsidR="004B4243" w:rsidRPr="004B4243">
        <w:rPr>
          <w:b/>
        </w:rPr>
        <w:t>ments</w:t>
      </w:r>
    </w:p>
    <w:p w:rsidR="002D0F5F" w:rsidRDefault="00181314">
      <w:r>
        <w:t>The ERCOT region relies on an effective scarcity pricing mechanism to create appropriate incentives for short-term and long-term behavior</w:t>
      </w:r>
      <w:r w:rsidR="00EB48E6">
        <w:t xml:space="preserve"> by resources and loads</w:t>
      </w:r>
      <w:r>
        <w:t xml:space="preserve">.  </w:t>
      </w:r>
      <w:r w:rsidR="00D854F1">
        <w:t>The Public Utility Commission of Texas directed the implementation of the Operating Reserve Demand Curve (ORDC) to improve scarcity price formation in ERCOT.  In October of 2015, Commissioner Anderson requested review of ORDC performance with an eye towards</w:t>
      </w:r>
      <w:r w:rsidR="00590A4A">
        <w:t xml:space="preserve"> “minor adjustments” needed to address</w:t>
      </w:r>
      <w:r w:rsidR="00D854F1">
        <w:t xml:space="preserve"> out-of-market influences</w:t>
      </w:r>
      <w:r w:rsidR="00206E3D">
        <w:t>.</w:t>
      </w:r>
      <w:r w:rsidR="00D854F1">
        <w:rPr>
          <w:rStyle w:val="FootnoteReference"/>
        </w:rPr>
        <w:footnoteReference w:id="1"/>
      </w:r>
      <w:r w:rsidR="00D854F1">
        <w:t xml:space="preserve">  </w:t>
      </w:r>
      <w:r w:rsidR="00590A4A">
        <w:t xml:space="preserve">In response to this request, </w:t>
      </w:r>
      <w:r>
        <w:t>NRG</w:t>
      </w:r>
      <w:r w:rsidR="00590A4A">
        <w:t xml:space="preserve"> has evaluated ORDC performance and</w:t>
      </w:r>
      <w:r>
        <w:t xml:space="preserve"> agrees that </w:t>
      </w:r>
      <w:r w:rsidR="00DF6972">
        <w:t xml:space="preserve">its </w:t>
      </w:r>
      <w:r>
        <w:t>implementation has improved scarcity price formation</w:t>
      </w:r>
      <w:r w:rsidR="00AF77BE">
        <w:t>,</w:t>
      </w:r>
      <w:r>
        <w:t xml:space="preserve"> but also believes </w:t>
      </w:r>
      <w:r w:rsidR="00883158">
        <w:t xml:space="preserve">modifications are justified to address challenges presented by the current </w:t>
      </w:r>
      <w:r w:rsidR="004B4243">
        <w:t xml:space="preserve">market </w:t>
      </w:r>
      <w:r w:rsidR="00883158">
        <w:t>design</w:t>
      </w:r>
      <w:r w:rsidR="009C7091">
        <w:t xml:space="preserve">, </w:t>
      </w:r>
      <w:r w:rsidR="006C70A2">
        <w:t xml:space="preserve">system </w:t>
      </w:r>
      <w:r w:rsidR="004B4243">
        <w:t>operation</w:t>
      </w:r>
      <w:r w:rsidR="001B696D">
        <w:t>, and various</w:t>
      </w:r>
      <w:r w:rsidR="009C7091">
        <w:t xml:space="preserve"> externalities</w:t>
      </w:r>
      <w:r w:rsidR="00883158">
        <w:t>.</w:t>
      </w:r>
      <w:r>
        <w:t xml:space="preserve">  </w:t>
      </w:r>
      <w:r w:rsidR="004100B8">
        <w:t xml:space="preserve">NRG appreciates the opportunity to review </w:t>
      </w:r>
      <w:r w:rsidR="00883158">
        <w:t>the performance of the ORDC and provide the comments below.</w:t>
      </w:r>
    </w:p>
    <w:p w:rsidR="004B4243" w:rsidRPr="009878DE" w:rsidRDefault="004B4243">
      <w:pPr>
        <w:rPr>
          <w:b/>
          <w:u w:val="single"/>
        </w:rPr>
      </w:pPr>
      <w:r w:rsidRPr="009878DE">
        <w:rPr>
          <w:b/>
          <w:u w:val="single"/>
        </w:rPr>
        <w:t>Principles</w:t>
      </w:r>
      <w:r w:rsidR="00B25A87" w:rsidRPr="009878DE">
        <w:rPr>
          <w:b/>
          <w:u w:val="single"/>
        </w:rPr>
        <w:t xml:space="preserve"> vs. Objectives</w:t>
      </w:r>
      <w:r w:rsidRPr="009878DE">
        <w:rPr>
          <w:b/>
          <w:u w:val="single"/>
        </w:rPr>
        <w:t>: Challenges in the ERCOT market</w:t>
      </w:r>
    </w:p>
    <w:p w:rsidR="004B4243" w:rsidRDefault="00273E32">
      <w:r>
        <w:t xml:space="preserve">NRG recognizes the difficulty in upholding economic principles </w:t>
      </w:r>
      <w:r w:rsidR="00EB48E6">
        <w:t xml:space="preserve">in market design </w:t>
      </w:r>
      <w:r>
        <w:t>while also meeting important</w:t>
      </w:r>
      <w:r w:rsidR="00D52B2F">
        <w:t>,</w:t>
      </w:r>
      <w:r>
        <w:t xml:space="preserve"> but unrelated objectives.  </w:t>
      </w:r>
      <w:r w:rsidR="00B25A87">
        <w:t>This is especially true in power market</w:t>
      </w:r>
      <w:r w:rsidR="00EB48E6">
        <w:t>s</w:t>
      </w:r>
      <w:r w:rsidR="00B25A87">
        <w:t xml:space="preserve"> where the necessary influences of operating reliability</w:t>
      </w:r>
      <w:r w:rsidR="009C7091">
        <w:t xml:space="preserve"> and other well-intentioned objectives</w:t>
      </w:r>
      <w:r w:rsidR="00FB518D">
        <w:t xml:space="preserve"> </w:t>
      </w:r>
      <w:r w:rsidR="00957828">
        <w:t xml:space="preserve">often </w:t>
      </w:r>
      <w:r w:rsidR="00FB518D">
        <w:t>interfere with</w:t>
      </w:r>
      <w:r w:rsidR="00B25A87">
        <w:t xml:space="preserve"> </w:t>
      </w:r>
      <w:r w:rsidR="00957828">
        <w:t xml:space="preserve">rational </w:t>
      </w:r>
      <w:r w:rsidR="00B25A87">
        <w:t>market outcomes.</w:t>
      </w:r>
      <w:r w:rsidR="009A2F20">
        <w:t xml:space="preserve">  The urge to avoid the scarcity events that are required to send effective price signals in </w:t>
      </w:r>
      <w:r w:rsidR="00EB48E6">
        <w:t xml:space="preserve">power </w:t>
      </w:r>
      <w:r w:rsidR="009A2F20">
        <w:t xml:space="preserve">markets will never </w:t>
      </w:r>
      <w:r w:rsidR="00EB48E6">
        <w:t>diminish</w:t>
      </w:r>
      <w:r w:rsidR="009A2F20">
        <w:t xml:space="preserve"> and, therefore, must be managed</w:t>
      </w:r>
      <w:r w:rsidR="00CA0B47">
        <w:t xml:space="preserve"> from a pricing perspective</w:t>
      </w:r>
      <w:r w:rsidR="009A2F20">
        <w:t xml:space="preserve">.  </w:t>
      </w:r>
      <w:r w:rsidR="00720513">
        <w:t xml:space="preserve">When reviewing market outcomes since ORDC implementation, </w:t>
      </w:r>
      <w:r w:rsidR="009A2F20">
        <w:t xml:space="preserve">NRG observes the impact of </w:t>
      </w:r>
      <w:r w:rsidR="00A6553A">
        <w:t xml:space="preserve">out-of-market actions and </w:t>
      </w:r>
      <w:r w:rsidR="001B696D">
        <w:t>various</w:t>
      </w:r>
      <w:r w:rsidR="009A2F20">
        <w:t xml:space="preserve"> externalities </w:t>
      </w:r>
      <w:r w:rsidR="00F71D72">
        <w:t xml:space="preserve">on ORDC performance and scarcity price formation.  </w:t>
      </w:r>
      <w:r w:rsidR="00DC3D9F">
        <w:t xml:space="preserve">NRG also identifies design features which negatively impact market participation. </w:t>
      </w:r>
      <w:r w:rsidR="00720513">
        <w:t>The following</w:t>
      </w:r>
      <w:r w:rsidR="00DC3D9F">
        <w:t xml:space="preserve"> challenges </w:t>
      </w:r>
      <w:r w:rsidR="00380906">
        <w:t xml:space="preserve">in the ERCOT market </w:t>
      </w:r>
      <w:r w:rsidR="00720513">
        <w:t>are observed:</w:t>
      </w:r>
    </w:p>
    <w:p w:rsidR="00957828" w:rsidRDefault="00720513" w:rsidP="0030028A">
      <w:pPr>
        <w:pStyle w:val="ListParagraph"/>
        <w:numPr>
          <w:ilvl w:val="0"/>
          <w:numId w:val="1"/>
        </w:numPr>
      </w:pPr>
      <w:r>
        <w:t xml:space="preserve">Out-of-market </w:t>
      </w:r>
      <w:r w:rsidR="00957828">
        <w:t xml:space="preserve">reliability </w:t>
      </w:r>
      <w:r>
        <w:t xml:space="preserve">actions </w:t>
      </w:r>
      <w:r w:rsidR="00B87B98">
        <w:t>continue to</w:t>
      </w:r>
      <w:r>
        <w:t xml:space="preserve"> influence scarcity price formation</w:t>
      </w:r>
      <w:r w:rsidR="009C7091">
        <w:t xml:space="preserve"> in ERCOT</w:t>
      </w:r>
      <w:r w:rsidR="00957828">
        <w:t>:</w:t>
      </w:r>
      <w:r w:rsidR="0030028A">
        <w:t xml:space="preserve">  As</w:t>
      </w:r>
      <w:r w:rsidR="00F30ABD">
        <w:t xml:space="preserve"> reserves fall below 3,000MW</w:t>
      </w:r>
      <w:r w:rsidR="0030028A">
        <w:t>, ERCOT begins to take actions which influence market outcomes (although minor) through the issuance of advisories.  However, once reserv</w:t>
      </w:r>
      <w:r w:rsidR="00F30ABD">
        <w:t xml:space="preserve">es reach </w:t>
      </w:r>
      <w:r w:rsidR="00EB48E6">
        <w:t>Energy Emergency Alert (</w:t>
      </w:r>
      <w:r w:rsidR="00F30ABD">
        <w:t>EEA</w:t>
      </w:r>
      <w:r w:rsidR="00EB48E6">
        <w:t>)</w:t>
      </w:r>
      <w:r w:rsidR="00F30ABD">
        <w:t xml:space="preserve"> Level 1 at 2,300MW, ERCOT follows procedures which </w:t>
      </w:r>
      <w:r w:rsidR="00B87B98">
        <w:t>execute</w:t>
      </w:r>
      <w:r w:rsidR="00F30ABD">
        <w:t xml:space="preserve"> numerous</w:t>
      </w:r>
      <w:r w:rsidR="00957828">
        <w:t xml:space="preserve"> reliability</w:t>
      </w:r>
      <w:r w:rsidR="00F30ABD">
        <w:t xml:space="preserve"> actions</w:t>
      </w:r>
      <w:r w:rsidR="00206E3D" w:rsidRPr="00206E3D">
        <w:t xml:space="preserve"> </w:t>
      </w:r>
      <w:r w:rsidR="00206E3D">
        <w:t>that influence prices and reserve levels.</w:t>
      </w:r>
      <w:r w:rsidR="00F30ABD">
        <w:rPr>
          <w:rStyle w:val="FootnoteReference"/>
        </w:rPr>
        <w:footnoteReference w:id="2"/>
      </w:r>
      <w:r w:rsidR="00B87B98">
        <w:t xml:space="preserve"> </w:t>
      </w:r>
      <w:r w:rsidR="006E2E83">
        <w:t xml:space="preserve"> </w:t>
      </w:r>
      <w:r w:rsidR="009C7091">
        <w:t>Reliability actions are necessary and should be expected</w:t>
      </w:r>
      <w:r w:rsidR="00957828">
        <w:t>, and an</w:t>
      </w:r>
      <w:r w:rsidR="00C44BB5">
        <w:t xml:space="preserve"> effective scarcity pricing mechanism must</w:t>
      </w:r>
      <w:r w:rsidR="00957828">
        <w:t xml:space="preserve"> take</w:t>
      </w:r>
      <w:r w:rsidR="00C44BB5">
        <w:t xml:space="preserve"> all of </w:t>
      </w:r>
      <w:r w:rsidR="00957828">
        <w:t>these</w:t>
      </w:r>
      <w:r w:rsidR="00C44BB5">
        <w:t xml:space="preserve"> actions</w:t>
      </w:r>
      <w:r w:rsidR="00957828">
        <w:t xml:space="preserve"> into consideration</w:t>
      </w:r>
      <w:r w:rsidR="00C44BB5">
        <w:t xml:space="preserve">.  </w:t>
      </w:r>
    </w:p>
    <w:p w:rsidR="00720513" w:rsidRDefault="00C44BB5" w:rsidP="00504ABF">
      <w:pPr>
        <w:pStyle w:val="ListParagraph"/>
        <w:numPr>
          <w:ilvl w:val="0"/>
          <w:numId w:val="1"/>
        </w:numPr>
      </w:pPr>
      <w:r>
        <w:t>ORDC performance and scarcity price formation are</w:t>
      </w:r>
      <w:r w:rsidR="00F25D24">
        <w:t xml:space="preserve"> also</w:t>
      </w:r>
      <w:r>
        <w:t xml:space="preserve"> influenced by externalities</w:t>
      </w:r>
      <w:r w:rsidR="00F25D24">
        <w:t xml:space="preserve"> intended to achieve other objectives</w:t>
      </w:r>
      <w:r w:rsidR="00957828">
        <w:t>:</w:t>
      </w:r>
      <w:r>
        <w:t xml:space="preserve">  </w:t>
      </w:r>
      <w:r w:rsidR="00DE3C36">
        <w:t>Scarcity price formation and</w:t>
      </w:r>
      <w:r w:rsidR="006E2E83">
        <w:t xml:space="preserve"> ORDC price performance</w:t>
      </w:r>
      <w:r w:rsidR="00DE3C36">
        <w:t xml:space="preserve"> in ERCOT</w:t>
      </w:r>
      <w:r w:rsidR="006E2E83">
        <w:t xml:space="preserve"> </w:t>
      </w:r>
      <w:r w:rsidR="00DE3C36">
        <w:t>are significantly influenced by</w:t>
      </w:r>
      <w:r w:rsidR="006E2E83">
        <w:t xml:space="preserve"> non-market behavior driven by 4CP transmission cost allocation</w:t>
      </w:r>
      <w:r w:rsidR="00957828">
        <w:t xml:space="preserve">. </w:t>
      </w:r>
      <w:r w:rsidR="00FB518D">
        <w:t xml:space="preserve"> </w:t>
      </w:r>
      <w:r w:rsidR="00B87B98">
        <w:t>4CP demand reduction is not</w:t>
      </w:r>
      <w:r w:rsidR="00504ABF">
        <w:t xml:space="preserve"> </w:t>
      </w:r>
      <w:r w:rsidR="00504ABF" w:rsidRPr="00504ABF">
        <w:t xml:space="preserve">a response to </w:t>
      </w:r>
      <w:r w:rsidR="00C32CF1">
        <w:t xml:space="preserve">expected or actual </w:t>
      </w:r>
      <w:r w:rsidR="00B87B98">
        <w:t xml:space="preserve">real-time energy </w:t>
      </w:r>
      <w:r w:rsidR="00504ABF" w:rsidRPr="00504ABF">
        <w:t>price</w:t>
      </w:r>
      <w:r w:rsidR="00C32CF1">
        <w:t>s</w:t>
      </w:r>
      <w:r w:rsidR="00504ABF">
        <w:t>.</w:t>
      </w:r>
      <w:r w:rsidR="00C56044">
        <w:t xml:space="preserve">  Instead, it is a methodology to allocate transmission costs in the ERCOT region. </w:t>
      </w:r>
      <w:r w:rsidR="00F25D24">
        <w:t xml:space="preserve"> </w:t>
      </w:r>
      <w:r w:rsidR="00FB518D">
        <w:t>ERCOT recently estimated</w:t>
      </w:r>
      <w:r w:rsidR="00504ABF">
        <w:t xml:space="preserve"> </w:t>
      </w:r>
      <w:r w:rsidR="00DE3C36">
        <w:lastRenderedPageBreak/>
        <w:t xml:space="preserve">average </w:t>
      </w:r>
      <w:r w:rsidR="00504ABF">
        <w:t>4CP response</w:t>
      </w:r>
      <w:r w:rsidR="00FB518D">
        <w:t xml:space="preserve"> to be</w:t>
      </w:r>
      <w:r>
        <w:t xml:space="preserve"> between 400MW-</w:t>
      </w:r>
      <w:r w:rsidR="00DE3C36">
        <w:t>6</w:t>
      </w:r>
      <w:r>
        <w:t>00MW</w:t>
      </w:r>
      <w:r w:rsidR="00206E3D" w:rsidRPr="00206E3D">
        <w:t xml:space="preserve"> </w:t>
      </w:r>
      <w:r w:rsidR="00206E3D">
        <w:t>during peak summer month hours.</w:t>
      </w:r>
      <w:r>
        <w:rPr>
          <w:rStyle w:val="FootnoteReference"/>
        </w:rPr>
        <w:footnoteReference w:id="3"/>
      </w:r>
      <w:r w:rsidR="00206E3D">
        <w:t xml:space="preserve"> </w:t>
      </w:r>
      <w:r w:rsidR="00C56044">
        <w:t xml:space="preserve"> </w:t>
      </w:r>
      <w:r w:rsidR="00B51633">
        <w:t xml:space="preserve">In addition, </w:t>
      </w:r>
      <w:r w:rsidR="00DE3C36">
        <w:t>Transmission and Distribution Service Providers (</w:t>
      </w:r>
      <w:r w:rsidR="00B51633">
        <w:t>TDSPs</w:t>
      </w:r>
      <w:r w:rsidR="00DE3C36">
        <w:t>)</w:t>
      </w:r>
      <w:r w:rsidR="00B51633">
        <w:t xml:space="preserve"> procure and deploy Load Managemen</w:t>
      </w:r>
      <w:r w:rsidR="00E40B4A">
        <w:t>t Programs as part of state-</w:t>
      </w:r>
      <w:r w:rsidR="00B51633">
        <w:t>mandated energy ef</w:t>
      </w:r>
      <w:r w:rsidR="003C338B">
        <w:t>ficiency programs.  In the past</w:t>
      </w:r>
      <w:r w:rsidR="004A6972">
        <w:t>, TDSPs in the ERCOT region</w:t>
      </w:r>
      <w:r w:rsidR="00B51633">
        <w:t xml:space="preserve"> </w:t>
      </w:r>
      <w:r w:rsidR="00106872">
        <w:t>typically procure</w:t>
      </w:r>
      <w:r w:rsidR="003C338B">
        <w:t>d</w:t>
      </w:r>
      <w:r w:rsidR="00B51633">
        <w:t xml:space="preserve"> </w:t>
      </w:r>
      <w:r w:rsidR="00106872">
        <w:t xml:space="preserve">over </w:t>
      </w:r>
      <w:r w:rsidR="00B51633">
        <w:t>200MW to fulfill this mandate</w:t>
      </w:r>
      <w:r w:rsidR="00206E3D">
        <w:t>.</w:t>
      </w:r>
      <w:r w:rsidR="00F523A6">
        <w:rPr>
          <w:rStyle w:val="FootnoteReference"/>
        </w:rPr>
        <w:footnoteReference w:id="4"/>
      </w:r>
      <w:r w:rsidR="00C56044">
        <w:t xml:space="preserve">  </w:t>
      </w:r>
      <w:r w:rsidR="00B9651C">
        <w:t>Both 4CP and TDSP Load Management Programs are examples of behavior motivated by incentives external to marke</w:t>
      </w:r>
      <w:r w:rsidR="005B6803">
        <w:t xml:space="preserve">t forces </w:t>
      </w:r>
      <w:r w:rsidR="00DE3C36">
        <w:t xml:space="preserve">that </w:t>
      </w:r>
      <w:r w:rsidR="005B6803">
        <w:t>exert</w:t>
      </w:r>
      <w:r w:rsidR="00B9651C">
        <w:t xml:space="preserve"> influence on scarcity price formation.</w:t>
      </w:r>
    </w:p>
    <w:p w:rsidR="00720513" w:rsidRDefault="00DD6F3D" w:rsidP="0030028A">
      <w:pPr>
        <w:pStyle w:val="ListParagraph"/>
        <w:numPr>
          <w:ilvl w:val="0"/>
          <w:numId w:val="1"/>
        </w:numPr>
      </w:pPr>
      <w:r>
        <w:t xml:space="preserve">The ERCOT market </w:t>
      </w:r>
      <w:r w:rsidR="00DE3C36">
        <w:t>is exposed to periods of</w:t>
      </w:r>
      <w:r>
        <w:t xml:space="preserve"> crippling volatility </w:t>
      </w:r>
      <w:r w:rsidR="00DE3C36">
        <w:t xml:space="preserve">that </w:t>
      </w:r>
      <w:r>
        <w:t>has far reaching impacts throughout the industry</w:t>
      </w:r>
      <w:r w:rsidR="00504ABF">
        <w:t>:</w:t>
      </w:r>
      <w:r w:rsidR="002216BF">
        <w:t xml:space="preserve">  </w:t>
      </w:r>
      <w:r w:rsidR="00212A37">
        <w:t>A high</w:t>
      </w:r>
      <w:r w:rsidR="00504ABF">
        <w:t xml:space="preserve"> level of </w:t>
      </w:r>
      <w:r w:rsidR="002216BF">
        <w:t>volatility is expected in a well-designed energy market that exhibits scarcity prices which approach the Value-of-Lost-Load (VOLL).  However, the ERCOT market possess</w:t>
      </w:r>
      <w:r w:rsidR="00972067">
        <w:t>es</w:t>
      </w:r>
      <w:r w:rsidR="002216BF">
        <w:t xml:space="preserve"> other features</w:t>
      </w:r>
      <w:r w:rsidR="00206E3D" w:rsidRPr="00206E3D">
        <w:t xml:space="preserve"> </w:t>
      </w:r>
      <w:r w:rsidR="00206E3D">
        <w:t xml:space="preserve">that exacerbates volatility and </w:t>
      </w:r>
      <w:r w:rsidR="007E3240">
        <w:t xml:space="preserve">impairs </w:t>
      </w:r>
      <w:r w:rsidR="00206E3D">
        <w:t>liquidity.</w:t>
      </w:r>
      <w:r w:rsidR="00972067">
        <w:rPr>
          <w:rStyle w:val="FootnoteReference"/>
        </w:rPr>
        <w:footnoteReference w:id="5"/>
      </w:r>
      <w:r w:rsidR="002216BF">
        <w:t xml:space="preserve"> </w:t>
      </w:r>
      <w:r w:rsidR="00206E3D">
        <w:t xml:space="preserve"> </w:t>
      </w:r>
      <w:r w:rsidR="00F66E44">
        <w:t xml:space="preserve">When considering ORDC design changes, satisfying objectives such as </w:t>
      </w:r>
      <w:r w:rsidR="00333070">
        <w:t>partial</w:t>
      </w:r>
      <w:r w:rsidR="00F66E44">
        <w:t xml:space="preserve"> mi</w:t>
      </w:r>
      <w:r w:rsidR="00333070">
        <w:t>tigation of</w:t>
      </w:r>
      <w:r w:rsidR="00F66E44">
        <w:t xml:space="preserve"> vo</w:t>
      </w:r>
      <w:r w:rsidR="002D66DD">
        <w:t>latility should be considered</w:t>
      </w:r>
      <w:r w:rsidR="00333070">
        <w:t>.</w:t>
      </w:r>
    </w:p>
    <w:p w:rsidR="00333070" w:rsidRPr="009878DE" w:rsidRDefault="00DE3C36" w:rsidP="009110B9">
      <w:pPr>
        <w:rPr>
          <w:b/>
          <w:u w:val="single"/>
        </w:rPr>
      </w:pPr>
      <w:r>
        <w:rPr>
          <w:b/>
          <w:u w:val="single"/>
        </w:rPr>
        <w:t xml:space="preserve">NRG </w:t>
      </w:r>
      <w:r w:rsidR="00A26EDF">
        <w:rPr>
          <w:b/>
          <w:u w:val="single"/>
        </w:rPr>
        <w:t>Proposal</w:t>
      </w:r>
    </w:p>
    <w:p w:rsidR="0021525E" w:rsidRDefault="0021525E" w:rsidP="009110B9">
      <w:pPr>
        <w:pStyle w:val="ListParagraph"/>
        <w:numPr>
          <w:ilvl w:val="0"/>
          <w:numId w:val="2"/>
        </w:numPr>
      </w:pPr>
      <w:r>
        <w:t xml:space="preserve">Set the ORDC parameter value of X to be 2,500MW in the summer months of June, July, August, and September.  </w:t>
      </w:r>
    </w:p>
    <w:p w:rsidR="0021525E" w:rsidRDefault="0021525E" w:rsidP="009110B9">
      <w:pPr>
        <w:pStyle w:val="ListParagraph"/>
        <w:numPr>
          <w:ilvl w:val="0"/>
          <w:numId w:val="2"/>
        </w:numPr>
      </w:pPr>
      <w:r>
        <w:t>In all other months of the year, set the value of X to be 2,300MW.</w:t>
      </w:r>
    </w:p>
    <w:p w:rsidR="0021525E" w:rsidRDefault="0021525E" w:rsidP="009110B9">
      <w:pPr>
        <w:pStyle w:val="ListParagraph"/>
        <w:numPr>
          <w:ilvl w:val="0"/>
          <w:numId w:val="2"/>
        </w:numPr>
      </w:pPr>
      <w:r>
        <w:t>Maintain the value of X as a static number and do not adopt a methodology that varies X</w:t>
      </w:r>
      <w:r w:rsidR="009110B9">
        <w:t>.</w:t>
      </w:r>
    </w:p>
    <w:p w:rsidR="009110B9" w:rsidRDefault="009110B9" w:rsidP="009110B9">
      <w:pPr>
        <w:pStyle w:val="ListParagraph"/>
        <w:numPr>
          <w:ilvl w:val="0"/>
          <w:numId w:val="2"/>
        </w:numPr>
      </w:pPr>
      <w:r>
        <w:t>Set the ORDC parameter VOLL to be $18,000/</w:t>
      </w:r>
      <w:proofErr w:type="spellStart"/>
      <w:r>
        <w:t>MWh</w:t>
      </w:r>
      <w:proofErr w:type="spellEnd"/>
      <w:r w:rsidR="00504ABF">
        <w:t>,</w:t>
      </w:r>
      <w:r>
        <w:t xml:space="preserve"> but maintain the effective price cap at</w:t>
      </w:r>
      <w:r w:rsidR="00F33641">
        <w:t xml:space="preserve"> no higher than</w:t>
      </w:r>
      <w:r>
        <w:t xml:space="preserve"> $9,000/</w:t>
      </w:r>
      <w:proofErr w:type="spellStart"/>
      <w:r>
        <w:t>MWh</w:t>
      </w:r>
      <w:proofErr w:type="spellEnd"/>
      <w:r>
        <w:t>.</w:t>
      </w:r>
    </w:p>
    <w:p w:rsidR="009110B9" w:rsidRDefault="009110B9" w:rsidP="009110B9">
      <w:pPr>
        <w:pStyle w:val="ListParagraph"/>
        <w:numPr>
          <w:ilvl w:val="0"/>
          <w:numId w:val="2"/>
        </w:numPr>
      </w:pPr>
      <w:r>
        <w:t xml:space="preserve">Increase the minimum Responsive Reserve Service (RRS) </w:t>
      </w:r>
      <w:r w:rsidR="000600B6">
        <w:t xml:space="preserve">procurement amount to be </w:t>
      </w:r>
      <w:r w:rsidR="008B066C">
        <w:t>higher than the EEA Level 1 quantity of 2,300MW</w:t>
      </w:r>
      <w:r>
        <w:t>.</w:t>
      </w:r>
    </w:p>
    <w:p w:rsidR="00350608" w:rsidRDefault="00350608" w:rsidP="00350608">
      <w:pPr>
        <w:pStyle w:val="ListParagraph"/>
        <w:numPr>
          <w:ilvl w:val="0"/>
          <w:numId w:val="2"/>
        </w:numPr>
      </w:pPr>
      <w:r>
        <w:t>Implement these set of changes on June 1</w:t>
      </w:r>
      <w:r w:rsidRPr="00EF18AF">
        <w:rPr>
          <w:vertAlign w:val="superscript"/>
        </w:rPr>
        <w:t>st</w:t>
      </w:r>
      <w:r>
        <w:t>, 2017.</w:t>
      </w:r>
    </w:p>
    <w:p w:rsidR="009110B9" w:rsidRPr="009878DE" w:rsidRDefault="009110B9">
      <w:pPr>
        <w:rPr>
          <w:b/>
          <w:u w:val="single"/>
        </w:rPr>
      </w:pPr>
      <w:r w:rsidRPr="009878DE">
        <w:rPr>
          <w:b/>
          <w:u w:val="single"/>
        </w:rPr>
        <w:t>Discussion</w:t>
      </w:r>
    </w:p>
    <w:p w:rsidR="009A4B80" w:rsidRPr="009A4B80" w:rsidRDefault="004E03DF" w:rsidP="009A4B80">
      <w:pPr>
        <w:rPr>
          <w:u w:val="single"/>
        </w:rPr>
      </w:pPr>
      <w:r>
        <w:rPr>
          <w:u w:val="single"/>
        </w:rPr>
        <w:t>Value of X</w:t>
      </w:r>
    </w:p>
    <w:p w:rsidR="0098055D" w:rsidRDefault="009110B9" w:rsidP="009A4B80">
      <w:r>
        <w:t xml:space="preserve">As </w:t>
      </w:r>
      <w:r w:rsidR="00C90AEA">
        <w:t xml:space="preserve">explained </w:t>
      </w:r>
      <w:r>
        <w:t xml:space="preserve">above, </w:t>
      </w:r>
      <w:r w:rsidR="00EF18AF">
        <w:t>out-of-market actions and externalities significantly influence ORDC performance and scarcity price for</w:t>
      </w:r>
      <w:r w:rsidR="00794DD6">
        <w:t>mation in ERCOT.  NRG proposes</w:t>
      </w:r>
      <w:r w:rsidR="00EF18AF">
        <w:t xml:space="preserve"> that the value of X b</w:t>
      </w:r>
      <w:r w:rsidR="00E50235">
        <w:t>e set no lower than</w:t>
      </w:r>
      <w:r w:rsidR="00CE0C5F">
        <w:t xml:space="preserve"> 2,300MW to reflect the heavy influence of out-of-market actions at</w:t>
      </w:r>
      <w:r w:rsidR="00EF18AF">
        <w:t xml:space="preserve"> EEA Level 1</w:t>
      </w:r>
      <w:r w:rsidR="00FB518D">
        <w:t xml:space="preserve"> (EEA1)</w:t>
      </w:r>
      <w:r w:rsidR="00EF18AF">
        <w:t>.</w:t>
      </w:r>
      <w:r w:rsidR="00900E70">
        <w:t xml:space="preserve">  NRG observes that by the time</w:t>
      </w:r>
      <w:r w:rsidR="00FC076E">
        <w:t xml:space="preserve"> P</w:t>
      </w:r>
      <w:r w:rsidR="00CE0C5F">
        <w:t xml:space="preserve">hysical </w:t>
      </w:r>
      <w:r w:rsidR="00FC076E">
        <w:t>R</w:t>
      </w:r>
      <w:r w:rsidR="00CE0C5F">
        <w:t xml:space="preserve">esponsive </w:t>
      </w:r>
      <w:r w:rsidR="00FC076E">
        <w:t>C</w:t>
      </w:r>
      <w:r w:rsidR="00CE0C5F">
        <w:t>apability (PRC)</w:t>
      </w:r>
      <w:r w:rsidR="00FC076E">
        <w:t xml:space="preserve"> degrades and</w:t>
      </w:r>
      <w:r w:rsidR="00EF18AF">
        <w:t xml:space="preserve"> EEA1</w:t>
      </w:r>
      <w:r w:rsidR="00FC076E">
        <w:t xml:space="preserve"> is declared</w:t>
      </w:r>
      <w:proofErr w:type="gramStart"/>
      <w:r w:rsidR="00FC076E">
        <w:t>,</w:t>
      </w:r>
      <w:proofErr w:type="gramEnd"/>
      <w:r w:rsidR="00FC076E">
        <w:t xml:space="preserve"> ERCOT is taking reliability actions to </w:t>
      </w:r>
      <w:r w:rsidR="00EF18AF">
        <w:t>avoid load shed events</w:t>
      </w:r>
      <w:r w:rsidR="00CE0C5F">
        <w:t xml:space="preserve"> which substantially influences pricing results</w:t>
      </w:r>
      <w:r w:rsidR="00EF18AF">
        <w:t xml:space="preserve">.  </w:t>
      </w:r>
      <w:r w:rsidR="0098055D">
        <w:t xml:space="preserve">Therefore, sending an effective price signal at EEA1 reflects those actions and motivates the desired behavior.  </w:t>
      </w:r>
    </w:p>
    <w:p w:rsidR="00D92071" w:rsidRDefault="00EF18AF" w:rsidP="009A4B80">
      <w:r>
        <w:t xml:space="preserve">NRG is </w:t>
      </w:r>
      <w:r w:rsidR="00DE3C36">
        <w:t xml:space="preserve">also </w:t>
      </w:r>
      <w:r>
        <w:t xml:space="preserve">concerned about the impact of externalities on crucial price formation during the summer months.  The 4CP transmission cost allocation mechanism results in significant non-market behavior during the </w:t>
      </w:r>
      <w:r w:rsidR="00F9194B">
        <w:t xml:space="preserve">four </w:t>
      </w:r>
      <w:r>
        <w:t xml:space="preserve">summer months of June, July, August, and September.  </w:t>
      </w:r>
      <w:r w:rsidR="00F9194B">
        <w:t xml:space="preserve">Trends of increasing transmission </w:t>
      </w:r>
      <w:r w:rsidR="00F9194B">
        <w:lastRenderedPageBreak/>
        <w:t>costs point to increasing participation in 4CP behavior</w:t>
      </w:r>
      <w:r w:rsidR="0012266F">
        <w:t xml:space="preserve"> in the future</w:t>
      </w:r>
      <w:r w:rsidR="00F9194B">
        <w:t xml:space="preserve">.  </w:t>
      </w:r>
      <w:r>
        <w:t>In addition, the TDSP Load M</w:t>
      </w:r>
      <w:r w:rsidR="003C338B">
        <w:t>anagement Programs are active</w:t>
      </w:r>
      <w:r w:rsidR="0027601E">
        <w:t xml:space="preserve"> in the summer months</w:t>
      </w:r>
      <w:r w:rsidR="00206E3D" w:rsidRPr="00206E3D">
        <w:t xml:space="preserve"> </w:t>
      </w:r>
      <w:r w:rsidR="00206E3D">
        <w:t xml:space="preserve">as well, although they are typically deployed during EEA </w:t>
      </w:r>
      <w:proofErr w:type="gramStart"/>
      <w:r w:rsidR="00206E3D">
        <w:t>events.</w:t>
      </w:r>
      <w:r w:rsidR="00106872">
        <w:rPr>
          <w:rStyle w:val="FootnoteReference"/>
        </w:rPr>
        <w:footnoteReference w:id="6"/>
      </w:r>
      <w:r w:rsidR="00106872">
        <w:rPr>
          <w:vertAlign w:val="superscript"/>
        </w:rPr>
        <w:t>,</w:t>
      </w:r>
      <w:proofErr w:type="gramEnd"/>
      <w:r w:rsidR="00106872">
        <w:rPr>
          <w:rStyle w:val="FootnoteReference"/>
        </w:rPr>
        <w:footnoteReference w:id="7"/>
      </w:r>
      <w:r>
        <w:t xml:space="preserve">  </w:t>
      </w:r>
      <w:r w:rsidR="00E3432C">
        <w:t>Both 4CP and TDSP Load Management Programs are examples of behavior motivated by incentives external to marke</w:t>
      </w:r>
      <w:r w:rsidR="00F9194B">
        <w:t>t forces that</w:t>
      </w:r>
      <w:r w:rsidR="00E3432C">
        <w:t xml:space="preserve"> exert influence on scarcity price formation.  </w:t>
      </w:r>
      <w:r w:rsidR="00F9194B">
        <w:t xml:space="preserve">To account for </w:t>
      </w:r>
      <w:r>
        <w:t>these influential</w:t>
      </w:r>
      <w:r w:rsidR="00794DD6">
        <w:t xml:space="preserve"> factors</w:t>
      </w:r>
      <w:r w:rsidR="00E3432C">
        <w:t xml:space="preserve"> at critical times in the summer</w:t>
      </w:r>
      <w:r w:rsidR="00794DD6">
        <w:t>, NRG proposes</w:t>
      </w:r>
      <w:r w:rsidR="00786962">
        <w:t xml:space="preserve"> </w:t>
      </w:r>
      <w:r w:rsidR="00F9194B">
        <w:t xml:space="preserve">to </w:t>
      </w:r>
      <w:r w:rsidR="00786962">
        <w:t>increas</w:t>
      </w:r>
      <w:r w:rsidR="00F9194B">
        <w:t>e</w:t>
      </w:r>
      <w:r w:rsidR="00786962">
        <w:t xml:space="preserve"> the value of X to be 2,500MW during the months of June</w:t>
      </w:r>
      <w:r w:rsidR="009C5823">
        <w:t>, July, August, and September.  Although ERCOT’s estimation of 4CP response could justify a value of X higher than 2,500MW (~2700MW-</w:t>
      </w:r>
      <w:r w:rsidR="00F9194B">
        <w:t>29</w:t>
      </w:r>
      <w:r w:rsidR="009C5823">
        <w:t xml:space="preserve">00MW), NRG is concerned that distortionary effects on </w:t>
      </w:r>
      <w:r w:rsidR="00E3432C">
        <w:t xml:space="preserve">energy </w:t>
      </w:r>
      <w:r w:rsidR="009C5823">
        <w:t xml:space="preserve">price </w:t>
      </w:r>
      <w:r w:rsidR="00794DD6">
        <w:t xml:space="preserve">from higher levels of X </w:t>
      </w:r>
      <w:r w:rsidR="009C5823">
        <w:t xml:space="preserve">could </w:t>
      </w:r>
      <w:r w:rsidR="00794DD6">
        <w:t xml:space="preserve">lead to irrational </w:t>
      </w:r>
      <w:r w:rsidR="00F9194B">
        <w:t xml:space="preserve">market </w:t>
      </w:r>
      <w:r w:rsidR="00794DD6">
        <w:t>behavior</w:t>
      </w:r>
      <w:r w:rsidR="009C5823">
        <w:t>.</w:t>
      </w:r>
      <w:r w:rsidR="00D60B4E">
        <w:t xml:space="preserve">  In addition, NRG recognizes that non-market behavior such as 4CP response will fluctuate and therefore a conservative adjustment to X such as 2,500MW is appropriate. </w:t>
      </w:r>
    </w:p>
    <w:p w:rsidR="009A4B80" w:rsidRPr="009A4B80" w:rsidRDefault="004E03DF" w:rsidP="009A4B80">
      <w:pPr>
        <w:rPr>
          <w:u w:val="single"/>
        </w:rPr>
      </w:pPr>
      <w:r>
        <w:rPr>
          <w:u w:val="single"/>
        </w:rPr>
        <w:t>Maintain X as a Static Value</w:t>
      </w:r>
    </w:p>
    <w:p w:rsidR="00D92071" w:rsidRDefault="00786962" w:rsidP="009A4B80">
      <w:r>
        <w:t xml:space="preserve">NRG </w:t>
      </w:r>
      <w:r w:rsidR="00794DD6">
        <w:t>proposes</w:t>
      </w:r>
      <w:r w:rsidR="00CF29E3">
        <w:t xml:space="preserve"> that X be a static value</w:t>
      </w:r>
      <w:r w:rsidR="00106872">
        <w:t xml:space="preserve"> </w:t>
      </w:r>
      <w:r w:rsidR="00794DD6">
        <w:t xml:space="preserve">as described </w:t>
      </w:r>
      <w:r w:rsidR="00CF29E3">
        <w:t xml:space="preserve">above </w:t>
      </w:r>
      <w:r w:rsidR="00794DD6">
        <w:t>and not vary by</w:t>
      </w:r>
      <w:r>
        <w:t xml:space="preserve"> hour.  </w:t>
      </w:r>
      <w:r w:rsidR="00CF29E3">
        <w:t>Pricing outcomes are highly sensitive to the value of X and intra</w:t>
      </w:r>
      <w:r w:rsidR="00EC01B6">
        <w:t>-</w:t>
      </w:r>
      <w:r w:rsidR="00CF29E3">
        <w:t>day changes to X will cause hourly price</w:t>
      </w:r>
      <w:r w:rsidR="00AB4F1C">
        <w:t xml:space="preserve"> swings that could be large, </w:t>
      </w:r>
      <w:r w:rsidR="00CF29E3">
        <w:t xml:space="preserve">difficult </w:t>
      </w:r>
      <w:r w:rsidR="00EC01B6">
        <w:t xml:space="preserve">for market participants </w:t>
      </w:r>
      <w:r w:rsidR="00CF29E3">
        <w:t>to manage</w:t>
      </w:r>
      <w:r w:rsidR="00AB4F1C">
        <w:t>, and irrational</w:t>
      </w:r>
      <w:r w:rsidR="00CF29E3">
        <w:t xml:space="preserve">. </w:t>
      </w:r>
      <w:r w:rsidR="0052415A">
        <w:t xml:space="preserve"> </w:t>
      </w:r>
      <w:r>
        <w:t xml:space="preserve">Price uncertainty resulting from </w:t>
      </w:r>
      <w:r w:rsidR="00106872">
        <w:t>v</w:t>
      </w:r>
      <w:r w:rsidR="00CF29E3">
        <w:t>arying</w:t>
      </w:r>
      <w:r w:rsidR="00EF6486">
        <w:t xml:space="preserve"> the value</w:t>
      </w:r>
      <w:r w:rsidR="00CF29E3">
        <w:t xml:space="preserve"> of X </w:t>
      </w:r>
      <w:r w:rsidR="00EC01B6">
        <w:t xml:space="preserve">in real-time </w:t>
      </w:r>
      <w:r w:rsidR="00CF29E3">
        <w:t>would therefore negatively</w:t>
      </w:r>
      <w:r w:rsidR="00106872">
        <w:t xml:space="preserve"> impact volatility</w:t>
      </w:r>
      <w:r w:rsidR="0052415A">
        <w:t xml:space="preserve"> and should be avoided</w:t>
      </w:r>
      <w:r w:rsidR="00106872">
        <w:t xml:space="preserve">.  </w:t>
      </w:r>
    </w:p>
    <w:p w:rsidR="009A4B80" w:rsidRPr="009A4B80" w:rsidRDefault="004E03DF" w:rsidP="009A4B80">
      <w:pPr>
        <w:rPr>
          <w:u w:val="single"/>
        </w:rPr>
      </w:pPr>
      <w:r>
        <w:rPr>
          <w:u w:val="single"/>
        </w:rPr>
        <w:t>Address Volatility</w:t>
      </w:r>
    </w:p>
    <w:p w:rsidR="009110B9" w:rsidRDefault="00D92071" w:rsidP="002D5464">
      <w:r>
        <w:t xml:space="preserve">The </w:t>
      </w:r>
      <w:r w:rsidR="0027010C">
        <w:t xml:space="preserve">current </w:t>
      </w:r>
      <w:r>
        <w:t xml:space="preserve">design of the ERCOT market will inherently be accompanied by extreme price volatility during scarcity events.  </w:t>
      </w:r>
      <w:r w:rsidR="00106872">
        <w:t xml:space="preserve">One of the </w:t>
      </w:r>
      <w:r w:rsidR="00F523A6">
        <w:t>most important objectives</w:t>
      </w:r>
      <w:r w:rsidR="00F33641">
        <w:t xml:space="preserve"> to address</w:t>
      </w:r>
      <w:r w:rsidR="00F523A6">
        <w:t xml:space="preserve"> in this</w:t>
      </w:r>
      <w:r w:rsidR="00106872">
        <w:t xml:space="preserve"> ORDC parameter review</w:t>
      </w:r>
      <w:r w:rsidR="002D5464">
        <w:t xml:space="preserve"> </w:t>
      </w:r>
      <w:r w:rsidR="00F33641">
        <w:t xml:space="preserve">is </w:t>
      </w:r>
      <w:r>
        <w:t xml:space="preserve">volatility.  </w:t>
      </w:r>
      <w:r w:rsidR="00F33641">
        <w:t>As noted by Commissioner Anderson</w:t>
      </w:r>
      <w:r w:rsidR="00206E3D">
        <w:t>, the current shape of the ORDC produces a step change in price as reserves approach the value of X.</w:t>
      </w:r>
      <w:r w:rsidR="00C122C3">
        <w:rPr>
          <w:rStyle w:val="FootnoteReference"/>
        </w:rPr>
        <w:footnoteReference w:id="8"/>
      </w:r>
      <w:r w:rsidR="00F33641">
        <w:t xml:space="preserve">  </w:t>
      </w:r>
      <w:r w:rsidR="00EC01B6">
        <w:t xml:space="preserve">The market </w:t>
      </w:r>
      <w:r w:rsidR="0012266F">
        <w:t>struggles to react to such</w:t>
      </w:r>
      <w:r w:rsidR="00EC01B6">
        <w:t xml:space="preserve"> </w:t>
      </w:r>
      <w:r w:rsidR="00F33641">
        <w:t>binary</w:t>
      </w:r>
      <w:r w:rsidR="00EC01B6">
        <w:t xml:space="preserve"> pricing</w:t>
      </w:r>
      <w:r w:rsidR="00F33641">
        <w:t xml:space="preserve"> outcome</w:t>
      </w:r>
      <w:r w:rsidR="00EC01B6">
        <w:t>s</w:t>
      </w:r>
      <w:r w:rsidR="00F33641">
        <w:t xml:space="preserve"> </w:t>
      </w:r>
      <w:r w:rsidR="0012266F">
        <w:t xml:space="preserve">which </w:t>
      </w:r>
      <w:r w:rsidR="00F33641">
        <w:t>contributes to the excessive volatility ob</w:t>
      </w:r>
      <w:r w:rsidR="00794DD6">
        <w:t>served in ERCOT.  NRG proposes</w:t>
      </w:r>
      <w:r w:rsidR="00F33641">
        <w:t xml:space="preserve"> increasing the VOLL to $18,000/</w:t>
      </w:r>
      <w:proofErr w:type="spellStart"/>
      <w:r w:rsidR="00F33641">
        <w:t>MWh</w:t>
      </w:r>
      <w:proofErr w:type="spellEnd"/>
      <w:r w:rsidR="00F33641">
        <w:t xml:space="preserve"> to </w:t>
      </w:r>
      <w:r w:rsidR="0012266F">
        <w:t xml:space="preserve"> moderate</w:t>
      </w:r>
      <w:r w:rsidR="00F33641">
        <w:t xml:space="preserve"> that step change in </w:t>
      </w:r>
      <w:r w:rsidR="0012266F">
        <w:t xml:space="preserve">the </w:t>
      </w:r>
      <w:r w:rsidR="00F33641">
        <w:t>price</w:t>
      </w:r>
      <w:r w:rsidR="0012266F">
        <w:t xml:space="preserve"> curve</w:t>
      </w:r>
      <w:r w:rsidR="00A56790">
        <w:t>,</w:t>
      </w:r>
      <w:r w:rsidR="00F33641">
        <w:t xml:space="preserve"> but agrees that the effective price cap should not be increased and should</w:t>
      </w:r>
      <w:r w:rsidR="0027010C">
        <w:t xml:space="preserve"> be</w:t>
      </w:r>
      <w:r w:rsidR="00F33641">
        <w:t xml:space="preserve"> no higher than $9,000/</w:t>
      </w:r>
      <w:proofErr w:type="spellStart"/>
      <w:r w:rsidR="00F33641">
        <w:t>MWh</w:t>
      </w:r>
      <w:proofErr w:type="spellEnd"/>
      <w:r w:rsidR="00F33641">
        <w:t>.</w:t>
      </w:r>
    </w:p>
    <w:p w:rsidR="009A4B80" w:rsidRPr="009A4B80" w:rsidRDefault="004E03DF" w:rsidP="009A4B80">
      <w:pPr>
        <w:rPr>
          <w:u w:val="single"/>
        </w:rPr>
      </w:pPr>
      <w:r>
        <w:rPr>
          <w:u w:val="single"/>
        </w:rPr>
        <w:t>Increase Minimum RRS Quantity to Force</w:t>
      </w:r>
      <w:r w:rsidR="00CA7A79">
        <w:rPr>
          <w:u w:val="single"/>
        </w:rPr>
        <w:t xml:space="preserve"> Convergence of PRC and ORDC Prior to EEA1</w:t>
      </w:r>
    </w:p>
    <w:p w:rsidR="00F33641" w:rsidRDefault="00F33641" w:rsidP="009A4B80">
      <w:r>
        <w:t xml:space="preserve">NRG recognizes </w:t>
      </w:r>
      <w:r w:rsidR="000742F5">
        <w:t>that a gap</w:t>
      </w:r>
      <w:r w:rsidR="00023DFC">
        <w:t xml:space="preserve"> exists between </w:t>
      </w:r>
      <w:r w:rsidR="004C6EB0">
        <w:t xml:space="preserve">how </w:t>
      </w:r>
      <w:r w:rsidR="00023DFC">
        <w:t>PRC</w:t>
      </w:r>
      <w:r w:rsidR="004C6EB0">
        <w:t xml:space="preserve"> is measured</w:t>
      </w:r>
      <w:r w:rsidR="007A1437">
        <w:t xml:space="preserve"> and</w:t>
      </w:r>
      <w:r w:rsidR="00A56790">
        <w:t xml:space="preserve"> how</w:t>
      </w:r>
      <w:r w:rsidR="004C6EB0">
        <w:t xml:space="preserve"> reserves </w:t>
      </w:r>
      <w:r w:rsidR="00A56790">
        <w:t xml:space="preserve">are </w:t>
      </w:r>
      <w:r w:rsidR="004C6EB0">
        <w:t>measured in ORDC.</w:t>
      </w:r>
      <w:r w:rsidR="009878DE">
        <w:t xml:space="preserve">  </w:t>
      </w:r>
      <w:r w:rsidR="006C70A2">
        <w:t xml:space="preserve">Because out-of-market reliability actions are triggered by PRC levels, it is important to address this gap to ensure the ORDC is sending appropriate price signals at the right times.  </w:t>
      </w:r>
      <w:r w:rsidR="000742F5">
        <w:t>In the summer of 2015, t</w:t>
      </w:r>
      <w:r w:rsidR="009878DE">
        <w:t>his gap caused</w:t>
      </w:r>
      <w:r w:rsidR="004C6EB0">
        <w:t xml:space="preserve"> </w:t>
      </w:r>
      <w:r w:rsidR="007A1437">
        <w:t>PRC levels to approach EEA1 even though reserve levels in</w:t>
      </w:r>
      <w:r w:rsidR="003C338B">
        <w:t xml:space="preserve"> ORDC </w:t>
      </w:r>
      <w:r w:rsidR="007A1437">
        <w:t>remained relatively robust.</w:t>
      </w:r>
      <w:r w:rsidR="000742F5">
        <w:t xml:space="preserve">  The gap is primarily caused by approximately 1,000MW of Quick Sta</w:t>
      </w:r>
      <w:r w:rsidR="00CE0C5F">
        <w:t>rt Resources that were included</w:t>
      </w:r>
      <w:r w:rsidR="000742F5">
        <w:t xml:space="preserve"> in ORDC</w:t>
      </w:r>
      <w:r w:rsidR="00CE0C5F">
        <w:t xml:space="preserve"> reserves</w:t>
      </w:r>
      <w:r w:rsidR="000742F5">
        <w:t xml:space="preserve"> due to their ability to start in 10-minutes</w:t>
      </w:r>
      <w:r w:rsidR="00A56790">
        <w:t>,</w:t>
      </w:r>
      <w:r w:rsidR="000742F5">
        <w:t xml:space="preserve"> but were not reflected in PRC since they were not actually online.  </w:t>
      </w:r>
      <w:r w:rsidR="00E55AE9">
        <w:t>These Quick Start Resource</w:t>
      </w:r>
      <w:r w:rsidR="0012266F">
        <w:t xml:space="preserve"> offers</w:t>
      </w:r>
      <w:r w:rsidR="00E55AE9">
        <w:t xml:space="preserve"> typically sit near the end of the SCED offer stack</w:t>
      </w:r>
      <w:r w:rsidR="00C97909">
        <w:t xml:space="preserve">.  </w:t>
      </w:r>
      <w:r w:rsidR="00DD79A5">
        <w:t>Because the LMPs produced by SCED were not high enough</w:t>
      </w:r>
      <w:r w:rsidR="000742F5">
        <w:t xml:space="preserve"> </w:t>
      </w:r>
      <w:r w:rsidR="00AD03BB">
        <w:t xml:space="preserve">to dispatch the Quick Starts, they remained offline causing </w:t>
      </w:r>
      <w:r w:rsidR="00A56790">
        <w:t>a significant</w:t>
      </w:r>
      <w:r w:rsidR="00AD03BB">
        <w:t xml:space="preserve"> gap between PRC and ORDC reserves</w:t>
      </w:r>
      <w:r w:rsidR="006C70A2">
        <w:t xml:space="preserve"> even as PRC</w:t>
      </w:r>
      <w:r w:rsidR="00AD03BB">
        <w:t xml:space="preserve"> </w:t>
      </w:r>
      <w:r w:rsidR="00AD03BB">
        <w:lastRenderedPageBreak/>
        <w:t xml:space="preserve">dipped near EEA1.  Increasing the minimum </w:t>
      </w:r>
      <w:r w:rsidR="008C55D6">
        <w:t>Responsive Reserve Service (</w:t>
      </w:r>
      <w:r w:rsidR="00AD03BB">
        <w:t>RRS</w:t>
      </w:r>
      <w:r w:rsidR="008C55D6">
        <w:t>)</w:t>
      </w:r>
      <w:r w:rsidR="00AD03BB">
        <w:t xml:space="preserve"> quantity above EEA1 would remove capacity from SCED and effectively shift the dispatch order by requiring SCED to exhaust all offers prior to reaching EEA1 (including the Quick Start offers</w:t>
      </w:r>
      <w:r w:rsidR="00350608">
        <w:t xml:space="preserve"> which closes the gap</w:t>
      </w:r>
      <w:r w:rsidR="00AD03BB">
        <w:t>)</w:t>
      </w:r>
      <w:r w:rsidR="00C97909">
        <w:t>.  While increases to the value of X and VOLL are more important</w:t>
      </w:r>
      <w:r w:rsidR="008A28A0">
        <w:t xml:space="preserve"> and given the lack of a better solution</w:t>
      </w:r>
      <w:bookmarkStart w:id="0" w:name="_GoBack"/>
      <w:bookmarkEnd w:id="0"/>
      <w:r w:rsidR="00C97909">
        <w:t xml:space="preserve">, NRG would support increasing the minimum RRS quantity to </w:t>
      </w:r>
      <w:r w:rsidR="007A1437">
        <w:t xml:space="preserve">above EEA1 (i.e. </w:t>
      </w:r>
      <w:r w:rsidR="00C97909">
        <w:t>2,500MW</w:t>
      </w:r>
      <w:r w:rsidR="007A1437">
        <w:t>)</w:t>
      </w:r>
      <w:r w:rsidR="00C97909">
        <w:t xml:space="preserve"> to address the gap between PRC and ORDC prior to </w:t>
      </w:r>
      <w:r w:rsidR="007A1437">
        <w:t xml:space="preserve">reaching </w:t>
      </w:r>
      <w:r w:rsidR="00C97909">
        <w:t>EEA1.</w:t>
      </w:r>
      <w:r w:rsidR="001D09A2">
        <w:t xml:space="preserve">  </w:t>
      </w:r>
      <w:r w:rsidR="0012266F">
        <w:t>If increasing the minimum RRS quantity is not desired, a</w:t>
      </w:r>
      <w:r w:rsidR="008C55D6">
        <w:t xml:space="preserve">n alternative to address the gap between PRC and ORDC reserves would be to require Online NSRS to commit during NSRS deployments.  However, </w:t>
      </w:r>
      <w:r w:rsidR="00C4361F">
        <w:t>this approach c</w:t>
      </w:r>
      <w:r w:rsidR="008C55D6">
        <w:t>ould introduce price reversal issues that would need to be managed.</w:t>
      </w:r>
    </w:p>
    <w:p w:rsidR="00FB518D" w:rsidRPr="009A4B80" w:rsidRDefault="00E353DD" w:rsidP="00FB518D">
      <w:pPr>
        <w:rPr>
          <w:u w:val="single"/>
        </w:rPr>
      </w:pPr>
      <w:r>
        <w:rPr>
          <w:u w:val="single"/>
        </w:rPr>
        <w:t xml:space="preserve">Proposed </w:t>
      </w:r>
      <w:r w:rsidR="004E03DF">
        <w:rPr>
          <w:u w:val="single"/>
        </w:rPr>
        <w:t>Implementation Date</w:t>
      </w:r>
    </w:p>
    <w:p w:rsidR="00350608" w:rsidRDefault="00794DD6" w:rsidP="00FB518D">
      <w:r>
        <w:t>NRG proposes</w:t>
      </w:r>
      <w:r w:rsidR="00350608">
        <w:t xml:space="preserve"> that any changes to the ORDC be implemented on June 1</w:t>
      </w:r>
      <w:r w:rsidR="00350608" w:rsidRPr="009878DE">
        <w:rPr>
          <w:vertAlign w:val="superscript"/>
        </w:rPr>
        <w:t>st</w:t>
      </w:r>
      <w:r w:rsidR="00350608">
        <w:t xml:space="preserve"> 2017.  Being only six months away from summer of 2016, Market Participants have already hedged a significant portion of their business and load contracts</w:t>
      </w:r>
      <w:r w:rsidR="00736FDD">
        <w:t xml:space="preserve"> for the critical </w:t>
      </w:r>
      <w:r w:rsidR="006A204D">
        <w:t xml:space="preserve">summer </w:t>
      </w:r>
      <w:r w:rsidR="00736FDD">
        <w:t>periods of 2016</w:t>
      </w:r>
      <w:r w:rsidR="00350608">
        <w:t>.</w:t>
      </w:r>
      <w:r w:rsidR="00A56790">
        <w:t xml:space="preserve">  </w:t>
      </w:r>
      <w:r w:rsidR="0012266F">
        <w:t xml:space="preserve">Therefore, an implementation date </w:t>
      </w:r>
      <w:r w:rsidR="00E15B2A">
        <w:t xml:space="preserve">sufficiently in the future and </w:t>
      </w:r>
      <w:r w:rsidR="0012266F">
        <w:t xml:space="preserve">prior to </w:t>
      </w:r>
      <w:r w:rsidR="00E15B2A">
        <w:t xml:space="preserve">the </w:t>
      </w:r>
      <w:r w:rsidR="0012266F">
        <w:t>summer of 2017 would avoid “change in law” provisions in customer contracts potentially coming into play.</w:t>
      </w:r>
    </w:p>
    <w:sectPr w:rsidR="0035060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DD" w:rsidRDefault="009B6ADD" w:rsidP="00F30ABD">
      <w:pPr>
        <w:spacing w:after="0" w:line="240" w:lineRule="auto"/>
      </w:pPr>
      <w:r>
        <w:separator/>
      </w:r>
    </w:p>
  </w:endnote>
  <w:endnote w:type="continuationSeparator" w:id="0">
    <w:p w:rsidR="009B6ADD" w:rsidRDefault="009B6ADD" w:rsidP="00F3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06694"/>
      <w:docPartObj>
        <w:docPartGallery w:val="Page Numbers (Bottom of Page)"/>
        <w:docPartUnique/>
      </w:docPartObj>
    </w:sdtPr>
    <w:sdtEndPr>
      <w:rPr>
        <w:noProof/>
      </w:rPr>
    </w:sdtEndPr>
    <w:sdtContent>
      <w:p w:rsidR="003D21B0" w:rsidRDefault="003D21B0">
        <w:pPr>
          <w:pStyle w:val="Footer"/>
          <w:jc w:val="right"/>
        </w:pPr>
        <w:r>
          <w:fldChar w:fldCharType="begin"/>
        </w:r>
        <w:r>
          <w:instrText xml:space="preserve"> PAGE   \* MERGEFORMAT </w:instrText>
        </w:r>
        <w:r>
          <w:fldChar w:fldCharType="separate"/>
        </w:r>
        <w:r w:rsidR="000833E3">
          <w:rPr>
            <w:noProof/>
          </w:rPr>
          <w:t>1</w:t>
        </w:r>
        <w:r>
          <w:rPr>
            <w:noProof/>
          </w:rPr>
          <w:fldChar w:fldCharType="end"/>
        </w:r>
      </w:p>
    </w:sdtContent>
  </w:sdt>
  <w:p w:rsidR="003D21B0" w:rsidRDefault="003D21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DD" w:rsidRDefault="009B6ADD" w:rsidP="00F30ABD">
      <w:pPr>
        <w:spacing w:after="0" w:line="240" w:lineRule="auto"/>
      </w:pPr>
      <w:r>
        <w:separator/>
      </w:r>
    </w:p>
  </w:footnote>
  <w:footnote w:type="continuationSeparator" w:id="0">
    <w:p w:rsidR="009B6ADD" w:rsidRDefault="009B6ADD" w:rsidP="00F30ABD">
      <w:pPr>
        <w:spacing w:after="0" w:line="240" w:lineRule="auto"/>
      </w:pPr>
      <w:r>
        <w:continuationSeparator/>
      </w:r>
    </w:p>
  </w:footnote>
  <w:footnote w:id="1">
    <w:p w:rsidR="00D854F1" w:rsidRDefault="00D854F1">
      <w:pPr>
        <w:pStyle w:val="FootnoteText"/>
      </w:pPr>
      <w:r>
        <w:rPr>
          <w:rStyle w:val="FootnoteReference"/>
        </w:rPr>
        <w:footnoteRef/>
      </w:r>
      <w:r>
        <w:t xml:space="preserve"> </w:t>
      </w:r>
      <w:hyperlink r:id="rId1" w:history="1">
        <w:r w:rsidRPr="00F95D89">
          <w:rPr>
            <w:rStyle w:val="Hyperlink"/>
          </w:rPr>
          <w:t>http://interchange.puc.state.tx.us/WebApp/Interchange/Documents/40000_667_868214.PDF</w:t>
        </w:r>
      </w:hyperlink>
    </w:p>
  </w:footnote>
  <w:footnote w:id="2">
    <w:p w:rsidR="00F30ABD" w:rsidRDefault="00F30ABD">
      <w:pPr>
        <w:pStyle w:val="FootnoteText"/>
      </w:pPr>
      <w:r>
        <w:rPr>
          <w:rStyle w:val="FootnoteReference"/>
        </w:rPr>
        <w:footnoteRef/>
      </w:r>
      <w:r w:rsidRPr="00273E32">
        <w:rPr>
          <w:rStyle w:val="Hyperlink"/>
        </w:rPr>
        <w:t>http://www.ercot.com/content/news/presentations/2015/Energy%20Emergency%20Alert%20Communications%20Matrix%202013_4262013.pdf</w:t>
      </w:r>
    </w:p>
  </w:footnote>
  <w:footnote w:id="3">
    <w:p w:rsidR="00C44BB5" w:rsidRDefault="00C44BB5">
      <w:pPr>
        <w:pStyle w:val="FootnoteText"/>
      </w:pPr>
      <w:r>
        <w:rPr>
          <w:rStyle w:val="FootnoteReference"/>
        </w:rPr>
        <w:footnoteRef/>
      </w:r>
      <w:r w:rsidRPr="00273E32">
        <w:rPr>
          <w:rStyle w:val="Hyperlink"/>
        </w:rPr>
        <w:t>http://www.ercot.com/content/wcm/key_documents_lists/54223/11.__RMS_PriceResponsiveLoadERCOT_100615.pptx</w:t>
      </w:r>
    </w:p>
  </w:footnote>
  <w:footnote w:id="4">
    <w:p w:rsidR="00F523A6" w:rsidRDefault="00F523A6">
      <w:pPr>
        <w:pStyle w:val="FootnoteText"/>
      </w:pPr>
      <w:r>
        <w:rPr>
          <w:rStyle w:val="FootnoteReference"/>
        </w:rPr>
        <w:footnoteRef/>
      </w:r>
      <w:r w:rsidRPr="00273E32">
        <w:rPr>
          <w:rStyle w:val="Hyperlink"/>
        </w:rPr>
        <w:t>http://interchange.puc.texas.gov/WebApp/Interchange/application/dbapps/filings/pgSearch_Results.asp?TXT_CNTR_NO=40891&amp;TXT_ITEM_NO=19</w:t>
      </w:r>
    </w:p>
  </w:footnote>
  <w:footnote w:id="5">
    <w:p w:rsidR="00972067" w:rsidRDefault="00972067">
      <w:pPr>
        <w:pStyle w:val="FootnoteText"/>
      </w:pPr>
      <w:r>
        <w:rPr>
          <w:rStyle w:val="FootnoteReference"/>
        </w:rPr>
        <w:footnoteRef/>
      </w:r>
      <w:r>
        <w:t xml:space="preserve"> </w:t>
      </w:r>
      <w:r w:rsidRPr="00273E32">
        <w:rPr>
          <w:rStyle w:val="Hyperlink"/>
        </w:rPr>
        <w:t>http://interchange.puc.state.tx.us/WebApp/Interchange/Documents/40000_421_758185.PDF</w:t>
      </w:r>
    </w:p>
  </w:footnote>
  <w:footnote w:id="6">
    <w:p w:rsidR="00106872" w:rsidRDefault="00106872">
      <w:pPr>
        <w:pStyle w:val="FootnoteText"/>
      </w:pPr>
      <w:r>
        <w:rPr>
          <w:rStyle w:val="FootnoteReference"/>
        </w:rPr>
        <w:footnoteRef/>
      </w:r>
      <w:hyperlink r:id="rId2" w:history="1">
        <w:r w:rsidRPr="00570A0B">
          <w:rPr>
            <w:rStyle w:val="Hyperlink"/>
          </w:rPr>
          <w:t>https://centerpoint.anbetrack.com/etrackcnp/PortalOpenfile.aspx?FilePath=http://172.16.2.237:8081/CNP/Production/Miscellaneous/2016%20Commercial%20Load%20Management%20Program%20Manual%20FINAL.pdf</w:t>
        </w:r>
      </w:hyperlink>
    </w:p>
  </w:footnote>
  <w:footnote w:id="7">
    <w:p w:rsidR="00106872" w:rsidRDefault="00106872">
      <w:pPr>
        <w:pStyle w:val="FootnoteText"/>
      </w:pPr>
      <w:r>
        <w:rPr>
          <w:rStyle w:val="FootnoteReference"/>
        </w:rPr>
        <w:footnoteRef/>
      </w:r>
      <w:r w:rsidRPr="00273E32">
        <w:rPr>
          <w:rStyle w:val="Hyperlink"/>
        </w:rPr>
        <w:t>https://drive.google.com/viewerng/viewer?url=https%3A%2F%2Fwww.oncoreepm.com%3A8095%2Feepmdocs%2FPublished%2520Documents%2FApogee%2FCLM%2520Program%2520Manual.pdf</w:t>
      </w:r>
    </w:p>
  </w:footnote>
  <w:footnote w:id="8">
    <w:p w:rsidR="00C122C3" w:rsidRDefault="00C122C3">
      <w:pPr>
        <w:pStyle w:val="FootnoteText"/>
      </w:pPr>
      <w:r>
        <w:rPr>
          <w:rStyle w:val="FootnoteReference"/>
        </w:rPr>
        <w:footnoteRef/>
      </w:r>
      <w:r>
        <w:t xml:space="preserve"> </w:t>
      </w:r>
      <w:r w:rsidRPr="00273E32">
        <w:rPr>
          <w:rStyle w:val="Hyperlink"/>
        </w:rPr>
        <w:t>http://interchange.puc.state.tx.us/WebApp/Interchange/Documents/40000_667_868214.PDF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CAB"/>
    <w:multiLevelType w:val="hybridMultilevel"/>
    <w:tmpl w:val="45948B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8D536C"/>
    <w:multiLevelType w:val="hybridMultilevel"/>
    <w:tmpl w:val="4234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857"/>
    <w:rsid w:val="00013F76"/>
    <w:rsid w:val="00023DFC"/>
    <w:rsid w:val="00057D27"/>
    <w:rsid w:val="000600B6"/>
    <w:rsid w:val="000742F5"/>
    <w:rsid w:val="000833E3"/>
    <w:rsid w:val="00106872"/>
    <w:rsid w:val="00121652"/>
    <w:rsid w:val="0012266F"/>
    <w:rsid w:val="00160C99"/>
    <w:rsid w:val="00181314"/>
    <w:rsid w:val="001B696D"/>
    <w:rsid w:val="001D09A2"/>
    <w:rsid w:val="001D5ED8"/>
    <w:rsid w:val="00206E3D"/>
    <w:rsid w:val="00212A37"/>
    <w:rsid w:val="0021525E"/>
    <w:rsid w:val="002216BF"/>
    <w:rsid w:val="00223928"/>
    <w:rsid w:val="00224D18"/>
    <w:rsid w:val="00243596"/>
    <w:rsid w:val="0027010C"/>
    <w:rsid w:val="00273E32"/>
    <w:rsid w:val="0027601E"/>
    <w:rsid w:val="002841C3"/>
    <w:rsid w:val="002D0F5F"/>
    <w:rsid w:val="002D5464"/>
    <w:rsid w:val="002D66DD"/>
    <w:rsid w:val="0030028A"/>
    <w:rsid w:val="00333070"/>
    <w:rsid w:val="00350608"/>
    <w:rsid w:val="00352149"/>
    <w:rsid w:val="00380906"/>
    <w:rsid w:val="00385E05"/>
    <w:rsid w:val="003C338B"/>
    <w:rsid w:val="003C52F8"/>
    <w:rsid w:val="003D21B0"/>
    <w:rsid w:val="004100B8"/>
    <w:rsid w:val="00411F24"/>
    <w:rsid w:val="004A6972"/>
    <w:rsid w:val="004A739E"/>
    <w:rsid w:val="004B3B5F"/>
    <w:rsid w:val="004B4243"/>
    <w:rsid w:val="004C6EB0"/>
    <w:rsid w:val="004E03DF"/>
    <w:rsid w:val="00504ABF"/>
    <w:rsid w:val="005070F0"/>
    <w:rsid w:val="0052415A"/>
    <w:rsid w:val="00590A4A"/>
    <w:rsid w:val="005B6803"/>
    <w:rsid w:val="005D51D3"/>
    <w:rsid w:val="00666867"/>
    <w:rsid w:val="006A204D"/>
    <w:rsid w:val="006C70A2"/>
    <w:rsid w:val="006E2E83"/>
    <w:rsid w:val="00720513"/>
    <w:rsid w:val="00720DFA"/>
    <w:rsid w:val="00736FDD"/>
    <w:rsid w:val="00753C85"/>
    <w:rsid w:val="00786962"/>
    <w:rsid w:val="00787326"/>
    <w:rsid w:val="00794DD6"/>
    <w:rsid w:val="007A1437"/>
    <w:rsid w:val="007B2898"/>
    <w:rsid w:val="007E3240"/>
    <w:rsid w:val="007E6E58"/>
    <w:rsid w:val="00883158"/>
    <w:rsid w:val="00884AA3"/>
    <w:rsid w:val="00886DB8"/>
    <w:rsid w:val="008A28A0"/>
    <w:rsid w:val="008B066C"/>
    <w:rsid w:val="008B6857"/>
    <w:rsid w:val="008C55D6"/>
    <w:rsid w:val="008D61B4"/>
    <w:rsid w:val="00900E70"/>
    <w:rsid w:val="009110B9"/>
    <w:rsid w:val="00920BF3"/>
    <w:rsid w:val="00941023"/>
    <w:rsid w:val="00957828"/>
    <w:rsid w:val="00972067"/>
    <w:rsid w:val="0098055D"/>
    <w:rsid w:val="009878DE"/>
    <w:rsid w:val="009A2F20"/>
    <w:rsid w:val="009A4B80"/>
    <w:rsid w:val="009B5C3C"/>
    <w:rsid w:val="009B6ADD"/>
    <w:rsid w:val="009C5823"/>
    <w:rsid w:val="009C7091"/>
    <w:rsid w:val="009F3596"/>
    <w:rsid w:val="00A26EDF"/>
    <w:rsid w:val="00A56790"/>
    <w:rsid w:val="00A6553A"/>
    <w:rsid w:val="00A678ED"/>
    <w:rsid w:val="00AB4F1C"/>
    <w:rsid w:val="00AD03BB"/>
    <w:rsid w:val="00AF77BE"/>
    <w:rsid w:val="00B25A87"/>
    <w:rsid w:val="00B51633"/>
    <w:rsid w:val="00B57EB7"/>
    <w:rsid w:val="00B87B98"/>
    <w:rsid w:val="00B9651C"/>
    <w:rsid w:val="00BB7314"/>
    <w:rsid w:val="00C00D25"/>
    <w:rsid w:val="00C122C3"/>
    <w:rsid w:val="00C22BD1"/>
    <w:rsid w:val="00C32CF1"/>
    <w:rsid w:val="00C4361F"/>
    <w:rsid w:val="00C44BB5"/>
    <w:rsid w:val="00C5333A"/>
    <w:rsid w:val="00C56044"/>
    <w:rsid w:val="00C90AEA"/>
    <w:rsid w:val="00C97909"/>
    <w:rsid w:val="00CA0B47"/>
    <w:rsid w:val="00CA7A79"/>
    <w:rsid w:val="00CE0C5F"/>
    <w:rsid w:val="00CF29E3"/>
    <w:rsid w:val="00D034D5"/>
    <w:rsid w:val="00D45C89"/>
    <w:rsid w:val="00D52B2F"/>
    <w:rsid w:val="00D57BC9"/>
    <w:rsid w:val="00D60B4E"/>
    <w:rsid w:val="00D854F1"/>
    <w:rsid w:val="00D86EC3"/>
    <w:rsid w:val="00D92071"/>
    <w:rsid w:val="00DB67DD"/>
    <w:rsid w:val="00DC3D9F"/>
    <w:rsid w:val="00DD6F3D"/>
    <w:rsid w:val="00DD79A5"/>
    <w:rsid w:val="00DE3C36"/>
    <w:rsid w:val="00DE70FB"/>
    <w:rsid w:val="00DF371C"/>
    <w:rsid w:val="00DF6972"/>
    <w:rsid w:val="00E03C9D"/>
    <w:rsid w:val="00E06219"/>
    <w:rsid w:val="00E15B2A"/>
    <w:rsid w:val="00E3432C"/>
    <w:rsid w:val="00E353DD"/>
    <w:rsid w:val="00E40B4A"/>
    <w:rsid w:val="00E50235"/>
    <w:rsid w:val="00E55AE9"/>
    <w:rsid w:val="00EB48E6"/>
    <w:rsid w:val="00EB7E0A"/>
    <w:rsid w:val="00EC01B6"/>
    <w:rsid w:val="00EF18AF"/>
    <w:rsid w:val="00EF6486"/>
    <w:rsid w:val="00F25D24"/>
    <w:rsid w:val="00F30ABD"/>
    <w:rsid w:val="00F33641"/>
    <w:rsid w:val="00F523A6"/>
    <w:rsid w:val="00F66E44"/>
    <w:rsid w:val="00F672B4"/>
    <w:rsid w:val="00F71D72"/>
    <w:rsid w:val="00F9194B"/>
    <w:rsid w:val="00FB518D"/>
    <w:rsid w:val="00FC076E"/>
    <w:rsid w:val="00FD0846"/>
    <w:rsid w:val="00FD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28A"/>
    <w:pPr>
      <w:ind w:left="720"/>
      <w:contextualSpacing/>
    </w:pPr>
  </w:style>
  <w:style w:type="paragraph" w:styleId="FootnoteText">
    <w:name w:val="footnote text"/>
    <w:basedOn w:val="Normal"/>
    <w:link w:val="FootnoteTextChar"/>
    <w:uiPriority w:val="99"/>
    <w:semiHidden/>
    <w:unhideWhenUsed/>
    <w:rsid w:val="00F30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ABD"/>
    <w:rPr>
      <w:sz w:val="20"/>
      <w:szCs w:val="20"/>
    </w:rPr>
  </w:style>
  <w:style w:type="character" w:styleId="FootnoteReference">
    <w:name w:val="footnote reference"/>
    <w:basedOn w:val="DefaultParagraphFont"/>
    <w:uiPriority w:val="99"/>
    <w:semiHidden/>
    <w:unhideWhenUsed/>
    <w:rsid w:val="00F30ABD"/>
    <w:rPr>
      <w:vertAlign w:val="superscript"/>
    </w:rPr>
  </w:style>
  <w:style w:type="character" w:styleId="Hyperlink">
    <w:name w:val="Hyperlink"/>
    <w:basedOn w:val="DefaultParagraphFont"/>
    <w:uiPriority w:val="99"/>
    <w:unhideWhenUsed/>
    <w:rsid w:val="00106872"/>
    <w:rPr>
      <w:color w:val="0000FF"/>
      <w:u w:val="single"/>
    </w:rPr>
  </w:style>
  <w:style w:type="paragraph" w:styleId="Header">
    <w:name w:val="header"/>
    <w:basedOn w:val="Normal"/>
    <w:link w:val="HeaderChar"/>
    <w:uiPriority w:val="99"/>
    <w:unhideWhenUsed/>
    <w:rsid w:val="003D2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1B0"/>
  </w:style>
  <w:style w:type="paragraph" w:styleId="Footer">
    <w:name w:val="footer"/>
    <w:basedOn w:val="Normal"/>
    <w:link w:val="FooterChar"/>
    <w:uiPriority w:val="99"/>
    <w:unhideWhenUsed/>
    <w:rsid w:val="003D2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28A"/>
    <w:pPr>
      <w:ind w:left="720"/>
      <w:contextualSpacing/>
    </w:pPr>
  </w:style>
  <w:style w:type="paragraph" w:styleId="FootnoteText">
    <w:name w:val="footnote text"/>
    <w:basedOn w:val="Normal"/>
    <w:link w:val="FootnoteTextChar"/>
    <w:uiPriority w:val="99"/>
    <w:semiHidden/>
    <w:unhideWhenUsed/>
    <w:rsid w:val="00F30A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ABD"/>
    <w:rPr>
      <w:sz w:val="20"/>
      <w:szCs w:val="20"/>
    </w:rPr>
  </w:style>
  <w:style w:type="character" w:styleId="FootnoteReference">
    <w:name w:val="footnote reference"/>
    <w:basedOn w:val="DefaultParagraphFont"/>
    <w:uiPriority w:val="99"/>
    <w:semiHidden/>
    <w:unhideWhenUsed/>
    <w:rsid w:val="00F30ABD"/>
    <w:rPr>
      <w:vertAlign w:val="superscript"/>
    </w:rPr>
  </w:style>
  <w:style w:type="character" w:styleId="Hyperlink">
    <w:name w:val="Hyperlink"/>
    <w:basedOn w:val="DefaultParagraphFont"/>
    <w:uiPriority w:val="99"/>
    <w:unhideWhenUsed/>
    <w:rsid w:val="00106872"/>
    <w:rPr>
      <w:color w:val="0000FF"/>
      <w:u w:val="single"/>
    </w:rPr>
  </w:style>
  <w:style w:type="paragraph" w:styleId="Header">
    <w:name w:val="header"/>
    <w:basedOn w:val="Normal"/>
    <w:link w:val="HeaderChar"/>
    <w:uiPriority w:val="99"/>
    <w:unhideWhenUsed/>
    <w:rsid w:val="003D2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1B0"/>
  </w:style>
  <w:style w:type="paragraph" w:styleId="Footer">
    <w:name w:val="footer"/>
    <w:basedOn w:val="Normal"/>
    <w:link w:val="FooterChar"/>
    <w:uiPriority w:val="99"/>
    <w:unhideWhenUsed/>
    <w:rsid w:val="003D2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enterpoint.anbetrack.com/etrackcnp/PortalOpenfile.aspx?FilePath=http://172.16.2.237:8081/CNP/Production/Miscellaneous/2016%20Commercial%20Load%20Management%20Program%20Manual%20FINAL.pdf" TargetMode="External"/><Relationship Id="rId1" Type="http://schemas.openxmlformats.org/officeDocument/2006/relationships/hyperlink" Target="http://interchange.puc.state.tx.us/WebApp/Interchange/Documents/40000_667_8682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EA13-9677-48BD-B6BF-1D2F2882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Barnes (NRG)</dc:creator>
  <cp:lastModifiedBy>Bill Barnes (NRG)</cp:lastModifiedBy>
  <cp:revision>21</cp:revision>
  <dcterms:created xsi:type="dcterms:W3CDTF">2015-12-30T17:23:00Z</dcterms:created>
  <dcterms:modified xsi:type="dcterms:W3CDTF">2016-01-04T20:45:00Z</dcterms:modified>
</cp:coreProperties>
</file>