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AE9" w:rsidRDefault="00BE1AE9" w:rsidP="00BE1AE9">
      <w:pPr>
        <w:jc w:val="center"/>
        <w:rPr>
          <w:b/>
        </w:rPr>
      </w:pPr>
      <w:r>
        <w:rPr>
          <w:b/>
        </w:rPr>
        <w:t>ERCOT STEEL MILLS</w:t>
      </w:r>
    </w:p>
    <w:p w:rsidR="00902D0E" w:rsidRPr="00567954" w:rsidRDefault="00567954" w:rsidP="00BE1AE9">
      <w:pPr>
        <w:jc w:val="center"/>
        <w:rPr>
          <w:b/>
        </w:rPr>
      </w:pPr>
      <w:r w:rsidRPr="00567954">
        <w:rPr>
          <w:b/>
        </w:rPr>
        <w:t>COMMENTS REGARDING CHANGES TO THE ORDC</w:t>
      </w:r>
    </w:p>
    <w:p w:rsidR="00567954" w:rsidRDefault="00567954" w:rsidP="00567954">
      <w:pPr>
        <w:jc w:val="center"/>
      </w:pPr>
      <w:r>
        <w:t xml:space="preserve">January </w:t>
      </w:r>
      <w:r w:rsidR="006379B5">
        <w:t>4</w:t>
      </w:r>
      <w:r>
        <w:t>, 2016</w:t>
      </w:r>
    </w:p>
    <w:p w:rsidR="00567954" w:rsidRDefault="00567954" w:rsidP="00C35D54">
      <w:pPr>
        <w:jc w:val="both"/>
      </w:pPr>
    </w:p>
    <w:p w:rsidR="00BE1AE9" w:rsidRDefault="00567954" w:rsidP="00C35D54">
      <w:pPr>
        <w:ind w:firstLine="720"/>
        <w:jc w:val="both"/>
      </w:pPr>
      <w:r>
        <w:t>Nucor Steel, Commercial Metals Corporation, and Gerdau</w:t>
      </w:r>
      <w:r w:rsidR="00BE1AE9">
        <w:t xml:space="preserve"> (“ERCOT Steel Mills”)</w:t>
      </w:r>
      <w:r>
        <w:t>, s</w:t>
      </w:r>
      <w:r w:rsidR="00BE1AE9">
        <w:t>ubmit that</w:t>
      </w:r>
      <w:r>
        <w:t xml:space="preserve"> no change</w:t>
      </w:r>
      <w:r w:rsidR="00BE1AE9">
        <w:t>s to</w:t>
      </w:r>
      <w:r>
        <w:t xml:space="preserve"> the Operating Reserves Demand Curve (ORDC) </w:t>
      </w:r>
      <w:r w:rsidR="00BE1AE9">
        <w:t xml:space="preserve">are necessary or appropriate </w:t>
      </w:r>
      <w:r>
        <w:t>at this time.  We believe that th</w:t>
      </w:r>
      <w:r w:rsidR="00BE1AE9">
        <w:t xml:space="preserve">e ORDC </w:t>
      </w:r>
      <w:r>
        <w:t xml:space="preserve">pricing mechanism </w:t>
      </w:r>
      <w:r w:rsidR="00C215E9">
        <w:t>is working</w:t>
      </w:r>
      <w:r>
        <w:t xml:space="preserve"> </w:t>
      </w:r>
      <w:r w:rsidR="00C215E9">
        <w:t>as assigned and is fulfilling its intended function well</w:t>
      </w:r>
      <w:r>
        <w:t xml:space="preserve">. </w:t>
      </w:r>
    </w:p>
    <w:p w:rsidR="00BE1AE9" w:rsidRDefault="00BE1AE9" w:rsidP="00C35D54">
      <w:pPr>
        <w:jc w:val="both"/>
      </w:pPr>
    </w:p>
    <w:p w:rsidR="00A00EC2" w:rsidRDefault="001D568B" w:rsidP="00C35D54">
      <w:pPr>
        <w:ind w:firstLine="720"/>
        <w:jc w:val="both"/>
      </w:pPr>
      <w:r>
        <w:t>Th</w:t>
      </w:r>
      <w:r w:rsidR="00C215E9">
        <w:t>e only problem, if there is a one</w:t>
      </w:r>
      <w:r>
        <w:t xml:space="preserve">, is </w:t>
      </w:r>
      <w:r w:rsidR="00C215E9">
        <w:t>the failure of some market participants and observers to</w:t>
      </w:r>
      <w:r w:rsidR="00C16BDA">
        <w:t xml:space="preserve"> </w:t>
      </w:r>
      <w:r w:rsidR="00C215E9">
        <w:t>fully appreciate the difference between the</w:t>
      </w:r>
      <w:r>
        <w:t xml:space="preserve"> PRC and ORDC </w:t>
      </w:r>
      <w:r w:rsidR="00303616">
        <w:t xml:space="preserve">reserve </w:t>
      </w:r>
      <w:r>
        <w:t>measure</w:t>
      </w:r>
      <w:r w:rsidR="00CC2256">
        <w:t>s</w:t>
      </w:r>
      <w:r w:rsidR="00C215E9">
        <w:t>.  PRC a</w:t>
      </w:r>
      <w:r w:rsidR="00A00EC2">
        <w:t>nd ORDC are not functional equivalents and were never</w:t>
      </w:r>
      <w:r w:rsidR="00C215E9">
        <w:t xml:space="preserve"> </w:t>
      </w:r>
      <w:r w:rsidR="004B05DB">
        <w:t xml:space="preserve">designed to </w:t>
      </w:r>
      <w:r w:rsidR="00C16BDA">
        <w:t>correlate closely</w:t>
      </w:r>
      <w:r w:rsidR="00A00EC2">
        <w:t xml:space="preserve"> in situations where</w:t>
      </w:r>
      <w:r w:rsidR="00303616">
        <w:t xml:space="preserve"> significant Quick Start capability is available to be used but has not been star</w:t>
      </w:r>
      <w:r w:rsidR="00A00EC2">
        <w:t>ted and actually placed into on-</w:t>
      </w:r>
      <w:r w:rsidR="00303616">
        <w:t>line service</w:t>
      </w:r>
      <w:r>
        <w:t xml:space="preserve">.  </w:t>
      </w:r>
      <w:r w:rsidR="00A00EC2">
        <w:t xml:space="preserve">Nor should they be.  </w:t>
      </w:r>
      <w:r>
        <w:t>The fact that the PRC and ORDC</w:t>
      </w:r>
      <w:r w:rsidR="004B05DB">
        <w:t xml:space="preserve"> </w:t>
      </w:r>
      <w:r w:rsidR="00303616">
        <w:t xml:space="preserve">reserve </w:t>
      </w:r>
      <w:r w:rsidR="004B05DB">
        <w:t xml:space="preserve">calculations do not </w:t>
      </w:r>
      <w:r w:rsidR="00A00EC2">
        <w:t xml:space="preserve">always </w:t>
      </w:r>
      <w:r>
        <w:t>correlate closely does not mean that a deficiency exists with respect to either calculation.</w:t>
      </w:r>
      <w:r w:rsidR="00C35D54">
        <w:t xml:space="preserve"> </w:t>
      </w:r>
    </w:p>
    <w:p w:rsidR="00A00EC2" w:rsidRDefault="00A00EC2" w:rsidP="00C35D54">
      <w:pPr>
        <w:ind w:firstLine="720"/>
        <w:jc w:val="both"/>
      </w:pPr>
    </w:p>
    <w:p w:rsidR="00567954" w:rsidRDefault="00A00EC2" w:rsidP="00C35D54">
      <w:pPr>
        <w:ind w:firstLine="720"/>
        <w:jc w:val="both"/>
      </w:pPr>
      <w:r>
        <w:t>To the extent that there exists some confusion over the reliability and market signaling functions</w:t>
      </w:r>
      <w:r w:rsidR="00A35B27">
        <w:t xml:space="preserve"> of</w:t>
      </w:r>
      <w:r>
        <w:t xml:space="preserve"> PRC and ORDC, </w:t>
      </w:r>
      <w:r w:rsidR="00CC2256">
        <w:t>there</w:t>
      </w:r>
      <w:r w:rsidR="00567954">
        <w:t xml:space="preserve"> may be some value in reviewing </w:t>
      </w:r>
      <w:r w:rsidR="00463508" w:rsidRPr="00463508">
        <w:t xml:space="preserve">the relationship between the definition of reserves used in the ORDC calculation and the measurements monitored by system operators when considering whether </w:t>
      </w:r>
      <w:r w:rsidR="00303616">
        <w:t>the system is approaching scarcity conditions</w:t>
      </w:r>
      <w:r w:rsidR="00463508">
        <w:t xml:space="preserve">.  It may also be worthwhile to undertake a review </w:t>
      </w:r>
      <w:r w:rsidR="00567954">
        <w:t xml:space="preserve">ERCOT’s </w:t>
      </w:r>
      <w:r w:rsidR="00134C85">
        <w:t xml:space="preserve">procedures for interpreting and </w:t>
      </w:r>
      <w:r w:rsidR="00567954">
        <w:t>respond</w:t>
      </w:r>
      <w:r w:rsidR="009D55B3">
        <w:t>ing</w:t>
      </w:r>
      <w:r w:rsidR="00567954">
        <w:t xml:space="preserve"> to </w:t>
      </w:r>
      <w:r w:rsidR="00E70F11">
        <w:t xml:space="preserve">declining </w:t>
      </w:r>
      <w:r w:rsidR="00134C85">
        <w:t>PRC values</w:t>
      </w:r>
      <w:r>
        <w:t>,</w:t>
      </w:r>
      <w:r w:rsidR="00E70F11">
        <w:t xml:space="preserve"> especially when significant Quick Start capacity is available but for some reason the market has not yet responded to the capacity need.</w:t>
      </w:r>
    </w:p>
    <w:p w:rsidR="00C35D54" w:rsidRDefault="00C35D54" w:rsidP="00C35D54">
      <w:pPr>
        <w:jc w:val="both"/>
      </w:pPr>
    </w:p>
    <w:p w:rsidR="00567954" w:rsidRPr="008773EA" w:rsidRDefault="009D55B3" w:rsidP="00C35D54">
      <w:pPr>
        <w:jc w:val="both"/>
        <w:rPr>
          <w:b/>
        </w:rPr>
      </w:pPr>
      <w:r>
        <w:rPr>
          <w:b/>
        </w:rPr>
        <w:t>There Was No</w:t>
      </w:r>
      <w:r w:rsidR="004B05DB">
        <w:rPr>
          <w:b/>
        </w:rPr>
        <w:t>t a</w:t>
      </w:r>
      <w:r>
        <w:rPr>
          <w:b/>
        </w:rPr>
        <w:t xml:space="preserve"> Scarcity Problem</w:t>
      </w:r>
      <w:r w:rsidR="008773EA" w:rsidRPr="008773EA">
        <w:rPr>
          <w:b/>
        </w:rPr>
        <w:t xml:space="preserve"> on August 13</w:t>
      </w:r>
      <w:r w:rsidR="008773EA" w:rsidRPr="008773EA">
        <w:rPr>
          <w:b/>
          <w:vertAlign w:val="superscript"/>
        </w:rPr>
        <w:t>th</w:t>
      </w:r>
    </w:p>
    <w:p w:rsidR="008773EA" w:rsidRDefault="008773EA" w:rsidP="00C35D54">
      <w:pPr>
        <w:jc w:val="both"/>
      </w:pPr>
    </w:p>
    <w:p w:rsidR="00567954" w:rsidRDefault="006379B5" w:rsidP="00C35D54">
      <w:pPr>
        <w:ind w:firstLine="720"/>
        <w:jc w:val="both"/>
      </w:pPr>
      <w:r>
        <w:t xml:space="preserve">During the afternoon of </w:t>
      </w:r>
      <w:r w:rsidR="004F485D">
        <w:t xml:space="preserve">Thursday, </w:t>
      </w:r>
      <w:r>
        <w:t xml:space="preserve">August 13, 2015, </w:t>
      </w:r>
      <w:r w:rsidR="00A35B27">
        <w:t xml:space="preserve">conditions certainly suggested the possibility that a scarcity problem could arise. </w:t>
      </w:r>
      <w:r w:rsidR="004F485D">
        <w:t>The summer system peak had be</w:t>
      </w:r>
      <w:r w:rsidR="00A35B27">
        <w:t xml:space="preserve">en set on the previous Monday.  </w:t>
      </w:r>
      <w:r w:rsidR="004F485D">
        <w:t>Generating unit outages and continued hot</w:t>
      </w:r>
      <w:r w:rsidR="00A35B27">
        <w:t xml:space="preserve"> temperatures contributed to a</w:t>
      </w:r>
      <w:r w:rsidR="00E2723F">
        <w:t xml:space="preserve"> drop in PRC on August 13</w:t>
      </w:r>
      <w:r w:rsidR="00E2723F" w:rsidRPr="00E2723F">
        <w:rPr>
          <w:vertAlign w:val="superscript"/>
        </w:rPr>
        <w:t>th</w:t>
      </w:r>
      <w:r w:rsidR="00E2723F">
        <w:t xml:space="preserve"> to less than 2500</w:t>
      </w:r>
      <w:r w:rsidR="00A35B27">
        <w:t xml:space="preserve"> MW</w:t>
      </w:r>
      <w:r w:rsidR="00E2723F">
        <w:t>,</w:t>
      </w:r>
      <w:r w:rsidR="00E2723F" w:rsidRPr="00E2723F">
        <w:t xml:space="preserve"> </w:t>
      </w:r>
      <w:r w:rsidR="00E2723F">
        <w:t>which</w:t>
      </w:r>
      <w:r w:rsidR="00E2723F" w:rsidRPr="00E2723F">
        <w:t xml:space="preserve"> led ERCOT’s system</w:t>
      </w:r>
      <w:r w:rsidR="00E2723F">
        <w:t xml:space="preserve"> operators to implement a Control Room Watch</w:t>
      </w:r>
      <w:r w:rsidR="00563F12">
        <w:t xml:space="preserve"> for part of the afternoon and to </w:t>
      </w:r>
      <w:r w:rsidR="00E2723F">
        <w:t>announce</w:t>
      </w:r>
      <w:r w:rsidR="00E2723F" w:rsidRPr="00E2723F">
        <w:t xml:space="preserve"> a Conser</w:t>
      </w:r>
      <w:r w:rsidR="00E2723F">
        <w:t>vation Alert</w:t>
      </w:r>
      <w:r w:rsidR="00E2723F" w:rsidRPr="00E2723F">
        <w:t xml:space="preserve"> from 3 p.m. to 7 p.m.</w:t>
      </w:r>
      <w:r w:rsidR="00E2723F">
        <w:t xml:space="preserve"> </w:t>
      </w:r>
      <w:r w:rsidR="004F485D">
        <w:rPr>
          <w:rStyle w:val="FootnoteReference"/>
        </w:rPr>
        <w:footnoteReference w:id="1"/>
      </w:r>
      <w:r w:rsidR="00E2723F">
        <w:t xml:space="preserve">  </w:t>
      </w:r>
      <w:r w:rsidR="00E70F11">
        <w:t>These actions in themselves should have prompted QSEs to bring additional Quick Start capacity into service to take advantage of higher prices.</w:t>
      </w:r>
      <w:r w:rsidR="00563F12">
        <w:t xml:space="preserve">  An ample amount of off-line Quick Start capacity was available to be placed on line on August 13</w:t>
      </w:r>
      <w:r w:rsidR="00563F12" w:rsidRPr="00563F12">
        <w:rPr>
          <w:vertAlign w:val="superscript"/>
        </w:rPr>
        <w:t>th</w:t>
      </w:r>
      <w:r w:rsidR="00563F12">
        <w:t>, and an amount sufficient to avoid the declaration of an EEA did in fact come on line without need of any out of market action by ERCOT.</w:t>
      </w:r>
    </w:p>
    <w:p w:rsidR="00CE50E0" w:rsidRDefault="00CE50E0" w:rsidP="00C35D54">
      <w:pPr>
        <w:jc w:val="both"/>
      </w:pPr>
    </w:p>
    <w:p w:rsidR="00034119" w:rsidRDefault="00563F12" w:rsidP="00C35D54">
      <w:pPr>
        <w:ind w:firstLine="720"/>
        <w:jc w:val="both"/>
      </w:pPr>
      <w:r>
        <w:t>No capacity shortage existed on August 13</w:t>
      </w:r>
      <w:r w:rsidRPr="00563F12">
        <w:rPr>
          <w:vertAlign w:val="superscript"/>
        </w:rPr>
        <w:t>th</w:t>
      </w:r>
      <w:r w:rsidR="009A0BD5">
        <w:t>, notwithstanding</w:t>
      </w:r>
      <w:r>
        <w:t xml:space="preserve"> </w:t>
      </w:r>
      <w:r w:rsidR="009A0BD5">
        <w:t>that PRC</w:t>
      </w:r>
      <w:r>
        <w:t xml:space="preserve"> </w:t>
      </w:r>
      <w:r w:rsidR="009A0BD5">
        <w:t xml:space="preserve">dropped </w:t>
      </w:r>
      <w:r>
        <w:t xml:space="preserve">to 2371 MW.  </w:t>
      </w:r>
      <w:r w:rsidR="002F7784">
        <w:t>PRC</w:t>
      </w:r>
      <w:r w:rsidR="004B05DB">
        <w:t xml:space="preserve"> is a measurement of</w:t>
      </w:r>
      <w:r w:rsidR="002F7784">
        <w:t xml:space="preserve"> the quantity of generating capacity on governor response,</w:t>
      </w:r>
      <w:r w:rsidR="00CE50E0">
        <w:t xml:space="preserve"> </w:t>
      </w:r>
      <w:r w:rsidR="004B05DB">
        <w:t xml:space="preserve">and as such is a measurement of spinning reserve as opposed to total </w:t>
      </w:r>
      <w:r w:rsidR="00E70F11">
        <w:t xml:space="preserve">additional </w:t>
      </w:r>
      <w:r w:rsidR="004B05DB">
        <w:t>reserves</w:t>
      </w:r>
      <w:r w:rsidR="00E70F11">
        <w:t xml:space="preserve"> that can </w:t>
      </w:r>
      <w:r w:rsidR="004B05DB">
        <w:t xml:space="preserve">be brought on line </w:t>
      </w:r>
      <w:r w:rsidR="00E70F11">
        <w:t xml:space="preserve">quickly (Quick Start capacity) </w:t>
      </w:r>
      <w:r w:rsidR="004B05DB">
        <w:t>to meet sys</w:t>
      </w:r>
      <w:r w:rsidR="009A0BD5">
        <w:t xml:space="preserve">tem demand. Although </w:t>
      </w:r>
      <w:r w:rsidR="004B05DB">
        <w:t xml:space="preserve">PRC </w:t>
      </w:r>
      <w:r w:rsidR="009A0BD5">
        <w:t>on August 13</w:t>
      </w:r>
      <w:r w:rsidR="009A0BD5" w:rsidRPr="009A0BD5">
        <w:rPr>
          <w:vertAlign w:val="superscript"/>
        </w:rPr>
        <w:t>th</w:t>
      </w:r>
      <w:r w:rsidR="009A0BD5">
        <w:t xml:space="preserve"> </w:t>
      </w:r>
      <w:r w:rsidR="00CE50E0">
        <w:t>had declined to levels</w:t>
      </w:r>
      <w:r w:rsidR="009621A6">
        <w:t xml:space="preserve"> warranting vigilance by system operators</w:t>
      </w:r>
      <w:r w:rsidR="00CE50E0">
        <w:t xml:space="preserve">, ample generating capacity </w:t>
      </w:r>
      <w:r w:rsidR="004746CB">
        <w:t xml:space="preserve">remained </w:t>
      </w:r>
      <w:r w:rsidR="00CE50E0">
        <w:t xml:space="preserve">available to </w:t>
      </w:r>
      <w:r w:rsidR="004746CB">
        <w:t xml:space="preserve">avert any reliability problems. </w:t>
      </w:r>
      <w:r w:rsidR="00CE50E0">
        <w:t xml:space="preserve"> </w:t>
      </w:r>
      <w:r w:rsidR="004746CB">
        <w:t xml:space="preserve">Over 1,500 MW of generating capacity </w:t>
      </w:r>
      <w:r w:rsidR="004746CB">
        <w:lastRenderedPageBreak/>
        <w:t xml:space="preserve">from </w:t>
      </w:r>
      <w:r w:rsidR="00310EF5">
        <w:t>Q</w:t>
      </w:r>
      <w:r w:rsidR="004746CB">
        <w:t xml:space="preserve">uick </w:t>
      </w:r>
      <w:r w:rsidR="00310EF5">
        <w:t>S</w:t>
      </w:r>
      <w:r w:rsidR="004746CB">
        <w:t>tart units was available to come on-line.</w:t>
      </w:r>
      <w:r w:rsidR="004746CB">
        <w:rPr>
          <w:rStyle w:val="FootnoteReference"/>
        </w:rPr>
        <w:footnoteReference w:id="2"/>
      </w:r>
      <w:r w:rsidR="004746CB">
        <w:t xml:space="preserve">  </w:t>
      </w:r>
      <w:r w:rsidR="009A0BD5">
        <w:t>Given</w:t>
      </w:r>
      <w:r w:rsidR="00384EE6">
        <w:t xml:space="preserve"> all </w:t>
      </w:r>
      <w:r w:rsidR="009A0BD5">
        <w:t>of the</w:t>
      </w:r>
      <w:r w:rsidR="00384EE6">
        <w:t xml:space="preserve"> </w:t>
      </w:r>
      <w:r w:rsidR="009A0BD5">
        <w:t xml:space="preserve">off-line </w:t>
      </w:r>
      <w:r w:rsidR="00384EE6">
        <w:t>generating capaci</w:t>
      </w:r>
      <w:r w:rsidR="00E87938">
        <w:t>ty available to the system, ORDC  properly recognized</w:t>
      </w:r>
      <w:r w:rsidR="00384EE6">
        <w:t xml:space="preserve"> a low Loss of Load Probability</w:t>
      </w:r>
      <w:r w:rsidR="00E87938">
        <w:t xml:space="preserve"> </w:t>
      </w:r>
      <w:r w:rsidR="00384EE6">
        <w:t>(</w:t>
      </w:r>
      <w:r w:rsidR="00E87938">
        <w:t>LOLP) and correctly</w:t>
      </w:r>
      <w:r w:rsidR="00384EE6">
        <w:t xml:space="preserve"> indicate</w:t>
      </w:r>
      <w:r w:rsidR="00E87938">
        <w:t>d</w:t>
      </w:r>
      <w:r w:rsidR="00384EE6">
        <w:t xml:space="preserve"> </w:t>
      </w:r>
      <w:r w:rsidR="00E87938">
        <w:t xml:space="preserve">the absence of </w:t>
      </w:r>
      <w:r w:rsidR="00384EE6">
        <w:t>scarcity conditions.</w:t>
      </w:r>
      <w:r w:rsidR="009621A6">
        <w:t xml:space="preserve"> </w:t>
      </w:r>
    </w:p>
    <w:p w:rsidR="00034119" w:rsidRDefault="009621A6" w:rsidP="00C35D54">
      <w:pPr>
        <w:ind w:firstLine="720"/>
        <w:jc w:val="both"/>
      </w:pPr>
      <w:r>
        <w:t xml:space="preserve">  </w:t>
      </w:r>
    </w:p>
    <w:p w:rsidR="00CE50E0" w:rsidRDefault="009621A6" w:rsidP="00C35D54">
      <w:pPr>
        <w:ind w:firstLine="720"/>
        <w:jc w:val="both"/>
      </w:pPr>
      <w:r>
        <w:t>Consequently</w:t>
      </w:r>
      <w:r w:rsidR="00C35D54">
        <w:t>,</w:t>
      </w:r>
      <w:r>
        <w:t xml:space="preserve"> a low PRC </w:t>
      </w:r>
      <w:r w:rsidR="00E87938">
        <w:t>on August 13</w:t>
      </w:r>
      <w:r w:rsidR="00E87938" w:rsidRPr="00E87938">
        <w:rPr>
          <w:vertAlign w:val="superscript"/>
        </w:rPr>
        <w:t>th</w:t>
      </w:r>
      <w:r w:rsidR="00E87938">
        <w:t xml:space="preserve"> </w:t>
      </w:r>
      <w:r>
        <w:t>did not imply, and should not be interpreted as implying, the existence of scarcity conditions</w:t>
      </w:r>
      <w:r w:rsidR="00E87938">
        <w:t xml:space="preserve"> on August 13</w:t>
      </w:r>
      <w:r w:rsidR="00E87938" w:rsidRPr="00E87938">
        <w:rPr>
          <w:vertAlign w:val="superscript"/>
        </w:rPr>
        <w:t>th</w:t>
      </w:r>
      <w:r w:rsidR="00E87938">
        <w:t>.  Nor does the lack of close correlation between the low PRC that the</w:t>
      </w:r>
      <w:r>
        <w:t xml:space="preserve"> ORDC </w:t>
      </w:r>
      <w:r w:rsidR="00E87938">
        <w:t>on August 13</w:t>
      </w:r>
      <w:r w:rsidR="00E87938" w:rsidRPr="00E87938">
        <w:rPr>
          <w:vertAlign w:val="superscript"/>
        </w:rPr>
        <w:t>th</w:t>
      </w:r>
      <w:r w:rsidR="00E87938">
        <w:t xml:space="preserve"> suggest that the ORDC in any way </w:t>
      </w:r>
      <w:r>
        <w:t>failed to properly reflect the presence of scarcity conditions.</w:t>
      </w:r>
      <w:r w:rsidR="00E87938">
        <w:t xml:space="preserve"> Both the PRC and the ORDC properly conveyed the information </w:t>
      </w:r>
      <w:r w:rsidR="00034119">
        <w:t xml:space="preserve">they are designed to convey </w:t>
      </w:r>
      <w:r w:rsidR="00E87938">
        <w:t xml:space="preserve">to the </w:t>
      </w:r>
      <w:r w:rsidR="00034119">
        <w:t>system operator and market participants.</w:t>
      </w:r>
    </w:p>
    <w:p w:rsidR="00CB1659" w:rsidRDefault="00CB1659" w:rsidP="00C35D54">
      <w:pPr>
        <w:jc w:val="both"/>
      </w:pPr>
    </w:p>
    <w:p w:rsidR="00CB1659" w:rsidRDefault="00034119" w:rsidP="00C35D54">
      <w:pPr>
        <w:ind w:firstLine="720"/>
        <w:jc w:val="both"/>
      </w:pPr>
      <w:r>
        <w:t>An interesting observation from the August 13</w:t>
      </w:r>
      <w:r w:rsidRPr="00034119">
        <w:rPr>
          <w:vertAlign w:val="superscript"/>
        </w:rPr>
        <w:t>th</w:t>
      </w:r>
      <w:r>
        <w:t xml:space="preserve"> data worth noting is that a significant amount</w:t>
      </w:r>
      <w:r w:rsidR="00310EF5">
        <w:t xml:space="preserve"> of t</w:t>
      </w:r>
      <w:r w:rsidR="00CB1659">
        <w:t>he</w:t>
      </w:r>
      <w:r w:rsidR="009621A6">
        <w:t xml:space="preserve"> available but off-line</w:t>
      </w:r>
      <w:r w:rsidR="00CB1659">
        <w:t xml:space="preserve"> </w:t>
      </w:r>
      <w:r w:rsidR="00310EF5">
        <w:t>Q</w:t>
      </w:r>
      <w:r w:rsidR="00CB1659">
        <w:t xml:space="preserve">uick </w:t>
      </w:r>
      <w:r w:rsidR="00310EF5">
        <w:t>S</w:t>
      </w:r>
      <w:r w:rsidR="00CB1659">
        <w:t xml:space="preserve">tart generating units </w:t>
      </w:r>
      <w:r w:rsidR="009621A6">
        <w:t>on August 13</w:t>
      </w:r>
      <w:r w:rsidR="00395049" w:rsidRPr="00C35D54">
        <w:rPr>
          <w:vertAlign w:val="superscript"/>
        </w:rPr>
        <w:t>th</w:t>
      </w:r>
      <w:r w:rsidR="009621A6">
        <w:t xml:space="preserve"> </w:t>
      </w:r>
      <w:r>
        <w:t>was available for SCED dispatch but was not dispatched</w:t>
      </w:r>
      <w:r w:rsidR="009621A6">
        <w:t xml:space="preserve"> </w:t>
      </w:r>
      <w:r w:rsidR="00CB1659">
        <w:t xml:space="preserve">because market prices </w:t>
      </w:r>
      <w:r>
        <w:t xml:space="preserve">did not reach </w:t>
      </w:r>
      <w:r w:rsidR="00CB1659">
        <w:t xml:space="preserve">the </w:t>
      </w:r>
      <w:r w:rsidR="00310EF5">
        <w:t>offer p</w:t>
      </w:r>
      <w:r>
        <w:t>rices submitted for those units</w:t>
      </w:r>
      <w:r w:rsidR="00310EF5">
        <w:t xml:space="preserve">.  As early as 2:50 p.m. on </w:t>
      </w:r>
      <w:r w:rsidR="009621A6">
        <w:t>the 13th</w:t>
      </w:r>
      <w:r w:rsidR="00310EF5">
        <w:t>, ERCOT’s Real Time Dispatch price projections showed that LMPs would be around $1</w:t>
      </w:r>
      <w:r w:rsidR="008B119B">
        <w:t>,</w:t>
      </w:r>
      <w:r w:rsidR="00310EF5">
        <w:t xml:space="preserve">500 </w:t>
      </w:r>
      <w:r w:rsidR="008B119B">
        <w:t>over the following</w:t>
      </w:r>
      <w:r w:rsidR="00310EF5">
        <w:t xml:space="preserve"> 15</w:t>
      </w:r>
      <w:r w:rsidR="008B119B">
        <w:t xml:space="preserve"> to </w:t>
      </w:r>
      <w:r w:rsidR="00310EF5">
        <w:t xml:space="preserve">20 minutes under the prevailing generation capacity and load projections.   An inspection of </w:t>
      </w:r>
      <w:r w:rsidR="008B119B">
        <w:t xml:space="preserve">information contained within </w:t>
      </w:r>
      <w:r w:rsidR="00310EF5">
        <w:t xml:space="preserve">the 60 day generation data disclosure </w:t>
      </w:r>
      <w:r w:rsidR="008B119B">
        <w:t>report</w:t>
      </w:r>
      <w:r w:rsidR="00310EF5">
        <w:t xml:space="preserve"> shows </w:t>
      </w:r>
      <w:r w:rsidR="008B119B">
        <w:t xml:space="preserve">offer </w:t>
      </w:r>
      <w:r w:rsidR="00310EF5">
        <w:t xml:space="preserve">prices </w:t>
      </w:r>
      <w:r w:rsidR="008B119B">
        <w:t>from</w:t>
      </w:r>
      <w:r w:rsidR="00310EF5">
        <w:t xml:space="preserve"> some Quick Start generation that was </w:t>
      </w:r>
      <w:r w:rsidR="008B119B">
        <w:t>reported to be</w:t>
      </w:r>
      <w:r w:rsidR="00310EF5">
        <w:t xml:space="preserve"> on-line </w:t>
      </w:r>
      <w:r w:rsidR="008B119B">
        <w:t>and available to the Security-Constrained Economic Dispatch</w:t>
      </w:r>
      <w:r w:rsidR="00310EF5">
        <w:t xml:space="preserve"> </w:t>
      </w:r>
      <w:r w:rsidR="008B119B">
        <w:t>(</w:t>
      </w:r>
      <w:r w:rsidR="00310EF5">
        <w:t>SCED</w:t>
      </w:r>
      <w:r w:rsidR="008B119B">
        <w:t xml:space="preserve">) model </w:t>
      </w:r>
      <w:r w:rsidR="00310EF5">
        <w:t xml:space="preserve">(but not actually </w:t>
      </w:r>
      <w:r w:rsidR="001C1941">
        <w:t>on line</w:t>
      </w:r>
      <w:r w:rsidR="00310EF5">
        <w:t>)</w:t>
      </w:r>
      <w:r w:rsidR="005F5EE6">
        <w:rPr>
          <w:rStyle w:val="FootnoteReference"/>
        </w:rPr>
        <w:footnoteReference w:id="3"/>
      </w:r>
      <w:r w:rsidR="00310EF5">
        <w:t xml:space="preserve"> </w:t>
      </w:r>
      <w:r w:rsidR="008B119B">
        <w:t>ranging from</w:t>
      </w:r>
      <w:r w:rsidR="00310EF5">
        <w:t xml:space="preserve"> $1</w:t>
      </w:r>
      <w:r w:rsidR="008B119B">
        <w:t>,</w:t>
      </w:r>
      <w:r w:rsidR="00310EF5">
        <w:t>504 to</w:t>
      </w:r>
      <w:r w:rsidR="008B119B">
        <w:t xml:space="preserve"> </w:t>
      </w:r>
      <w:r w:rsidR="00310EF5">
        <w:t>$1</w:t>
      </w:r>
      <w:r w:rsidR="008B119B">
        <w:t>,</w:t>
      </w:r>
      <w:r w:rsidR="00310EF5">
        <w:t>634</w:t>
      </w:r>
      <w:r w:rsidR="008B119B">
        <w:t xml:space="preserve"> – </w:t>
      </w:r>
      <w:r w:rsidR="009D55B3">
        <w:t xml:space="preserve">just </w:t>
      </w:r>
      <w:r w:rsidR="008B119B">
        <w:t>slightly above projected market prices</w:t>
      </w:r>
      <w:r w:rsidR="00310EF5">
        <w:t>.</w:t>
      </w:r>
      <w:r w:rsidR="008B119B">
        <w:rPr>
          <w:rStyle w:val="FootnoteReference"/>
        </w:rPr>
        <w:footnoteReference w:id="4"/>
      </w:r>
      <w:r w:rsidR="00310EF5">
        <w:t xml:space="preserve">  </w:t>
      </w:r>
    </w:p>
    <w:p w:rsidR="00310EF5" w:rsidRDefault="00310EF5" w:rsidP="00C35D54">
      <w:pPr>
        <w:jc w:val="both"/>
      </w:pPr>
    </w:p>
    <w:p w:rsidR="00310EF5" w:rsidRDefault="00310EF5" w:rsidP="00C35D54">
      <w:pPr>
        <w:ind w:firstLine="720"/>
        <w:jc w:val="both"/>
      </w:pPr>
      <w:r>
        <w:t xml:space="preserve">The </w:t>
      </w:r>
      <w:r w:rsidR="008B119B">
        <w:t>high</w:t>
      </w:r>
      <w:r>
        <w:t xml:space="preserve"> offer prices from </w:t>
      </w:r>
      <w:r w:rsidR="001C1941">
        <w:t>those off-line</w:t>
      </w:r>
      <w:r w:rsidR="008B119B">
        <w:t xml:space="preserve"> </w:t>
      </w:r>
      <w:r>
        <w:t xml:space="preserve">Quick Start units </w:t>
      </w:r>
      <w:r w:rsidR="001C1941">
        <w:t xml:space="preserve">treated as on-line for purposes of enabling their dispatch via SCED resulted in that capacity not being dispatched and consequently </w:t>
      </w:r>
      <w:r>
        <w:t>remain</w:t>
      </w:r>
      <w:r w:rsidR="00034119">
        <w:t>ing</w:t>
      </w:r>
      <w:r w:rsidR="00D41886">
        <w:t xml:space="preserve"> </w:t>
      </w:r>
      <w:r>
        <w:t>off-line.  These Resources were not counted in the PRC calculation monitored by ERCOT’s system operators and used to declare Conservation Alerts and EEA events</w:t>
      </w:r>
      <w:r w:rsidR="000B1C81">
        <w:t xml:space="preserve"> because no “governor response” could be provided by units which were not generating</w:t>
      </w:r>
      <w:r>
        <w:t>.  Yet, this Quick Start capacity was</w:t>
      </w:r>
      <w:r w:rsidR="001C1941">
        <w:t xml:space="preserve"> properly </w:t>
      </w:r>
      <w:r w:rsidR="008B119B">
        <w:t>included in the broader reserve calculation</w:t>
      </w:r>
      <w:r>
        <w:t xml:space="preserve"> </w:t>
      </w:r>
      <w:r w:rsidR="008B119B">
        <w:t xml:space="preserve">used to adjust market prices through the </w:t>
      </w:r>
      <w:r>
        <w:t>ORDC</w:t>
      </w:r>
      <w:r w:rsidR="008B119B">
        <w:t xml:space="preserve"> mechanism.  </w:t>
      </w:r>
    </w:p>
    <w:p w:rsidR="00310EF5" w:rsidRDefault="00310EF5" w:rsidP="00C35D54">
      <w:pPr>
        <w:jc w:val="both"/>
      </w:pPr>
    </w:p>
    <w:p w:rsidR="00E3038D" w:rsidRDefault="001C1941" w:rsidP="00C35D54">
      <w:pPr>
        <w:ind w:firstLine="720"/>
        <w:jc w:val="both"/>
      </w:pPr>
      <w:r>
        <w:t xml:space="preserve">The </w:t>
      </w:r>
      <w:r w:rsidR="00B7736C">
        <w:t>Quick Start units with the high offer prices were indeed “ready, willing, and able” to provide generation at slightly higher market prices</w:t>
      </w:r>
      <w:r w:rsidR="009D55B3">
        <w:t xml:space="preserve"> than those which were anticipated</w:t>
      </w:r>
      <w:r w:rsidR="00E3038D">
        <w:t>.</w:t>
      </w:r>
      <w:r w:rsidR="00B7736C">
        <w:t xml:space="preserve">  </w:t>
      </w:r>
      <w:r w:rsidR="00E3038D">
        <w:t>Given</w:t>
      </w:r>
      <w:r w:rsidR="00E3038D" w:rsidRPr="00E3038D">
        <w:t xml:space="preserve"> the d</w:t>
      </w:r>
      <w:r w:rsidR="00E3038D">
        <w:t>eclining</w:t>
      </w:r>
      <w:r w:rsidR="00E3038D" w:rsidRPr="00E3038D">
        <w:t xml:space="preserve"> PRC, </w:t>
      </w:r>
      <w:r w:rsidR="00E3038D">
        <w:t xml:space="preserve">the </w:t>
      </w:r>
      <w:r w:rsidR="00E3038D" w:rsidRPr="00E3038D">
        <w:t>likel</w:t>
      </w:r>
      <w:r w:rsidR="00E3038D">
        <w:t>ihood of a</w:t>
      </w:r>
      <w:r w:rsidR="00E3038D" w:rsidRPr="00E3038D">
        <w:t xml:space="preserve"> price spike and </w:t>
      </w:r>
      <w:r w:rsidR="00E3038D">
        <w:t xml:space="preserve">that </w:t>
      </w:r>
      <w:r w:rsidR="00E3038D" w:rsidRPr="00E3038D">
        <w:t xml:space="preserve">the time of day </w:t>
      </w:r>
      <w:r w:rsidR="00E3038D">
        <w:t>was</w:t>
      </w:r>
      <w:r w:rsidR="00E3038D" w:rsidRPr="00E3038D">
        <w:t xml:space="preserve"> several hours before peak, QSEs should have self-committed more of the</w:t>
      </w:r>
      <w:r w:rsidR="00717B34">
        <w:t>ir Quick Start units instead of passively relying upon dispatch by SCED</w:t>
      </w:r>
      <w:r w:rsidR="00E3038D" w:rsidRPr="00E3038D">
        <w:t xml:space="preserve">.  </w:t>
      </w:r>
      <w:r w:rsidR="00D41886">
        <w:t>In fact</w:t>
      </w:r>
      <w:r w:rsidR="00C35D54">
        <w:t>,</w:t>
      </w:r>
      <w:r w:rsidR="00D41886">
        <w:t xml:space="preserve"> some QSEs did so.</w:t>
      </w:r>
      <w:r w:rsidR="00717B34">
        <w:t xml:space="preserve">  Market reaction</w:t>
      </w:r>
      <w:r w:rsidR="00D41886">
        <w:t xml:space="preserve"> </w:t>
      </w:r>
      <w:r w:rsidR="00717B34">
        <w:t>to existing system conditions was more than sufficient to avoid the occurrence of an EEA event.</w:t>
      </w:r>
      <w:r w:rsidR="00711E9B">
        <w:t xml:space="preserve">  </w:t>
      </w:r>
    </w:p>
    <w:p w:rsidR="0024112C" w:rsidRDefault="0024112C" w:rsidP="00C35D54">
      <w:pPr>
        <w:ind w:firstLine="720"/>
        <w:jc w:val="both"/>
      </w:pPr>
    </w:p>
    <w:p w:rsidR="0024112C" w:rsidRDefault="0024112C" w:rsidP="00C35D54">
      <w:pPr>
        <w:ind w:firstLine="720"/>
        <w:jc w:val="both"/>
      </w:pPr>
      <w:r>
        <w:t>From the system operator standpoint,</w:t>
      </w:r>
      <w:r w:rsidRPr="0024112C">
        <w:t xml:space="preserve"> </w:t>
      </w:r>
      <w:r>
        <w:t xml:space="preserve">tools available to the </w:t>
      </w:r>
      <w:r w:rsidRPr="0024112C">
        <w:t>ERCOT Real Ti</w:t>
      </w:r>
      <w:r>
        <w:t>me Operators would have revealed</w:t>
      </w:r>
      <w:r w:rsidRPr="0024112C">
        <w:t xml:space="preserve"> declining PRC on the 13th, but other tools surely available to the operators would </w:t>
      </w:r>
      <w:r>
        <w:t xml:space="preserve">also </w:t>
      </w:r>
      <w:r w:rsidRPr="0024112C">
        <w:t xml:space="preserve">have shown over 1500 MW of Quick Start capacity ready to come on-line if </w:t>
      </w:r>
      <w:r w:rsidRPr="0024112C">
        <w:lastRenderedPageBreak/>
        <w:t>committed. A failure to consider this additional Resource capacity may well have been a precipitating factor in the ERCOT decision to call a Conservation Alert that likely was not necessary given the absence of a scarcity situation</w:t>
      </w:r>
      <w:r>
        <w:t>.  However, a Conservation Alert</w:t>
      </w:r>
      <w:r w:rsidRPr="0024112C">
        <w:t xml:space="preserve"> may have been the only tool </w:t>
      </w:r>
      <w:r w:rsidR="00DF2853">
        <w:t xml:space="preserve">available to ERCOT to notify </w:t>
      </w:r>
      <w:r w:rsidRPr="0024112C">
        <w:t>QSEs of the current state of the system (wake-up call)</w:t>
      </w:r>
      <w:r w:rsidR="00DF2853">
        <w:t xml:space="preserve">.  </w:t>
      </w:r>
    </w:p>
    <w:p w:rsidR="00E3038D" w:rsidRDefault="00E3038D" w:rsidP="00C35D54">
      <w:pPr>
        <w:jc w:val="both"/>
      </w:pPr>
    </w:p>
    <w:p w:rsidR="002D2DC6" w:rsidRDefault="0020343E" w:rsidP="00C35D54">
      <w:pPr>
        <w:ind w:firstLine="720"/>
        <w:jc w:val="both"/>
      </w:pPr>
      <w:r w:rsidRPr="00E3038D">
        <w:t>T</w:t>
      </w:r>
      <w:r w:rsidR="00E3038D">
        <w:t xml:space="preserve">he bottom line is that </w:t>
      </w:r>
      <w:r w:rsidR="00E45C38">
        <w:t>there was a great deal of off-line</w:t>
      </w:r>
      <w:r>
        <w:t xml:space="preserve"> generati</w:t>
      </w:r>
      <w:r w:rsidR="00E45C38">
        <w:t>on</w:t>
      </w:r>
      <w:r>
        <w:t xml:space="preserve"> </w:t>
      </w:r>
      <w:r w:rsidR="00E45C38">
        <w:t>available on the 13</w:t>
      </w:r>
      <w:r w:rsidR="00395049" w:rsidRPr="00C35D54">
        <w:rPr>
          <w:vertAlign w:val="superscript"/>
        </w:rPr>
        <w:t>th</w:t>
      </w:r>
      <w:r w:rsidR="00E45C38">
        <w:t xml:space="preserve"> that </w:t>
      </w:r>
      <w:r w:rsidR="00DF2853">
        <w:t xml:space="preserve">could have been brought </w:t>
      </w:r>
      <w:r>
        <w:t>on</w:t>
      </w:r>
      <w:r w:rsidR="00DF2853">
        <w:t>-</w:t>
      </w:r>
      <w:r>
        <w:t xml:space="preserve">line </w:t>
      </w:r>
      <w:r w:rsidR="003659E3">
        <w:t>via</w:t>
      </w:r>
      <w:r>
        <w:t xml:space="preserve"> </w:t>
      </w:r>
      <w:r w:rsidR="00E45C38">
        <w:t>self-</w:t>
      </w:r>
      <w:r w:rsidR="00D41886">
        <w:t>commitment</w:t>
      </w:r>
      <w:r w:rsidR="00DF2853">
        <w:t xml:space="preserve"> in</w:t>
      </w:r>
      <w:r>
        <w:t xml:space="preserve"> </w:t>
      </w:r>
      <w:r w:rsidR="00D41886">
        <w:t>response to the Conservation Alert</w:t>
      </w:r>
      <w:r>
        <w:t xml:space="preserve"> from ERCOT, which would have brought th</w:t>
      </w:r>
      <w:r w:rsidR="00E45C38">
        <w:t>at</w:t>
      </w:r>
      <w:r>
        <w:t xml:space="preserve"> capacity into the PRC calculation. </w:t>
      </w:r>
      <w:r w:rsidR="00E3038D">
        <w:t xml:space="preserve"> T</w:t>
      </w:r>
      <w:r w:rsidR="00E45C38">
        <w:t>he ORDC</w:t>
      </w:r>
      <w:r w:rsidR="00D41886">
        <w:t xml:space="preserve"> reserve calculations</w:t>
      </w:r>
      <w:r w:rsidR="00E45C38">
        <w:t xml:space="preserve"> properly reflected the lack of need</w:t>
      </w:r>
      <w:r w:rsidR="00CC2256">
        <w:t xml:space="preserve"> </w:t>
      </w:r>
      <w:r w:rsidR="00B7736C">
        <w:t>for scarcity pricing</w:t>
      </w:r>
      <w:r w:rsidR="00D41886">
        <w:t xml:space="preserve"> because sufficient capacity was available and the pricing mechanism in ORDC worked as designed indicating such</w:t>
      </w:r>
      <w:r w:rsidR="00B7736C">
        <w:t xml:space="preserve">. </w:t>
      </w:r>
      <w:r w:rsidR="00E45C38">
        <w:t xml:space="preserve"> </w:t>
      </w:r>
    </w:p>
    <w:p w:rsidR="00134C85" w:rsidRDefault="00134C85" w:rsidP="00C35D54">
      <w:pPr>
        <w:jc w:val="both"/>
      </w:pPr>
    </w:p>
    <w:p w:rsidR="004660F7" w:rsidRDefault="004660F7" w:rsidP="00C35D54">
      <w:pPr>
        <w:jc w:val="both"/>
        <w:rPr>
          <w:b/>
        </w:rPr>
      </w:pPr>
    </w:p>
    <w:p w:rsidR="004660F7" w:rsidRDefault="004660F7" w:rsidP="00C35D54">
      <w:pPr>
        <w:jc w:val="both"/>
        <w:rPr>
          <w:b/>
        </w:rPr>
      </w:pPr>
    </w:p>
    <w:p w:rsidR="00134C85" w:rsidRPr="001B0E6D" w:rsidRDefault="005859D0" w:rsidP="00C35D54">
      <w:pPr>
        <w:jc w:val="both"/>
        <w:rPr>
          <w:b/>
        </w:rPr>
      </w:pPr>
      <w:r>
        <w:rPr>
          <w:b/>
        </w:rPr>
        <w:t xml:space="preserve">No </w:t>
      </w:r>
      <w:r w:rsidR="0024112C">
        <w:rPr>
          <w:b/>
        </w:rPr>
        <w:t xml:space="preserve">Change in the ORDC Calculation is </w:t>
      </w:r>
      <w:r>
        <w:rPr>
          <w:b/>
        </w:rPr>
        <w:t>N</w:t>
      </w:r>
      <w:r w:rsidR="0024112C">
        <w:rPr>
          <w:b/>
        </w:rPr>
        <w:t xml:space="preserve">ecessary </w:t>
      </w:r>
    </w:p>
    <w:p w:rsidR="00134C85" w:rsidRDefault="00134C85" w:rsidP="00C35D54">
      <w:pPr>
        <w:jc w:val="both"/>
      </w:pPr>
    </w:p>
    <w:p w:rsidR="001B0E6D" w:rsidRDefault="001B0E6D" w:rsidP="00C35D54">
      <w:pPr>
        <w:ind w:firstLine="720"/>
        <w:jc w:val="both"/>
      </w:pPr>
      <w:r>
        <w:t xml:space="preserve">On August 13, 2015, </w:t>
      </w:r>
      <w:r w:rsidR="00DF2853">
        <w:t>t</w:t>
      </w:r>
      <w:r w:rsidR="00D766AA">
        <w:t xml:space="preserve">he ORDC performed </w:t>
      </w:r>
      <w:r w:rsidR="003659E3">
        <w:t>properly</w:t>
      </w:r>
      <w:r w:rsidR="00D766AA">
        <w:t>.</w:t>
      </w:r>
      <w:r w:rsidR="00DF2853">
        <w:t xml:space="preserve"> No scarcity condition existed and ORDC communicated that fact correctly.  ORDC is functioning as designed and is fulfilling its intended purpose well.  No change in the ORDC calculation is therefore necessary or warranted.</w:t>
      </w:r>
    </w:p>
    <w:p w:rsidR="001B0E6D" w:rsidRDefault="001B0E6D" w:rsidP="00C35D54">
      <w:pPr>
        <w:jc w:val="both"/>
      </w:pPr>
    </w:p>
    <w:p w:rsidR="00134C85" w:rsidRDefault="00E45C38" w:rsidP="00C35D54">
      <w:pPr>
        <w:ind w:firstLine="720"/>
        <w:jc w:val="both"/>
      </w:pPr>
      <w:r>
        <w:t>T</w:t>
      </w:r>
      <w:r w:rsidR="001B0E6D">
        <w:t>he difference between</w:t>
      </w:r>
      <w:r w:rsidR="003659E3">
        <w:t>: 1)</w:t>
      </w:r>
      <w:r w:rsidR="001B0E6D">
        <w:t xml:space="preserve"> the </w:t>
      </w:r>
      <w:r w:rsidR="001B0E6D" w:rsidRPr="001B0E6D">
        <w:t>Real-Time On-Line Reserve Capacity</w:t>
      </w:r>
      <w:r w:rsidR="001B0E6D" w:rsidRPr="0080555B">
        <w:rPr>
          <w:i/>
        </w:rPr>
        <w:t xml:space="preserve"> </w:t>
      </w:r>
      <w:r w:rsidR="001B0E6D">
        <w:t>(RTOLCAP) calculation</w:t>
      </w:r>
      <w:r w:rsidR="003659E3">
        <w:t>,</w:t>
      </w:r>
      <w:r w:rsidR="001B0E6D">
        <w:t xml:space="preserve"> used in the ORDC mechanism</w:t>
      </w:r>
      <w:r w:rsidR="003659E3">
        <w:t>,</w:t>
      </w:r>
      <w:r w:rsidR="001B0E6D">
        <w:t xml:space="preserve"> and </w:t>
      </w:r>
      <w:r w:rsidR="003659E3">
        <w:t xml:space="preserve">2) </w:t>
      </w:r>
      <w:r w:rsidR="001B0E6D">
        <w:t>the PRC calculation</w:t>
      </w:r>
      <w:r w:rsidR="003659E3">
        <w:t>,</w:t>
      </w:r>
      <w:r w:rsidR="001B0E6D">
        <w:t xml:space="preserve"> used to trigger Conservation Alerts and EEAs, </w:t>
      </w:r>
      <w:r w:rsidR="005859D0">
        <w:t xml:space="preserve">might conceivably leave a casual observer with the misimpression that </w:t>
      </w:r>
      <w:r w:rsidR="00AE4FD0">
        <w:t xml:space="preserve">in certain instances </w:t>
      </w:r>
      <w:r w:rsidR="001B0E6D">
        <w:t xml:space="preserve">inconsistent </w:t>
      </w:r>
      <w:r w:rsidR="005859D0">
        <w:t xml:space="preserve">scarcity </w:t>
      </w:r>
      <w:r w:rsidR="001B0E6D">
        <w:t xml:space="preserve">signals </w:t>
      </w:r>
      <w:r w:rsidR="005859D0">
        <w:t xml:space="preserve">are being conveyed </w:t>
      </w:r>
      <w:r w:rsidR="001B0E6D">
        <w:t>to the market</w:t>
      </w:r>
      <w:r w:rsidR="00AE4FD0">
        <w:t>.  There is, however,</w:t>
      </w:r>
      <w:r w:rsidR="005859D0">
        <w:t xml:space="preserve"> </w:t>
      </w:r>
      <w:r>
        <w:t xml:space="preserve">no </w:t>
      </w:r>
      <w:r w:rsidR="00CC2256">
        <w:t>inconsistency</w:t>
      </w:r>
      <w:r>
        <w:t xml:space="preserve"> </w:t>
      </w:r>
      <w:r w:rsidR="005859D0">
        <w:t xml:space="preserve">in the </w:t>
      </w:r>
      <w:r w:rsidR="009D3014">
        <w:t>messages being signaled,</w:t>
      </w:r>
      <w:bookmarkStart w:id="0" w:name="_GoBack"/>
      <w:bookmarkEnd w:id="0"/>
      <w:r w:rsidR="005859D0">
        <w:t xml:space="preserve"> </w:t>
      </w:r>
      <w:r w:rsidR="00AE4FD0">
        <w:t>given</w:t>
      </w:r>
      <w:r>
        <w:t xml:space="preserve"> the difference in </w:t>
      </w:r>
      <w:r w:rsidR="00AE4FD0">
        <w:t xml:space="preserve">intended </w:t>
      </w:r>
      <w:r>
        <w:t>purpose of the two mea</w:t>
      </w:r>
      <w:r w:rsidR="005859D0">
        <w:t>surements</w:t>
      </w:r>
      <w:r w:rsidR="001B0E6D">
        <w:t>.  As noted in Resmi Surendran’s presentation to TAC on October 29, 2015,</w:t>
      </w:r>
      <w:r w:rsidR="00D766AA">
        <w:rPr>
          <w:rStyle w:val="FootnoteReference"/>
        </w:rPr>
        <w:footnoteReference w:id="5"/>
      </w:r>
      <w:r w:rsidR="001B0E6D">
        <w:t xml:space="preserve"> RTOLCAP includes capacity that is considered in the PRC calculation up to 100% of the High Sustained Limits (HSL) of generating units, as well as capacity from Quick Start units.</w:t>
      </w:r>
      <w:r w:rsidR="00D028C6">
        <w:rPr>
          <w:rStyle w:val="FootnoteReference"/>
        </w:rPr>
        <w:footnoteReference w:id="6"/>
      </w:r>
      <w:r w:rsidR="001B0E6D">
        <w:t xml:space="preserve"> </w:t>
      </w:r>
      <w:r w:rsidR="00134C85">
        <w:t xml:space="preserve"> </w:t>
      </w:r>
      <w:r w:rsidR="00D766AA">
        <w:t xml:space="preserve">On August 13, 2015, these two measures of </w:t>
      </w:r>
      <w:r w:rsidR="007C3F4F">
        <w:t xml:space="preserve">system </w:t>
      </w:r>
      <w:r w:rsidR="00D766AA">
        <w:t>reliability deviated</w:t>
      </w:r>
      <w:r w:rsidR="007C3F4F">
        <w:t xml:space="preserve"> from one another</w:t>
      </w:r>
      <w:r>
        <w:t>, but the two measures were not inconsistent with each other</w:t>
      </w:r>
      <w:r w:rsidR="00F2538D">
        <w:t xml:space="preserve"> due </w:t>
      </w:r>
      <w:r w:rsidR="005859D0">
        <w:t>to the fact that on-</w:t>
      </w:r>
      <w:r w:rsidR="00F2538D">
        <w:t xml:space="preserve">line capacity </w:t>
      </w:r>
      <w:r w:rsidR="005859D0">
        <w:t>was declining</w:t>
      </w:r>
      <w:r w:rsidR="00AE4FD0">
        <w:t xml:space="preserve"> but at the same time sufficient off-</w:t>
      </w:r>
      <w:r w:rsidR="00F2538D">
        <w:t xml:space="preserve">line capacity </w:t>
      </w:r>
      <w:r w:rsidR="00AE4FD0">
        <w:t xml:space="preserve">was </w:t>
      </w:r>
      <w:r w:rsidR="00F2538D">
        <w:t xml:space="preserve">available </w:t>
      </w:r>
      <w:r w:rsidR="00AE4FD0">
        <w:t>for system use with</w:t>
      </w:r>
      <w:r w:rsidR="00F2538D">
        <w:t>in the time frame of the need</w:t>
      </w:r>
      <w:r w:rsidR="00D766AA">
        <w:t xml:space="preserve">.  </w:t>
      </w:r>
    </w:p>
    <w:p w:rsidR="000B3233" w:rsidRDefault="000B3233" w:rsidP="00C35D54">
      <w:pPr>
        <w:jc w:val="both"/>
      </w:pPr>
    </w:p>
    <w:p w:rsidR="00711E9B" w:rsidRDefault="0087698C" w:rsidP="00C35D54">
      <w:pPr>
        <w:ind w:firstLine="720"/>
        <w:jc w:val="both"/>
      </w:pPr>
      <w:r>
        <w:t>In light of the events of August 13th</w:t>
      </w:r>
      <w:r w:rsidR="00D766AA">
        <w:t xml:space="preserve">, it may be useful to review whether Conservation Alerts should be declared in situations where Quick Start generation </w:t>
      </w:r>
      <w:r w:rsidR="007C3F4F">
        <w:t xml:space="preserve">is </w:t>
      </w:r>
      <w:r w:rsidR="00D766AA">
        <w:t xml:space="preserve">readily available </w:t>
      </w:r>
      <w:r w:rsidR="007C3F4F">
        <w:t xml:space="preserve">to start yet for some reason is being held off-line and not contributing to PRC.  </w:t>
      </w:r>
      <w:r w:rsidR="00F2538D">
        <w:t>A simp</w:t>
      </w:r>
      <w:r w:rsidR="00AE4FD0">
        <w:t>le notice to the market may be</w:t>
      </w:r>
      <w:r w:rsidR="00F2538D">
        <w:t xml:space="preserve"> all that was needed</w:t>
      </w:r>
      <w:r w:rsidR="00AE4FD0">
        <w:t>, in which case ERCOT might wish to consider implementing an additional notice requirement to QSEs in that circumstance</w:t>
      </w:r>
    </w:p>
    <w:p w:rsidR="00AE4FD0" w:rsidRDefault="00AE4FD0" w:rsidP="00C35D54">
      <w:pPr>
        <w:ind w:firstLine="720"/>
        <w:jc w:val="both"/>
      </w:pPr>
    </w:p>
    <w:p w:rsidR="00711E9B" w:rsidRDefault="00711E9B" w:rsidP="00C35D54">
      <w:pPr>
        <w:ind w:firstLine="720"/>
        <w:jc w:val="both"/>
      </w:pPr>
      <w:r>
        <w:t>If a</w:t>
      </w:r>
      <w:r w:rsidR="00073A79">
        <w:t xml:space="preserve">ny </w:t>
      </w:r>
      <w:r w:rsidR="00AE4FD0">
        <w:t xml:space="preserve">significant </w:t>
      </w:r>
      <w:r w:rsidR="00073A79">
        <w:t>change is seen to be necessary or warranted</w:t>
      </w:r>
      <w:r>
        <w:t xml:space="preserve">, perhaps </w:t>
      </w:r>
      <w:r w:rsidR="00AE4FD0">
        <w:t xml:space="preserve">the </w:t>
      </w:r>
      <w:r>
        <w:t>o</w:t>
      </w:r>
      <w:r w:rsidR="00073A79">
        <w:t xml:space="preserve">ne </w:t>
      </w:r>
      <w:r w:rsidR="00AE4FD0">
        <w:t>most worth further examination</w:t>
      </w:r>
      <w:r w:rsidR="00073A79">
        <w:t xml:space="preserve"> would be the removal of</w:t>
      </w:r>
      <w:r>
        <w:t xml:space="preserve"> off-line generation fr</w:t>
      </w:r>
      <w:r w:rsidR="00073A79">
        <w:t xml:space="preserve">om SCED, which would arguably result in a closer perceived </w:t>
      </w:r>
      <w:r>
        <w:t xml:space="preserve">alignment of </w:t>
      </w:r>
      <w:r w:rsidR="0024695F">
        <w:t>calculated</w:t>
      </w:r>
      <w:r>
        <w:t xml:space="preserve"> PRC and ORDC res</w:t>
      </w:r>
      <w:r w:rsidR="00073A79">
        <w:t xml:space="preserve">erves and </w:t>
      </w:r>
      <w:r w:rsidR="0024695F">
        <w:t>the</w:t>
      </w:r>
      <w:r w:rsidR="00073A79">
        <w:t xml:space="preserve"> encourage</w:t>
      </w:r>
      <w:r w:rsidR="0024695F">
        <w:t>ment of</w:t>
      </w:r>
      <w:r w:rsidR="00073A79">
        <w:t xml:space="preserve"> </w:t>
      </w:r>
      <w:r w:rsidR="0024695F">
        <w:t>proactive</w:t>
      </w:r>
      <w:r w:rsidR="00073A79">
        <w:t xml:space="preserve"> </w:t>
      </w:r>
      <w:r w:rsidR="0024695F">
        <w:t xml:space="preserve">Quick Start </w:t>
      </w:r>
      <w:r w:rsidR="00073A79">
        <w:t xml:space="preserve">self-commitment </w:t>
      </w:r>
      <w:r w:rsidR="0024695F">
        <w:t>rather than passive reliance on SCED dispatch of off-line Quick Start units</w:t>
      </w:r>
      <w:r w:rsidR="00073A79">
        <w:t xml:space="preserve">.  </w:t>
      </w:r>
    </w:p>
    <w:sectPr w:rsidR="00711E9B" w:rsidSect="0021448A">
      <w:pgSz w:w="12240" w:h="15840"/>
      <w:pgMar w:top="1170" w:right="1440" w:bottom="135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576" w:rsidRDefault="00685576" w:rsidP="004F485D">
      <w:r>
        <w:separator/>
      </w:r>
    </w:p>
  </w:endnote>
  <w:endnote w:type="continuationSeparator" w:id="0">
    <w:p w:rsidR="00685576" w:rsidRDefault="00685576" w:rsidP="004F48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576" w:rsidRDefault="00685576" w:rsidP="004F485D">
      <w:r>
        <w:separator/>
      </w:r>
    </w:p>
  </w:footnote>
  <w:footnote w:type="continuationSeparator" w:id="0">
    <w:p w:rsidR="00685576" w:rsidRDefault="00685576" w:rsidP="004F485D">
      <w:r>
        <w:continuationSeparator/>
      </w:r>
    </w:p>
  </w:footnote>
  <w:footnote w:id="1">
    <w:p w:rsidR="004F485D" w:rsidRDefault="004F485D">
      <w:pPr>
        <w:pStyle w:val="FootnoteText"/>
      </w:pPr>
      <w:r>
        <w:rPr>
          <w:rStyle w:val="FootnoteReference"/>
        </w:rPr>
        <w:footnoteRef/>
      </w:r>
      <w:r>
        <w:t xml:space="preserve"> See ERCOT press release at:  </w:t>
      </w:r>
      <w:hyperlink r:id="rId1" w:history="1">
        <w:r w:rsidR="00CE50E0" w:rsidRPr="005A5934">
          <w:rPr>
            <w:rStyle w:val="Hyperlink"/>
          </w:rPr>
          <w:t>http://www.ercot.com/news/press_releases/show/73261</w:t>
        </w:r>
      </w:hyperlink>
      <w:r w:rsidR="00563F12">
        <w:t xml:space="preserve">; </w:t>
      </w:r>
      <w:hyperlink r:id="rId2" w:history="1">
        <w:r w:rsidR="00563F12" w:rsidRPr="009D3014">
          <w:rPr>
            <w:rStyle w:val="Hyperlink"/>
          </w:rPr>
          <w:t>http://www.ercot.com/news/pres_releases/show/73270</w:t>
        </w:r>
      </w:hyperlink>
    </w:p>
  </w:footnote>
  <w:footnote w:id="2">
    <w:p w:rsidR="004746CB" w:rsidRDefault="004746CB">
      <w:pPr>
        <w:pStyle w:val="FootnoteText"/>
      </w:pPr>
      <w:r>
        <w:rPr>
          <w:rStyle w:val="FootnoteReference"/>
        </w:rPr>
        <w:footnoteRef/>
      </w:r>
      <w:r>
        <w:t xml:space="preserve"> Based on a review of 60-day generation data disclosure reports, the amounts available from 2 p.m. to 3:15 ranged from 1,647 MW to 1,809 MW.  The amounts available later in the afternoon were lower, but always exceeded 1,000 MW.  This was calculated by summing the H</w:t>
      </w:r>
      <w:r w:rsidR="00303616">
        <w:t>S</w:t>
      </w:r>
      <w:r>
        <w:t>L values of the quick start units and then subtracting the sum of the telemetered net output of those units.</w:t>
      </w:r>
    </w:p>
  </w:footnote>
  <w:footnote w:id="3">
    <w:p w:rsidR="005F5EE6" w:rsidRDefault="005F5EE6">
      <w:pPr>
        <w:pStyle w:val="FootnoteText"/>
      </w:pPr>
      <w:r>
        <w:rPr>
          <w:rStyle w:val="FootnoteReference"/>
        </w:rPr>
        <w:footnoteRef/>
      </w:r>
      <w:r>
        <w:t xml:space="preserve"> Some Quick Start units were providing active offers to SCED and telemetering on “On” status, though they were not generating electricity.</w:t>
      </w:r>
    </w:p>
  </w:footnote>
  <w:footnote w:id="4">
    <w:p w:rsidR="008B119B" w:rsidRDefault="008B119B">
      <w:pPr>
        <w:pStyle w:val="FootnoteText"/>
      </w:pPr>
      <w:r>
        <w:rPr>
          <w:rStyle w:val="FootnoteReference"/>
        </w:rPr>
        <w:footnoteRef/>
      </w:r>
      <w:r>
        <w:t xml:space="preserve"> Some Quick Start units offered generation at much lower prices.  Generation from some of the older Quick Start units was offered at less than $50, and these units were self-committed by their QSE during this time.</w:t>
      </w:r>
    </w:p>
  </w:footnote>
  <w:footnote w:id="5">
    <w:p w:rsidR="00D766AA" w:rsidRDefault="00D766AA">
      <w:pPr>
        <w:pStyle w:val="FootnoteText"/>
      </w:pPr>
      <w:r>
        <w:rPr>
          <w:rStyle w:val="FootnoteReference"/>
        </w:rPr>
        <w:footnoteRef/>
      </w:r>
      <w:r>
        <w:t xml:space="preserve"> Resmi Surendran (ERCOT Staff), </w:t>
      </w:r>
      <w:r w:rsidRPr="00D766AA">
        <w:rPr>
          <w:i/>
        </w:rPr>
        <w:t>Review of August 13, 2015</w:t>
      </w:r>
      <w:r>
        <w:t>.  TAC, October 29, 2015.</w:t>
      </w:r>
    </w:p>
  </w:footnote>
  <w:footnote w:id="6">
    <w:p w:rsidR="00D028C6" w:rsidRDefault="00D028C6">
      <w:pPr>
        <w:pStyle w:val="FootnoteText"/>
      </w:pPr>
      <w:r>
        <w:rPr>
          <w:rStyle w:val="FootnoteReference"/>
        </w:rPr>
        <w:footnoteRef/>
      </w:r>
      <w:r>
        <w:t xml:space="preserve"> Under some circumstances, some wind generation capacity might also be included in RTOLCAP.</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C6CDF"/>
    <w:multiLevelType w:val="hybridMultilevel"/>
    <w:tmpl w:val="F25E82BC"/>
    <w:lvl w:ilvl="0" w:tplc="04090001">
      <w:start w:val="1"/>
      <w:numFmt w:val="bullet"/>
      <w:lvlText w:val=""/>
      <w:lvlJc w:val="left"/>
      <w:pPr>
        <w:ind w:left="812" w:hanging="360"/>
      </w:pPr>
      <w:rPr>
        <w:rFonts w:ascii="Symbol" w:hAnsi="Symbol"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defaultTabStop w:val="720"/>
  <w:characterSpacingControl w:val="doNotCompress"/>
  <w:footnotePr>
    <w:footnote w:id="-1"/>
    <w:footnote w:id="0"/>
  </w:footnotePr>
  <w:endnotePr>
    <w:endnote w:id="-1"/>
    <w:endnote w:id="0"/>
  </w:endnotePr>
  <w:compat/>
  <w:rsids>
    <w:rsidRoot w:val="00567954"/>
    <w:rsid w:val="000024A6"/>
    <w:rsid w:val="00005E16"/>
    <w:rsid w:val="00006BE6"/>
    <w:rsid w:val="00007D7C"/>
    <w:rsid w:val="00010004"/>
    <w:rsid w:val="00011AAA"/>
    <w:rsid w:val="00021F5C"/>
    <w:rsid w:val="000224A2"/>
    <w:rsid w:val="0002691A"/>
    <w:rsid w:val="0003278C"/>
    <w:rsid w:val="00034119"/>
    <w:rsid w:val="00034885"/>
    <w:rsid w:val="00041245"/>
    <w:rsid w:val="0004150E"/>
    <w:rsid w:val="00041D93"/>
    <w:rsid w:val="00044567"/>
    <w:rsid w:val="00044D7B"/>
    <w:rsid w:val="00046C32"/>
    <w:rsid w:val="00052D0D"/>
    <w:rsid w:val="0005343F"/>
    <w:rsid w:val="000559BD"/>
    <w:rsid w:val="00055CB8"/>
    <w:rsid w:val="0005652D"/>
    <w:rsid w:val="00062000"/>
    <w:rsid w:val="000625F8"/>
    <w:rsid w:val="000636BA"/>
    <w:rsid w:val="00064245"/>
    <w:rsid w:val="000647A2"/>
    <w:rsid w:val="000679F3"/>
    <w:rsid w:val="0007014F"/>
    <w:rsid w:val="000721AE"/>
    <w:rsid w:val="00073A79"/>
    <w:rsid w:val="00074A02"/>
    <w:rsid w:val="00077159"/>
    <w:rsid w:val="00082918"/>
    <w:rsid w:val="00084DD3"/>
    <w:rsid w:val="00086842"/>
    <w:rsid w:val="00087AA3"/>
    <w:rsid w:val="00091554"/>
    <w:rsid w:val="00095FAF"/>
    <w:rsid w:val="000A3BEB"/>
    <w:rsid w:val="000A60A0"/>
    <w:rsid w:val="000A7FC0"/>
    <w:rsid w:val="000B0265"/>
    <w:rsid w:val="000B1C81"/>
    <w:rsid w:val="000B3233"/>
    <w:rsid w:val="000B3B53"/>
    <w:rsid w:val="000C0E01"/>
    <w:rsid w:val="000C26EA"/>
    <w:rsid w:val="000C3E1A"/>
    <w:rsid w:val="000C46AC"/>
    <w:rsid w:val="000C5C07"/>
    <w:rsid w:val="000C6330"/>
    <w:rsid w:val="000D12A0"/>
    <w:rsid w:val="000D1FC3"/>
    <w:rsid w:val="000D2AAB"/>
    <w:rsid w:val="000D3068"/>
    <w:rsid w:val="000D32F1"/>
    <w:rsid w:val="000D5909"/>
    <w:rsid w:val="000D60FA"/>
    <w:rsid w:val="000D67D5"/>
    <w:rsid w:val="000E35AE"/>
    <w:rsid w:val="000E488C"/>
    <w:rsid w:val="000E634D"/>
    <w:rsid w:val="000E7216"/>
    <w:rsid w:val="000E7A44"/>
    <w:rsid w:val="000F17A1"/>
    <w:rsid w:val="000F53B7"/>
    <w:rsid w:val="000F5808"/>
    <w:rsid w:val="00102EB4"/>
    <w:rsid w:val="00107A2E"/>
    <w:rsid w:val="001168EE"/>
    <w:rsid w:val="00122AF1"/>
    <w:rsid w:val="00124B27"/>
    <w:rsid w:val="00124C81"/>
    <w:rsid w:val="00127A8E"/>
    <w:rsid w:val="00131DCB"/>
    <w:rsid w:val="00133D6D"/>
    <w:rsid w:val="00134C85"/>
    <w:rsid w:val="001445B7"/>
    <w:rsid w:val="00145AE6"/>
    <w:rsid w:val="001500C6"/>
    <w:rsid w:val="00150C2D"/>
    <w:rsid w:val="001541E4"/>
    <w:rsid w:val="001555A2"/>
    <w:rsid w:val="0015682F"/>
    <w:rsid w:val="00161E3C"/>
    <w:rsid w:val="00163D6D"/>
    <w:rsid w:val="00164A67"/>
    <w:rsid w:val="00165608"/>
    <w:rsid w:val="00165FE9"/>
    <w:rsid w:val="00166FD7"/>
    <w:rsid w:val="0017062E"/>
    <w:rsid w:val="00171129"/>
    <w:rsid w:val="00171D91"/>
    <w:rsid w:val="00172FEB"/>
    <w:rsid w:val="00175B09"/>
    <w:rsid w:val="00181FDC"/>
    <w:rsid w:val="001868C6"/>
    <w:rsid w:val="00186DEB"/>
    <w:rsid w:val="00187C35"/>
    <w:rsid w:val="00190E3D"/>
    <w:rsid w:val="001959DE"/>
    <w:rsid w:val="00197DC9"/>
    <w:rsid w:val="00197F5F"/>
    <w:rsid w:val="001A14A9"/>
    <w:rsid w:val="001A1B94"/>
    <w:rsid w:val="001A4949"/>
    <w:rsid w:val="001A5BA6"/>
    <w:rsid w:val="001B0E6D"/>
    <w:rsid w:val="001B4E62"/>
    <w:rsid w:val="001C0C0C"/>
    <w:rsid w:val="001C1941"/>
    <w:rsid w:val="001C5DD1"/>
    <w:rsid w:val="001C6398"/>
    <w:rsid w:val="001C6866"/>
    <w:rsid w:val="001C6A69"/>
    <w:rsid w:val="001C72B6"/>
    <w:rsid w:val="001C7321"/>
    <w:rsid w:val="001C7411"/>
    <w:rsid w:val="001D1055"/>
    <w:rsid w:val="001D30B0"/>
    <w:rsid w:val="001D3658"/>
    <w:rsid w:val="001D3ED0"/>
    <w:rsid w:val="001D404D"/>
    <w:rsid w:val="001D568B"/>
    <w:rsid w:val="001E09CA"/>
    <w:rsid w:val="001E177E"/>
    <w:rsid w:val="001E25B9"/>
    <w:rsid w:val="001E32BC"/>
    <w:rsid w:val="001E53E9"/>
    <w:rsid w:val="001E6A14"/>
    <w:rsid w:val="001E6A54"/>
    <w:rsid w:val="001E6D9F"/>
    <w:rsid w:val="001F0B31"/>
    <w:rsid w:val="001F0F6E"/>
    <w:rsid w:val="001F3717"/>
    <w:rsid w:val="001F375D"/>
    <w:rsid w:val="001F50BD"/>
    <w:rsid w:val="001F5AC2"/>
    <w:rsid w:val="001F5F7E"/>
    <w:rsid w:val="001F7866"/>
    <w:rsid w:val="00200355"/>
    <w:rsid w:val="002019A9"/>
    <w:rsid w:val="0020343E"/>
    <w:rsid w:val="00203C64"/>
    <w:rsid w:val="00205581"/>
    <w:rsid w:val="00212EA4"/>
    <w:rsid w:val="0021448A"/>
    <w:rsid w:val="00216D62"/>
    <w:rsid w:val="00217846"/>
    <w:rsid w:val="002244F5"/>
    <w:rsid w:val="0022536C"/>
    <w:rsid w:val="0022587A"/>
    <w:rsid w:val="00225A87"/>
    <w:rsid w:val="00225BD5"/>
    <w:rsid w:val="0023058E"/>
    <w:rsid w:val="002310A7"/>
    <w:rsid w:val="002320FC"/>
    <w:rsid w:val="002336BF"/>
    <w:rsid w:val="00237F85"/>
    <w:rsid w:val="0024112C"/>
    <w:rsid w:val="002423B8"/>
    <w:rsid w:val="002434A0"/>
    <w:rsid w:val="00243C4A"/>
    <w:rsid w:val="00245691"/>
    <w:rsid w:val="002463D7"/>
    <w:rsid w:val="0024695F"/>
    <w:rsid w:val="00255B8A"/>
    <w:rsid w:val="002608E3"/>
    <w:rsid w:val="002616FE"/>
    <w:rsid w:val="002617DF"/>
    <w:rsid w:val="002644AE"/>
    <w:rsid w:val="0026701F"/>
    <w:rsid w:val="0027230B"/>
    <w:rsid w:val="0027252E"/>
    <w:rsid w:val="00272927"/>
    <w:rsid w:val="00273984"/>
    <w:rsid w:val="0027587B"/>
    <w:rsid w:val="00275D73"/>
    <w:rsid w:val="00281DC2"/>
    <w:rsid w:val="00282035"/>
    <w:rsid w:val="002845B1"/>
    <w:rsid w:val="002913DF"/>
    <w:rsid w:val="002918CA"/>
    <w:rsid w:val="0029195F"/>
    <w:rsid w:val="002920BD"/>
    <w:rsid w:val="00293CDF"/>
    <w:rsid w:val="002958EB"/>
    <w:rsid w:val="0029793D"/>
    <w:rsid w:val="002A3D3E"/>
    <w:rsid w:val="002A49A3"/>
    <w:rsid w:val="002A5C66"/>
    <w:rsid w:val="002A7536"/>
    <w:rsid w:val="002B034D"/>
    <w:rsid w:val="002B081B"/>
    <w:rsid w:val="002B3EB1"/>
    <w:rsid w:val="002B4444"/>
    <w:rsid w:val="002B4893"/>
    <w:rsid w:val="002C1B6D"/>
    <w:rsid w:val="002C4D75"/>
    <w:rsid w:val="002C528D"/>
    <w:rsid w:val="002C79DD"/>
    <w:rsid w:val="002D0BC1"/>
    <w:rsid w:val="002D1218"/>
    <w:rsid w:val="002D2745"/>
    <w:rsid w:val="002D2B7C"/>
    <w:rsid w:val="002D2DC6"/>
    <w:rsid w:val="002D31ED"/>
    <w:rsid w:val="002D5B8A"/>
    <w:rsid w:val="002D6446"/>
    <w:rsid w:val="002E3B40"/>
    <w:rsid w:val="002E45C6"/>
    <w:rsid w:val="002E4701"/>
    <w:rsid w:val="002E647F"/>
    <w:rsid w:val="002F155A"/>
    <w:rsid w:val="002F6877"/>
    <w:rsid w:val="002F7315"/>
    <w:rsid w:val="002F7784"/>
    <w:rsid w:val="002F7C18"/>
    <w:rsid w:val="003021AF"/>
    <w:rsid w:val="00303616"/>
    <w:rsid w:val="00306E02"/>
    <w:rsid w:val="00310964"/>
    <w:rsid w:val="00310EF5"/>
    <w:rsid w:val="00314081"/>
    <w:rsid w:val="00316F85"/>
    <w:rsid w:val="003222C9"/>
    <w:rsid w:val="003226F0"/>
    <w:rsid w:val="0032310C"/>
    <w:rsid w:val="00327339"/>
    <w:rsid w:val="00330227"/>
    <w:rsid w:val="00331788"/>
    <w:rsid w:val="00335623"/>
    <w:rsid w:val="00335F77"/>
    <w:rsid w:val="0033680B"/>
    <w:rsid w:val="00337711"/>
    <w:rsid w:val="0033779A"/>
    <w:rsid w:val="003378BD"/>
    <w:rsid w:val="00337969"/>
    <w:rsid w:val="00340F9D"/>
    <w:rsid w:val="0034205B"/>
    <w:rsid w:val="003421CB"/>
    <w:rsid w:val="003442CF"/>
    <w:rsid w:val="00345A40"/>
    <w:rsid w:val="0035007F"/>
    <w:rsid w:val="003504E1"/>
    <w:rsid w:val="00351177"/>
    <w:rsid w:val="0035249A"/>
    <w:rsid w:val="003544F7"/>
    <w:rsid w:val="00355D89"/>
    <w:rsid w:val="00356194"/>
    <w:rsid w:val="0035743F"/>
    <w:rsid w:val="003578C4"/>
    <w:rsid w:val="0036049E"/>
    <w:rsid w:val="003608E2"/>
    <w:rsid w:val="00362302"/>
    <w:rsid w:val="003629D2"/>
    <w:rsid w:val="00364B76"/>
    <w:rsid w:val="00365469"/>
    <w:rsid w:val="003659E3"/>
    <w:rsid w:val="00370C26"/>
    <w:rsid w:val="00371387"/>
    <w:rsid w:val="003717D3"/>
    <w:rsid w:val="00373037"/>
    <w:rsid w:val="00373A56"/>
    <w:rsid w:val="0037634A"/>
    <w:rsid w:val="00376E1A"/>
    <w:rsid w:val="003770D0"/>
    <w:rsid w:val="0038386B"/>
    <w:rsid w:val="00383BDA"/>
    <w:rsid w:val="003844A3"/>
    <w:rsid w:val="00384EE6"/>
    <w:rsid w:val="003868D1"/>
    <w:rsid w:val="00386D4E"/>
    <w:rsid w:val="00395049"/>
    <w:rsid w:val="0039510C"/>
    <w:rsid w:val="003978BC"/>
    <w:rsid w:val="00397E73"/>
    <w:rsid w:val="003A0A1E"/>
    <w:rsid w:val="003A0E48"/>
    <w:rsid w:val="003A29AF"/>
    <w:rsid w:val="003A7D66"/>
    <w:rsid w:val="003B0729"/>
    <w:rsid w:val="003B0DF0"/>
    <w:rsid w:val="003B111F"/>
    <w:rsid w:val="003B4A73"/>
    <w:rsid w:val="003B5360"/>
    <w:rsid w:val="003B5906"/>
    <w:rsid w:val="003C4093"/>
    <w:rsid w:val="003C65C0"/>
    <w:rsid w:val="003D1E18"/>
    <w:rsid w:val="003D450A"/>
    <w:rsid w:val="003D5628"/>
    <w:rsid w:val="003D57A3"/>
    <w:rsid w:val="003D7822"/>
    <w:rsid w:val="003E41A9"/>
    <w:rsid w:val="003E7CEE"/>
    <w:rsid w:val="003F3870"/>
    <w:rsid w:val="003F3F93"/>
    <w:rsid w:val="003F5A38"/>
    <w:rsid w:val="003F7A2B"/>
    <w:rsid w:val="00400EF6"/>
    <w:rsid w:val="00401CF1"/>
    <w:rsid w:val="004024B3"/>
    <w:rsid w:val="004041F4"/>
    <w:rsid w:val="0041113C"/>
    <w:rsid w:val="0041121A"/>
    <w:rsid w:val="004117AB"/>
    <w:rsid w:val="00411D44"/>
    <w:rsid w:val="0041462B"/>
    <w:rsid w:val="004157AE"/>
    <w:rsid w:val="00421B18"/>
    <w:rsid w:val="00425297"/>
    <w:rsid w:val="004256FE"/>
    <w:rsid w:val="00425BE8"/>
    <w:rsid w:val="004267ED"/>
    <w:rsid w:val="00427072"/>
    <w:rsid w:val="00430402"/>
    <w:rsid w:val="004306A0"/>
    <w:rsid w:val="004327D8"/>
    <w:rsid w:val="00440A70"/>
    <w:rsid w:val="00443510"/>
    <w:rsid w:val="00446427"/>
    <w:rsid w:val="00446467"/>
    <w:rsid w:val="004469E0"/>
    <w:rsid w:val="00450596"/>
    <w:rsid w:val="00450A2A"/>
    <w:rsid w:val="004514EE"/>
    <w:rsid w:val="00454D82"/>
    <w:rsid w:val="00463508"/>
    <w:rsid w:val="00464A8C"/>
    <w:rsid w:val="004660F7"/>
    <w:rsid w:val="00467728"/>
    <w:rsid w:val="004707C1"/>
    <w:rsid w:val="00471412"/>
    <w:rsid w:val="00471BD5"/>
    <w:rsid w:val="004740E2"/>
    <w:rsid w:val="004746CB"/>
    <w:rsid w:val="0047522D"/>
    <w:rsid w:val="00475455"/>
    <w:rsid w:val="0047598B"/>
    <w:rsid w:val="004810E4"/>
    <w:rsid w:val="00482ED8"/>
    <w:rsid w:val="00487CDE"/>
    <w:rsid w:val="0049065D"/>
    <w:rsid w:val="00493944"/>
    <w:rsid w:val="00495097"/>
    <w:rsid w:val="00495A30"/>
    <w:rsid w:val="00496191"/>
    <w:rsid w:val="00497477"/>
    <w:rsid w:val="004A29B8"/>
    <w:rsid w:val="004A32A0"/>
    <w:rsid w:val="004A3852"/>
    <w:rsid w:val="004A3AD8"/>
    <w:rsid w:val="004A4729"/>
    <w:rsid w:val="004A71BA"/>
    <w:rsid w:val="004B00D9"/>
    <w:rsid w:val="004B05DB"/>
    <w:rsid w:val="004B20B8"/>
    <w:rsid w:val="004B44E3"/>
    <w:rsid w:val="004B6A0F"/>
    <w:rsid w:val="004B6F81"/>
    <w:rsid w:val="004C0722"/>
    <w:rsid w:val="004C1B56"/>
    <w:rsid w:val="004C3B46"/>
    <w:rsid w:val="004C47B3"/>
    <w:rsid w:val="004C63A4"/>
    <w:rsid w:val="004C7733"/>
    <w:rsid w:val="004D005E"/>
    <w:rsid w:val="004D406A"/>
    <w:rsid w:val="004D463D"/>
    <w:rsid w:val="004D548D"/>
    <w:rsid w:val="004D7120"/>
    <w:rsid w:val="004E0248"/>
    <w:rsid w:val="004E12D5"/>
    <w:rsid w:val="004E175C"/>
    <w:rsid w:val="004E567A"/>
    <w:rsid w:val="004E7859"/>
    <w:rsid w:val="004E7BD8"/>
    <w:rsid w:val="004F17A8"/>
    <w:rsid w:val="004F21B4"/>
    <w:rsid w:val="004F240D"/>
    <w:rsid w:val="004F45CB"/>
    <w:rsid w:val="004F485D"/>
    <w:rsid w:val="004F6855"/>
    <w:rsid w:val="005004E8"/>
    <w:rsid w:val="005005B6"/>
    <w:rsid w:val="00501B1B"/>
    <w:rsid w:val="00506155"/>
    <w:rsid w:val="00514001"/>
    <w:rsid w:val="00514D9C"/>
    <w:rsid w:val="00515810"/>
    <w:rsid w:val="00515D4D"/>
    <w:rsid w:val="0051761F"/>
    <w:rsid w:val="00517954"/>
    <w:rsid w:val="00517F86"/>
    <w:rsid w:val="00521900"/>
    <w:rsid w:val="005250D2"/>
    <w:rsid w:val="005273FD"/>
    <w:rsid w:val="0053146D"/>
    <w:rsid w:val="00531AC3"/>
    <w:rsid w:val="005360BD"/>
    <w:rsid w:val="0053668D"/>
    <w:rsid w:val="005417A5"/>
    <w:rsid w:val="00544A11"/>
    <w:rsid w:val="005459CC"/>
    <w:rsid w:val="0054609B"/>
    <w:rsid w:val="00546FF6"/>
    <w:rsid w:val="005476DF"/>
    <w:rsid w:val="005530A7"/>
    <w:rsid w:val="005538F4"/>
    <w:rsid w:val="0055638C"/>
    <w:rsid w:val="0056123B"/>
    <w:rsid w:val="0056210F"/>
    <w:rsid w:val="00562AAC"/>
    <w:rsid w:val="00563F12"/>
    <w:rsid w:val="00565380"/>
    <w:rsid w:val="00567954"/>
    <w:rsid w:val="0056795C"/>
    <w:rsid w:val="00571AD0"/>
    <w:rsid w:val="00573AB2"/>
    <w:rsid w:val="00574268"/>
    <w:rsid w:val="00575B55"/>
    <w:rsid w:val="00576B5C"/>
    <w:rsid w:val="0058261B"/>
    <w:rsid w:val="00582CB2"/>
    <w:rsid w:val="0058489D"/>
    <w:rsid w:val="005859D0"/>
    <w:rsid w:val="0058708E"/>
    <w:rsid w:val="005927E6"/>
    <w:rsid w:val="0059333C"/>
    <w:rsid w:val="005968F4"/>
    <w:rsid w:val="005A247C"/>
    <w:rsid w:val="005A4251"/>
    <w:rsid w:val="005A607F"/>
    <w:rsid w:val="005B0116"/>
    <w:rsid w:val="005B0D14"/>
    <w:rsid w:val="005B0DDD"/>
    <w:rsid w:val="005B1382"/>
    <w:rsid w:val="005C016E"/>
    <w:rsid w:val="005C2A95"/>
    <w:rsid w:val="005C30A1"/>
    <w:rsid w:val="005C53BB"/>
    <w:rsid w:val="005C54A4"/>
    <w:rsid w:val="005C6999"/>
    <w:rsid w:val="005C7218"/>
    <w:rsid w:val="005D05F5"/>
    <w:rsid w:val="005D3322"/>
    <w:rsid w:val="005E3B1F"/>
    <w:rsid w:val="005E4907"/>
    <w:rsid w:val="005F0005"/>
    <w:rsid w:val="005F0225"/>
    <w:rsid w:val="005F1CF9"/>
    <w:rsid w:val="005F2662"/>
    <w:rsid w:val="005F2FB3"/>
    <w:rsid w:val="005F4681"/>
    <w:rsid w:val="005F5EE6"/>
    <w:rsid w:val="0060129C"/>
    <w:rsid w:val="00601AC5"/>
    <w:rsid w:val="00604098"/>
    <w:rsid w:val="00607330"/>
    <w:rsid w:val="00610441"/>
    <w:rsid w:val="0061303B"/>
    <w:rsid w:val="006146F4"/>
    <w:rsid w:val="00620FBA"/>
    <w:rsid w:val="0062127B"/>
    <w:rsid w:val="006216DE"/>
    <w:rsid w:val="00622F29"/>
    <w:rsid w:val="00622F43"/>
    <w:rsid w:val="00632B6B"/>
    <w:rsid w:val="00634842"/>
    <w:rsid w:val="006379B5"/>
    <w:rsid w:val="00640E27"/>
    <w:rsid w:val="00642306"/>
    <w:rsid w:val="00642B71"/>
    <w:rsid w:val="006438C8"/>
    <w:rsid w:val="006452BD"/>
    <w:rsid w:val="00645361"/>
    <w:rsid w:val="00646172"/>
    <w:rsid w:val="00646A87"/>
    <w:rsid w:val="00647121"/>
    <w:rsid w:val="00647198"/>
    <w:rsid w:val="006521F4"/>
    <w:rsid w:val="006523EA"/>
    <w:rsid w:val="00655382"/>
    <w:rsid w:val="00655E54"/>
    <w:rsid w:val="00660B22"/>
    <w:rsid w:val="0066130D"/>
    <w:rsid w:val="00663A79"/>
    <w:rsid w:val="00666002"/>
    <w:rsid w:val="006665E4"/>
    <w:rsid w:val="00666F8C"/>
    <w:rsid w:val="006677B6"/>
    <w:rsid w:val="0067053C"/>
    <w:rsid w:val="006723F4"/>
    <w:rsid w:val="006755A6"/>
    <w:rsid w:val="0067730D"/>
    <w:rsid w:val="00681DFA"/>
    <w:rsid w:val="00684287"/>
    <w:rsid w:val="00685576"/>
    <w:rsid w:val="0068615C"/>
    <w:rsid w:val="00687737"/>
    <w:rsid w:val="006879AE"/>
    <w:rsid w:val="00693E9F"/>
    <w:rsid w:val="00694178"/>
    <w:rsid w:val="00696344"/>
    <w:rsid w:val="00696D77"/>
    <w:rsid w:val="006A16D1"/>
    <w:rsid w:val="006A46F4"/>
    <w:rsid w:val="006A6E9D"/>
    <w:rsid w:val="006B1177"/>
    <w:rsid w:val="006B130A"/>
    <w:rsid w:val="006B61F6"/>
    <w:rsid w:val="006B798D"/>
    <w:rsid w:val="006C0D99"/>
    <w:rsid w:val="006C2D1E"/>
    <w:rsid w:val="006C3AB4"/>
    <w:rsid w:val="006C4BBE"/>
    <w:rsid w:val="006D4990"/>
    <w:rsid w:val="006D514F"/>
    <w:rsid w:val="006D5FB8"/>
    <w:rsid w:val="006D6D36"/>
    <w:rsid w:val="006D7FE6"/>
    <w:rsid w:val="006E00D9"/>
    <w:rsid w:val="006E1057"/>
    <w:rsid w:val="006E10DD"/>
    <w:rsid w:val="006E25BF"/>
    <w:rsid w:val="006E458C"/>
    <w:rsid w:val="006E602C"/>
    <w:rsid w:val="006F4EE1"/>
    <w:rsid w:val="007037E5"/>
    <w:rsid w:val="00704570"/>
    <w:rsid w:val="00711E9B"/>
    <w:rsid w:val="00711FB9"/>
    <w:rsid w:val="00714F4D"/>
    <w:rsid w:val="007164F8"/>
    <w:rsid w:val="007177DF"/>
    <w:rsid w:val="00717B34"/>
    <w:rsid w:val="00721815"/>
    <w:rsid w:val="007250C1"/>
    <w:rsid w:val="0072627D"/>
    <w:rsid w:val="0072677B"/>
    <w:rsid w:val="007273B5"/>
    <w:rsid w:val="00730417"/>
    <w:rsid w:val="00733067"/>
    <w:rsid w:val="00733699"/>
    <w:rsid w:val="00733F20"/>
    <w:rsid w:val="00734D44"/>
    <w:rsid w:val="00735439"/>
    <w:rsid w:val="00737932"/>
    <w:rsid w:val="0074016C"/>
    <w:rsid w:val="007405BC"/>
    <w:rsid w:val="007441AA"/>
    <w:rsid w:val="00744324"/>
    <w:rsid w:val="00747779"/>
    <w:rsid w:val="00747DE0"/>
    <w:rsid w:val="00752855"/>
    <w:rsid w:val="00753E29"/>
    <w:rsid w:val="007549B0"/>
    <w:rsid w:val="00760EB6"/>
    <w:rsid w:val="00761187"/>
    <w:rsid w:val="00762DA5"/>
    <w:rsid w:val="007653F0"/>
    <w:rsid w:val="00771D27"/>
    <w:rsid w:val="0077300F"/>
    <w:rsid w:val="0077375A"/>
    <w:rsid w:val="00774805"/>
    <w:rsid w:val="0077558A"/>
    <w:rsid w:val="007761AD"/>
    <w:rsid w:val="0077769D"/>
    <w:rsid w:val="007805B2"/>
    <w:rsid w:val="00780C65"/>
    <w:rsid w:val="00780D22"/>
    <w:rsid w:val="00781F24"/>
    <w:rsid w:val="00782602"/>
    <w:rsid w:val="0078284F"/>
    <w:rsid w:val="0078354F"/>
    <w:rsid w:val="0078654A"/>
    <w:rsid w:val="00791C7E"/>
    <w:rsid w:val="00792333"/>
    <w:rsid w:val="00795693"/>
    <w:rsid w:val="007A0447"/>
    <w:rsid w:val="007A1023"/>
    <w:rsid w:val="007B06A8"/>
    <w:rsid w:val="007B23D7"/>
    <w:rsid w:val="007B4B02"/>
    <w:rsid w:val="007B6865"/>
    <w:rsid w:val="007B6879"/>
    <w:rsid w:val="007B6C4E"/>
    <w:rsid w:val="007C3638"/>
    <w:rsid w:val="007C3F4F"/>
    <w:rsid w:val="007C6DED"/>
    <w:rsid w:val="007C77C1"/>
    <w:rsid w:val="007D134E"/>
    <w:rsid w:val="007D2202"/>
    <w:rsid w:val="007D2C49"/>
    <w:rsid w:val="007D7623"/>
    <w:rsid w:val="007E1406"/>
    <w:rsid w:val="007E3B2B"/>
    <w:rsid w:val="007E4A3E"/>
    <w:rsid w:val="007E6437"/>
    <w:rsid w:val="007E7F48"/>
    <w:rsid w:val="007F1F6D"/>
    <w:rsid w:val="007F43DE"/>
    <w:rsid w:val="007F70A4"/>
    <w:rsid w:val="0080100A"/>
    <w:rsid w:val="00801B9F"/>
    <w:rsid w:val="00802C41"/>
    <w:rsid w:val="00803254"/>
    <w:rsid w:val="0081178B"/>
    <w:rsid w:val="008118D4"/>
    <w:rsid w:val="00815090"/>
    <w:rsid w:val="0081687C"/>
    <w:rsid w:val="0081717F"/>
    <w:rsid w:val="008230D1"/>
    <w:rsid w:val="00825994"/>
    <w:rsid w:val="008275D4"/>
    <w:rsid w:val="0083042E"/>
    <w:rsid w:val="00832F09"/>
    <w:rsid w:val="008331EF"/>
    <w:rsid w:val="00833976"/>
    <w:rsid w:val="008368EE"/>
    <w:rsid w:val="008409ED"/>
    <w:rsid w:val="00840A25"/>
    <w:rsid w:val="00840DDD"/>
    <w:rsid w:val="00844C64"/>
    <w:rsid w:val="00845EF5"/>
    <w:rsid w:val="0084657B"/>
    <w:rsid w:val="0084754C"/>
    <w:rsid w:val="008500BC"/>
    <w:rsid w:val="008502FD"/>
    <w:rsid w:val="00851146"/>
    <w:rsid w:val="008526C7"/>
    <w:rsid w:val="00853023"/>
    <w:rsid w:val="0085598D"/>
    <w:rsid w:val="008617CB"/>
    <w:rsid w:val="00862FCB"/>
    <w:rsid w:val="0086393D"/>
    <w:rsid w:val="00867102"/>
    <w:rsid w:val="00867E18"/>
    <w:rsid w:val="00871FD7"/>
    <w:rsid w:val="0087213B"/>
    <w:rsid w:val="0087528E"/>
    <w:rsid w:val="008754D7"/>
    <w:rsid w:val="00876405"/>
    <w:rsid w:val="0087698C"/>
    <w:rsid w:val="008773EA"/>
    <w:rsid w:val="0087745C"/>
    <w:rsid w:val="00877564"/>
    <w:rsid w:val="00877577"/>
    <w:rsid w:val="00881411"/>
    <w:rsid w:val="0088673A"/>
    <w:rsid w:val="00887C68"/>
    <w:rsid w:val="00892ADD"/>
    <w:rsid w:val="008935C0"/>
    <w:rsid w:val="00895469"/>
    <w:rsid w:val="008957C2"/>
    <w:rsid w:val="00896992"/>
    <w:rsid w:val="00896D4F"/>
    <w:rsid w:val="00897519"/>
    <w:rsid w:val="008A118A"/>
    <w:rsid w:val="008A1C98"/>
    <w:rsid w:val="008A6502"/>
    <w:rsid w:val="008A7D30"/>
    <w:rsid w:val="008B119B"/>
    <w:rsid w:val="008B29B5"/>
    <w:rsid w:val="008B532E"/>
    <w:rsid w:val="008C2B39"/>
    <w:rsid w:val="008C4763"/>
    <w:rsid w:val="008C4A03"/>
    <w:rsid w:val="008C5FF1"/>
    <w:rsid w:val="008C6E96"/>
    <w:rsid w:val="008D3A0D"/>
    <w:rsid w:val="008D4151"/>
    <w:rsid w:val="008D489E"/>
    <w:rsid w:val="008D7A03"/>
    <w:rsid w:val="008D7E1B"/>
    <w:rsid w:val="008E3248"/>
    <w:rsid w:val="008E4168"/>
    <w:rsid w:val="008E4494"/>
    <w:rsid w:val="008E5328"/>
    <w:rsid w:val="008F5C6C"/>
    <w:rsid w:val="008F6EAF"/>
    <w:rsid w:val="0090292D"/>
    <w:rsid w:val="00902D0E"/>
    <w:rsid w:val="00902D99"/>
    <w:rsid w:val="009034ED"/>
    <w:rsid w:val="0090423E"/>
    <w:rsid w:val="00905664"/>
    <w:rsid w:val="009078EF"/>
    <w:rsid w:val="00921C22"/>
    <w:rsid w:val="009224E3"/>
    <w:rsid w:val="00922C6D"/>
    <w:rsid w:val="00925ED4"/>
    <w:rsid w:val="00926770"/>
    <w:rsid w:val="00933389"/>
    <w:rsid w:val="0093350D"/>
    <w:rsid w:val="00936DD0"/>
    <w:rsid w:val="0093745D"/>
    <w:rsid w:val="00940A5A"/>
    <w:rsid w:val="0094270A"/>
    <w:rsid w:val="009441A3"/>
    <w:rsid w:val="009469CF"/>
    <w:rsid w:val="00946BEB"/>
    <w:rsid w:val="0095085D"/>
    <w:rsid w:val="00951D07"/>
    <w:rsid w:val="0095361E"/>
    <w:rsid w:val="00954125"/>
    <w:rsid w:val="009542AC"/>
    <w:rsid w:val="0095581A"/>
    <w:rsid w:val="00955E27"/>
    <w:rsid w:val="009567DF"/>
    <w:rsid w:val="009572EE"/>
    <w:rsid w:val="009621A6"/>
    <w:rsid w:val="00962ABE"/>
    <w:rsid w:val="009630F4"/>
    <w:rsid w:val="00964235"/>
    <w:rsid w:val="00964825"/>
    <w:rsid w:val="00964CB7"/>
    <w:rsid w:val="00965408"/>
    <w:rsid w:val="009713A8"/>
    <w:rsid w:val="00971CC4"/>
    <w:rsid w:val="00971EB8"/>
    <w:rsid w:val="0097391E"/>
    <w:rsid w:val="00973F24"/>
    <w:rsid w:val="00973FBF"/>
    <w:rsid w:val="0097711A"/>
    <w:rsid w:val="0098387D"/>
    <w:rsid w:val="00984276"/>
    <w:rsid w:val="00991616"/>
    <w:rsid w:val="00991842"/>
    <w:rsid w:val="00993224"/>
    <w:rsid w:val="009950DD"/>
    <w:rsid w:val="00997AA1"/>
    <w:rsid w:val="009A0BD5"/>
    <w:rsid w:val="009A32FE"/>
    <w:rsid w:val="009A5937"/>
    <w:rsid w:val="009B4863"/>
    <w:rsid w:val="009B76A8"/>
    <w:rsid w:val="009C3FD7"/>
    <w:rsid w:val="009C5148"/>
    <w:rsid w:val="009C5986"/>
    <w:rsid w:val="009D0A79"/>
    <w:rsid w:val="009D21AF"/>
    <w:rsid w:val="009D2F7B"/>
    <w:rsid w:val="009D3014"/>
    <w:rsid w:val="009D55B3"/>
    <w:rsid w:val="009D68F8"/>
    <w:rsid w:val="009E0472"/>
    <w:rsid w:val="009E122F"/>
    <w:rsid w:val="009E4A5A"/>
    <w:rsid w:val="009E5AC7"/>
    <w:rsid w:val="009E707F"/>
    <w:rsid w:val="009F08C3"/>
    <w:rsid w:val="009F7393"/>
    <w:rsid w:val="00A001AE"/>
    <w:rsid w:val="00A00EC2"/>
    <w:rsid w:val="00A02FD7"/>
    <w:rsid w:val="00A03E29"/>
    <w:rsid w:val="00A043C3"/>
    <w:rsid w:val="00A0738B"/>
    <w:rsid w:val="00A10B36"/>
    <w:rsid w:val="00A1244D"/>
    <w:rsid w:val="00A17711"/>
    <w:rsid w:val="00A209EF"/>
    <w:rsid w:val="00A20ADA"/>
    <w:rsid w:val="00A2216B"/>
    <w:rsid w:val="00A2399E"/>
    <w:rsid w:val="00A24531"/>
    <w:rsid w:val="00A326D6"/>
    <w:rsid w:val="00A336F8"/>
    <w:rsid w:val="00A346CF"/>
    <w:rsid w:val="00A34DF1"/>
    <w:rsid w:val="00A35B27"/>
    <w:rsid w:val="00A36A8B"/>
    <w:rsid w:val="00A41A1E"/>
    <w:rsid w:val="00A454A7"/>
    <w:rsid w:val="00A47944"/>
    <w:rsid w:val="00A51906"/>
    <w:rsid w:val="00A5645A"/>
    <w:rsid w:val="00A56687"/>
    <w:rsid w:val="00A57865"/>
    <w:rsid w:val="00A57926"/>
    <w:rsid w:val="00A6213C"/>
    <w:rsid w:val="00A63790"/>
    <w:rsid w:val="00A63DBA"/>
    <w:rsid w:val="00A65914"/>
    <w:rsid w:val="00A6738F"/>
    <w:rsid w:val="00A702AE"/>
    <w:rsid w:val="00A75D32"/>
    <w:rsid w:val="00A76EFF"/>
    <w:rsid w:val="00A77295"/>
    <w:rsid w:val="00A83F04"/>
    <w:rsid w:val="00A91D01"/>
    <w:rsid w:val="00A9204D"/>
    <w:rsid w:val="00A9230C"/>
    <w:rsid w:val="00A95179"/>
    <w:rsid w:val="00A9730C"/>
    <w:rsid w:val="00AA095C"/>
    <w:rsid w:val="00AA3200"/>
    <w:rsid w:val="00AB00D0"/>
    <w:rsid w:val="00AB00D1"/>
    <w:rsid w:val="00AB0946"/>
    <w:rsid w:val="00AB14A9"/>
    <w:rsid w:val="00AB5218"/>
    <w:rsid w:val="00AB75A4"/>
    <w:rsid w:val="00AB78D8"/>
    <w:rsid w:val="00AC242D"/>
    <w:rsid w:val="00AC284E"/>
    <w:rsid w:val="00AC2E34"/>
    <w:rsid w:val="00AD1960"/>
    <w:rsid w:val="00AD2468"/>
    <w:rsid w:val="00AD3AC4"/>
    <w:rsid w:val="00AD54E4"/>
    <w:rsid w:val="00AD6292"/>
    <w:rsid w:val="00AE452F"/>
    <w:rsid w:val="00AE4FD0"/>
    <w:rsid w:val="00AE646A"/>
    <w:rsid w:val="00AF1DC9"/>
    <w:rsid w:val="00AF32C6"/>
    <w:rsid w:val="00AF75E0"/>
    <w:rsid w:val="00AF7DF5"/>
    <w:rsid w:val="00B012D2"/>
    <w:rsid w:val="00B02042"/>
    <w:rsid w:val="00B0559A"/>
    <w:rsid w:val="00B1001C"/>
    <w:rsid w:val="00B106C8"/>
    <w:rsid w:val="00B121E0"/>
    <w:rsid w:val="00B145DD"/>
    <w:rsid w:val="00B15655"/>
    <w:rsid w:val="00B22443"/>
    <w:rsid w:val="00B25C56"/>
    <w:rsid w:val="00B2640E"/>
    <w:rsid w:val="00B32549"/>
    <w:rsid w:val="00B32A73"/>
    <w:rsid w:val="00B33EAF"/>
    <w:rsid w:val="00B35836"/>
    <w:rsid w:val="00B4043D"/>
    <w:rsid w:val="00B40D6A"/>
    <w:rsid w:val="00B42FA3"/>
    <w:rsid w:val="00B4350B"/>
    <w:rsid w:val="00B45BFF"/>
    <w:rsid w:val="00B46067"/>
    <w:rsid w:val="00B51023"/>
    <w:rsid w:val="00B5470C"/>
    <w:rsid w:val="00B550F4"/>
    <w:rsid w:val="00B62AFA"/>
    <w:rsid w:val="00B63FA2"/>
    <w:rsid w:val="00B6616A"/>
    <w:rsid w:val="00B75208"/>
    <w:rsid w:val="00B759D4"/>
    <w:rsid w:val="00B75F51"/>
    <w:rsid w:val="00B75F6E"/>
    <w:rsid w:val="00B7736C"/>
    <w:rsid w:val="00B777C5"/>
    <w:rsid w:val="00B80432"/>
    <w:rsid w:val="00B90411"/>
    <w:rsid w:val="00BA0AD0"/>
    <w:rsid w:val="00BA1E51"/>
    <w:rsid w:val="00BA3844"/>
    <w:rsid w:val="00BA6DE4"/>
    <w:rsid w:val="00BB00F4"/>
    <w:rsid w:val="00BB0C09"/>
    <w:rsid w:val="00BB3AA3"/>
    <w:rsid w:val="00BB4517"/>
    <w:rsid w:val="00BB50CA"/>
    <w:rsid w:val="00BC0414"/>
    <w:rsid w:val="00BC0CAD"/>
    <w:rsid w:val="00BC0EC7"/>
    <w:rsid w:val="00BC57BA"/>
    <w:rsid w:val="00BC64E8"/>
    <w:rsid w:val="00BC6E1C"/>
    <w:rsid w:val="00BD0279"/>
    <w:rsid w:val="00BD19E2"/>
    <w:rsid w:val="00BD1E57"/>
    <w:rsid w:val="00BD2299"/>
    <w:rsid w:val="00BD3718"/>
    <w:rsid w:val="00BD6E3B"/>
    <w:rsid w:val="00BD72E7"/>
    <w:rsid w:val="00BD7EE3"/>
    <w:rsid w:val="00BE0B5C"/>
    <w:rsid w:val="00BE1AE9"/>
    <w:rsid w:val="00BE4F83"/>
    <w:rsid w:val="00BE68DF"/>
    <w:rsid w:val="00BE6B4C"/>
    <w:rsid w:val="00BE6C67"/>
    <w:rsid w:val="00BF0686"/>
    <w:rsid w:val="00BF14AE"/>
    <w:rsid w:val="00BF7059"/>
    <w:rsid w:val="00C00996"/>
    <w:rsid w:val="00C028E2"/>
    <w:rsid w:val="00C05F29"/>
    <w:rsid w:val="00C06899"/>
    <w:rsid w:val="00C12036"/>
    <w:rsid w:val="00C138C3"/>
    <w:rsid w:val="00C13EF0"/>
    <w:rsid w:val="00C16BDA"/>
    <w:rsid w:val="00C20A14"/>
    <w:rsid w:val="00C215E9"/>
    <w:rsid w:val="00C24560"/>
    <w:rsid w:val="00C24F3E"/>
    <w:rsid w:val="00C25E22"/>
    <w:rsid w:val="00C27C1B"/>
    <w:rsid w:val="00C30942"/>
    <w:rsid w:val="00C3190A"/>
    <w:rsid w:val="00C31A8B"/>
    <w:rsid w:val="00C3421B"/>
    <w:rsid w:val="00C35CDC"/>
    <w:rsid w:val="00C35D54"/>
    <w:rsid w:val="00C35DD0"/>
    <w:rsid w:val="00C41E9F"/>
    <w:rsid w:val="00C44DEE"/>
    <w:rsid w:val="00C45C6C"/>
    <w:rsid w:val="00C45ED8"/>
    <w:rsid w:val="00C46B50"/>
    <w:rsid w:val="00C50BF8"/>
    <w:rsid w:val="00C5424E"/>
    <w:rsid w:val="00C55072"/>
    <w:rsid w:val="00C56B94"/>
    <w:rsid w:val="00C6230F"/>
    <w:rsid w:val="00C6254D"/>
    <w:rsid w:val="00C64463"/>
    <w:rsid w:val="00C653EF"/>
    <w:rsid w:val="00C663DB"/>
    <w:rsid w:val="00C66DCB"/>
    <w:rsid w:val="00C70575"/>
    <w:rsid w:val="00C72AF2"/>
    <w:rsid w:val="00C72CAC"/>
    <w:rsid w:val="00C735A2"/>
    <w:rsid w:val="00C74016"/>
    <w:rsid w:val="00C80E4D"/>
    <w:rsid w:val="00C810F4"/>
    <w:rsid w:val="00C82C4B"/>
    <w:rsid w:val="00C925F3"/>
    <w:rsid w:val="00C93D86"/>
    <w:rsid w:val="00C94576"/>
    <w:rsid w:val="00CA2066"/>
    <w:rsid w:val="00CA21A2"/>
    <w:rsid w:val="00CA3C3E"/>
    <w:rsid w:val="00CB1303"/>
    <w:rsid w:val="00CB1659"/>
    <w:rsid w:val="00CB3808"/>
    <w:rsid w:val="00CB3E3B"/>
    <w:rsid w:val="00CB5C16"/>
    <w:rsid w:val="00CB7114"/>
    <w:rsid w:val="00CC2256"/>
    <w:rsid w:val="00CC58F8"/>
    <w:rsid w:val="00CC7A2A"/>
    <w:rsid w:val="00CD58FE"/>
    <w:rsid w:val="00CD5948"/>
    <w:rsid w:val="00CD6499"/>
    <w:rsid w:val="00CD6D65"/>
    <w:rsid w:val="00CD6D87"/>
    <w:rsid w:val="00CE1936"/>
    <w:rsid w:val="00CE2A8B"/>
    <w:rsid w:val="00CE50E0"/>
    <w:rsid w:val="00CE5524"/>
    <w:rsid w:val="00CE7FA3"/>
    <w:rsid w:val="00CF1ABA"/>
    <w:rsid w:val="00CF48E8"/>
    <w:rsid w:val="00CF5615"/>
    <w:rsid w:val="00CF566B"/>
    <w:rsid w:val="00CF705C"/>
    <w:rsid w:val="00CF7DCC"/>
    <w:rsid w:val="00D028C6"/>
    <w:rsid w:val="00D02D1B"/>
    <w:rsid w:val="00D036EE"/>
    <w:rsid w:val="00D03EE5"/>
    <w:rsid w:val="00D111BB"/>
    <w:rsid w:val="00D17523"/>
    <w:rsid w:val="00D21093"/>
    <w:rsid w:val="00D22FD3"/>
    <w:rsid w:val="00D25A3D"/>
    <w:rsid w:val="00D26EB9"/>
    <w:rsid w:val="00D30C7A"/>
    <w:rsid w:val="00D31940"/>
    <w:rsid w:val="00D3274D"/>
    <w:rsid w:val="00D32A47"/>
    <w:rsid w:val="00D32BAB"/>
    <w:rsid w:val="00D353D5"/>
    <w:rsid w:val="00D3604C"/>
    <w:rsid w:val="00D36EA0"/>
    <w:rsid w:val="00D36F05"/>
    <w:rsid w:val="00D37F0F"/>
    <w:rsid w:val="00D40B7E"/>
    <w:rsid w:val="00D40F86"/>
    <w:rsid w:val="00D41886"/>
    <w:rsid w:val="00D44515"/>
    <w:rsid w:val="00D56B4A"/>
    <w:rsid w:val="00D606F8"/>
    <w:rsid w:val="00D712F3"/>
    <w:rsid w:val="00D74768"/>
    <w:rsid w:val="00D74C2D"/>
    <w:rsid w:val="00D766AA"/>
    <w:rsid w:val="00D80FC1"/>
    <w:rsid w:val="00D86975"/>
    <w:rsid w:val="00D9041A"/>
    <w:rsid w:val="00D90E47"/>
    <w:rsid w:val="00D91332"/>
    <w:rsid w:val="00D92B3A"/>
    <w:rsid w:val="00D940C9"/>
    <w:rsid w:val="00D94CCE"/>
    <w:rsid w:val="00D950A4"/>
    <w:rsid w:val="00D9774E"/>
    <w:rsid w:val="00D97786"/>
    <w:rsid w:val="00DA08D0"/>
    <w:rsid w:val="00DA0B0F"/>
    <w:rsid w:val="00DA0DF1"/>
    <w:rsid w:val="00DA128D"/>
    <w:rsid w:val="00DA1786"/>
    <w:rsid w:val="00DA21F0"/>
    <w:rsid w:val="00DA27C4"/>
    <w:rsid w:val="00DB04E0"/>
    <w:rsid w:val="00DB0CC8"/>
    <w:rsid w:val="00DB5AE0"/>
    <w:rsid w:val="00DB7EA6"/>
    <w:rsid w:val="00DC2CCF"/>
    <w:rsid w:val="00DC3C91"/>
    <w:rsid w:val="00DC50BF"/>
    <w:rsid w:val="00DC7B02"/>
    <w:rsid w:val="00DC7D77"/>
    <w:rsid w:val="00DD3E7C"/>
    <w:rsid w:val="00DD6847"/>
    <w:rsid w:val="00DE054A"/>
    <w:rsid w:val="00DE1A59"/>
    <w:rsid w:val="00DE3E5C"/>
    <w:rsid w:val="00DE59AF"/>
    <w:rsid w:val="00DF0BD0"/>
    <w:rsid w:val="00DF2853"/>
    <w:rsid w:val="00DF721D"/>
    <w:rsid w:val="00E0230F"/>
    <w:rsid w:val="00E02AC6"/>
    <w:rsid w:val="00E03F92"/>
    <w:rsid w:val="00E059A0"/>
    <w:rsid w:val="00E100F2"/>
    <w:rsid w:val="00E11A90"/>
    <w:rsid w:val="00E1222A"/>
    <w:rsid w:val="00E20AA2"/>
    <w:rsid w:val="00E2238D"/>
    <w:rsid w:val="00E224DC"/>
    <w:rsid w:val="00E24227"/>
    <w:rsid w:val="00E24685"/>
    <w:rsid w:val="00E25445"/>
    <w:rsid w:val="00E25CCE"/>
    <w:rsid w:val="00E26FC8"/>
    <w:rsid w:val="00E27136"/>
    <w:rsid w:val="00E2723F"/>
    <w:rsid w:val="00E27B57"/>
    <w:rsid w:val="00E27F67"/>
    <w:rsid w:val="00E3038D"/>
    <w:rsid w:val="00E35150"/>
    <w:rsid w:val="00E3531C"/>
    <w:rsid w:val="00E35AB0"/>
    <w:rsid w:val="00E3644A"/>
    <w:rsid w:val="00E37235"/>
    <w:rsid w:val="00E41287"/>
    <w:rsid w:val="00E42FC0"/>
    <w:rsid w:val="00E43B03"/>
    <w:rsid w:val="00E457C7"/>
    <w:rsid w:val="00E45C38"/>
    <w:rsid w:val="00E472BB"/>
    <w:rsid w:val="00E47375"/>
    <w:rsid w:val="00E52119"/>
    <w:rsid w:val="00E56D4F"/>
    <w:rsid w:val="00E57A1C"/>
    <w:rsid w:val="00E602B9"/>
    <w:rsid w:val="00E62FF3"/>
    <w:rsid w:val="00E6387B"/>
    <w:rsid w:val="00E675DC"/>
    <w:rsid w:val="00E70F11"/>
    <w:rsid w:val="00E7279E"/>
    <w:rsid w:val="00E72A46"/>
    <w:rsid w:val="00E75494"/>
    <w:rsid w:val="00E763B0"/>
    <w:rsid w:val="00E77207"/>
    <w:rsid w:val="00E7782C"/>
    <w:rsid w:val="00E77C7E"/>
    <w:rsid w:val="00E80D5E"/>
    <w:rsid w:val="00E816F9"/>
    <w:rsid w:val="00E83CF0"/>
    <w:rsid w:val="00E84A21"/>
    <w:rsid w:val="00E84E72"/>
    <w:rsid w:val="00E87938"/>
    <w:rsid w:val="00E90A6E"/>
    <w:rsid w:val="00E90CF5"/>
    <w:rsid w:val="00E913C2"/>
    <w:rsid w:val="00E954E0"/>
    <w:rsid w:val="00E95A15"/>
    <w:rsid w:val="00EA19C1"/>
    <w:rsid w:val="00EA250F"/>
    <w:rsid w:val="00EA630B"/>
    <w:rsid w:val="00EA79AA"/>
    <w:rsid w:val="00EB1490"/>
    <w:rsid w:val="00EB5B16"/>
    <w:rsid w:val="00EB5D0B"/>
    <w:rsid w:val="00EB62D8"/>
    <w:rsid w:val="00EB6E93"/>
    <w:rsid w:val="00EB70D7"/>
    <w:rsid w:val="00EC06E8"/>
    <w:rsid w:val="00EC1C95"/>
    <w:rsid w:val="00EC4671"/>
    <w:rsid w:val="00ED196F"/>
    <w:rsid w:val="00ED1DF1"/>
    <w:rsid w:val="00ED2E68"/>
    <w:rsid w:val="00ED378D"/>
    <w:rsid w:val="00ED73AF"/>
    <w:rsid w:val="00EE28E3"/>
    <w:rsid w:val="00EE2CB7"/>
    <w:rsid w:val="00EE36F4"/>
    <w:rsid w:val="00EE4EB8"/>
    <w:rsid w:val="00EE7ED6"/>
    <w:rsid w:val="00EF0F50"/>
    <w:rsid w:val="00EF1E8A"/>
    <w:rsid w:val="00EF2506"/>
    <w:rsid w:val="00EF2AE6"/>
    <w:rsid w:val="00EF3201"/>
    <w:rsid w:val="00EF51D6"/>
    <w:rsid w:val="00EF6703"/>
    <w:rsid w:val="00EF724F"/>
    <w:rsid w:val="00EF7352"/>
    <w:rsid w:val="00F00B05"/>
    <w:rsid w:val="00F022DB"/>
    <w:rsid w:val="00F04130"/>
    <w:rsid w:val="00F108F4"/>
    <w:rsid w:val="00F11525"/>
    <w:rsid w:val="00F115A1"/>
    <w:rsid w:val="00F157C1"/>
    <w:rsid w:val="00F24632"/>
    <w:rsid w:val="00F2466B"/>
    <w:rsid w:val="00F2538D"/>
    <w:rsid w:val="00F27532"/>
    <w:rsid w:val="00F33D34"/>
    <w:rsid w:val="00F458D0"/>
    <w:rsid w:val="00F472DE"/>
    <w:rsid w:val="00F47CDB"/>
    <w:rsid w:val="00F50211"/>
    <w:rsid w:val="00F5021E"/>
    <w:rsid w:val="00F63061"/>
    <w:rsid w:val="00F644B7"/>
    <w:rsid w:val="00F66CFB"/>
    <w:rsid w:val="00F67CBF"/>
    <w:rsid w:val="00F723F6"/>
    <w:rsid w:val="00F75E26"/>
    <w:rsid w:val="00F76C44"/>
    <w:rsid w:val="00F770CC"/>
    <w:rsid w:val="00F776F0"/>
    <w:rsid w:val="00F8147C"/>
    <w:rsid w:val="00F8278D"/>
    <w:rsid w:val="00F83356"/>
    <w:rsid w:val="00F8368E"/>
    <w:rsid w:val="00F839B5"/>
    <w:rsid w:val="00F848C2"/>
    <w:rsid w:val="00F864DF"/>
    <w:rsid w:val="00F86B17"/>
    <w:rsid w:val="00F90E25"/>
    <w:rsid w:val="00F9141F"/>
    <w:rsid w:val="00F92532"/>
    <w:rsid w:val="00FA2DF9"/>
    <w:rsid w:val="00FA4C90"/>
    <w:rsid w:val="00FA4ED1"/>
    <w:rsid w:val="00FB6CF3"/>
    <w:rsid w:val="00FB72F3"/>
    <w:rsid w:val="00FC10C7"/>
    <w:rsid w:val="00FC1B1B"/>
    <w:rsid w:val="00FC4D62"/>
    <w:rsid w:val="00FC518A"/>
    <w:rsid w:val="00FD27A6"/>
    <w:rsid w:val="00FD48D0"/>
    <w:rsid w:val="00FF0559"/>
    <w:rsid w:val="00FF2BF3"/>
    <w:rsid w:val="00FF370D"/>
    <w:rsid w:val="00FF3839"/>
    <w:rsid w:val="00FF390B"/>
    <w:rsid w:val="00FF79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04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4F485D"/>
    <w:rPr>
      <w:sz w:val="20"/>
      <w:szCs w:val="20"/>
    </w:rPr>
  </w:style>
  <w:style w:type="character" w:customStyle="1" w:styleId="FootnoteTextChar">
    <w:name w:val="Footnote Text Char"/>
    <w:basedOn w:val="DefaultParagraphFont"/>
    <w:link w:val="FootnoteText"/>
    <w:rsid w:val="004F485D"/>
  </w:style>
  <w:style w:type="character" w:styleId="FootnoteReference">
    <w:name w:val="footnote reference"/>
    <w:basedOn w:val="DefaultParagraphFont"/>
    <w:rsid w:val="004F485D"/>
    <w:rPr>
      <w:vertAlign w:val="superscript"/>
    </w:rPr>
  </w:style>
  <w:style w:type="character" w:styleId="Hyperlink">
    <w:name w:val="Hyperlink"/>
    <w:basedOn w:val="DefaultParagraphFont"/>
    <w:rsid w:val="00CE50E0"/>
    <w:rPr>
      <w:color w:val="0000FF" w:themeColor="hyperlink"/>
      <w:u w:val="single"/>
    </w:rPr>
  </w:style>
  <w:style w:type="character" w:styleId="FollowedHyperlink">
    <w:name w:val="FollowedHyperlink"/>
    <w:basedOn w:val="DefaultParagraphFont"/>
    <w:rsid w:val="00CE50E0"/>
    <w:rPr>
      <w:color w:val="800080" w:themeColor="followedHyperlink"/>
      <w:u w:val="single"/>
    </w:rPr>
  </w:style>
  <w:style w:type="paragraph" w:styleId="ListParagraph">
    <w:name w:val="List Paragraph"/>
    <w:basedOn w:val="Normal"/>
    <w:uiPriority w:val="34"/>
    <w:qFormat/>
    <w:rsid w:val="00310EF5"/>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semiHidden/>
    <w:unhideWhenUsed/>
    <w:rsid w:val="00862FCB"/>
    <w:rPr>
      <w:rFonts w:ascii="Segoe UI" w:hAnsi="Segoe UI" w:cs="Segoe UI"/>
      <w:sz w:val="18"/>
      <w:szCs w:val="18"/>
    </w:rPr>
  </w:style>
  <w:style w:type="character" w:customStyle="1" w:styleId="BalloonTextChar">
    <w:name w:val="Balloon Text Char"/>
    <w:basedOn w:val="DefaultParagraphFont"/>
    <w:link w:val="BalloonText"/>
    <w:semiHidden/>
    <w:rsid w:val="00862FC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ercot.com/news/pres_releases/show/73270" TargetMode="External"/><Relationship Id="rId1" Type="http://schemas.openxmlformats.org/officeDocument/2006/relationships/hyperlink" Target="http://www.ercot.com/news/press_releases/show/732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1768A-40D9-447E-A547-4F863E1F4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1363</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 Zarnikau</dc:creator>
  <cp:lastModifiedBy>Floyd Trefny1</cp:lastModifiedBy>
  <cp:revision>3</cp:revision>
  <cp:lastPrinted>2015-12-22T14:48:00Z</cp:lastPrinted>
  <dcterms:created xsi:type="dcterms:W3CDTF">2015-12-30T17:46:00Z</dcterms:created>
  <dcterms:modified xsi:type="dcterms:W3CDTF">2015-12-30T17:47:00Z</dcterms:modified>
</cp:coreProperties>
</file>