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8D5F8" w14:textId="77777777" w:rsidR="006B58DE" w:rsidRPr="00AB6943" w:rsidRDefault="00E226B6" w:rsidP="00504092">
      <w:pPr>
        <w:ind w:left="288"/>
        <w:rPr>
          <w:b/>
          <w:sz w:val="28"/>
          <w:szCs w:val="28"/>
          <w:u w:val="single"/>
        </w:rPr>
      </w:pPr>
      <w:r w:rsidRPr="00AB6943">
        <w:rPr>
          <w:b/>
          <w:sz w:val="28"/>
          <w:szCs w:val="28"/>
          <w:u w:val="single"/>
        </w:rPr>
        <w:t xml:space="preserve">Lubbock Power &amp; Light </w:t>
      </w:r>
      <w:r w:rsidR="00252FDD">
        <w:rPr>
          <w:b/>
          <w:sz w:val="28"/>
          <w:szCs w:val="28"/>
          <w:u w:val="single"/>
        </w:rPr>
        <w:t xml:space="preserve">(LP&amp;L) </w:t>
      </w:r>
      <w:r w:rsidRPr="00AB6943">
        <w:rPr>
          <w:b/>
          <w:sz w:val="28"/>
          <w:szCs w:val="28"/>
          <w:u w:val="single"/>
        </w:rPr>
        <w:t>Load Integration Study</w:t>
      </w:r>
      <w:r w:rsidR="00252FDD">
        <w:rPr>
          <w:b/>
          <w:sz w:val="28"/>
          <w:szCs w:val="28"/>
          <w:u w:val="single"/>
        </w:rPr>
        <w:t xml:space="preserve"> – Scope Document</w:t>
      </w:r>
    </w:p>
    <w:p w14:paraId="53456382" w14:textId="77777777" w:rsidR="000C078E" w:rsidRPr="00E03037" w:rsidRDefault="00013BDC" w:rsidP="00E03037">
      <w:pPr>
        <w:ind w:left="360"/>
        <w:jc w:val="both"/>
        <w:rPr>
          <w:b/>
        </w:rPr>
      </w:pPr>
      <w:r w:rsidRPr="00E03037">
        <w:rPr>
          <w:b/>
        </w:rPr>
        <w:t>Introduction</w:t>
      </w:r>
    </w:p>
    <w:p w14:paraId="280758F4" w14:textId="77777777" w:rsidR="00E03037" w:rsidRDefault="00013BDC" w:rsidP="00504092">
      <w:pPr>
        <w:ind w:left="360"/>
      </w:pPr>
      <w:r>
        <w:t>Lubbock Power &amp; Light (LP&amp;L) is contemplating connecting to the ERCOT Grid as early as 2019 (</w:t>
      </w:r>
      <w:hyperlink r:id="rId6" w:history="1">
        <w:r w:rsidRPr="000A6CB7">
          <w:rPr>
            <w:rStyle w:val="Hyperlink"/>
          </w:rPr>
          <w:t>http://www.lpandl.com/energy-services/2019/</w:t>
        </w:r>
      </w:hyperlink>
      <w:r w:rsidR="000A6CB7">
        <w:t xml:space="preserve"> </w:t>
      </w:r>
      <w:r>
        <w:t>).  The PUCT</w:t>
      </w:r>
      <w:r w:rsidR="000A6CB7">
        <w:t xml:space="preserve"> has instructed ERCOT to study the impact of integrating LP&amp;L into the ERCOT Grid.</w:t>
      </w:r>
    </w:p>
    <w:p w14:paraId="3CEC639B" w14:textId="77777777" w:rsidR="00504092" w:rsidRPr="00504092" w:rsidRDefault="00504092" w:rsidP="00504092">
      <w:pPr>
        <w:ind w:left="360"/>
      </w:pPr>
    </w:p>
    <w:p w14:paraId="53B5F86A" w14:textId="77777777" w:rsidR="00013BDC" w:rsidRPr="00E03037" w:rsidRDefault="000A6CB7" w:rsidP="00504092">
      <w:pPr>
        <w:ind w:left="360"/>
        <w:jc w:val="both"/>
        <w:rPr>
          <w:b/>
        </w:rPr>
      </w:pPr>
      <w:r w:rsidRPr="00E03037">
        <w:rPr>
          <w:b/>
        </w:rPr>
        <w:t>Objective</w:t>
      </w:r>
    </w:p>
    <w:p w14:paraId="0707E2D0" w14:textId="5F682C73" w:rsidR="000A6CB7" w:rsidRDefault="00E86F22" w:rsidP="00E03037">
      <w:pPr>
        <w:ind w:left="360"/>
        <w:jc w:val="both"/>
      </w:pPr>
      <w:r>
        <w:t xml:space="preserve">The </w:t>
      </w:r>
      <w:r w:rsidR="000A6CB7">
        <w:t>objective of this LP&amp;L load integration study is to identify transmission facilities that will be require</w:t>
      </w:r>
      <w:r w:rsidR="00CB566D">
        <w:t>d</w:t>
      </w:r>
      <w:r w:rsidR="000A6CB7">
        <w:t xml:space="preserve"> to integrate the LP&amp;L load and transmission network into the ERCOT Grid </w:t>
      </w:r>
      <w:r w:rsidR="00510530">
        <w:t>and</w:t>
      </w:r>
      <w:r w:rsidR="000A6CB7">
        <w:t xml:space="preserve"> satisfy</w:t>
      </w:r>
      <w:r w:rsidR="00510530">
        <w:t xml:space="preserve"> </w:t>
      </w:r>
      <w:r w:rsidR="000A6CB7">
        <w:t>ERCOT and NERC Transmission Planning reliability standards</w:t>
      </w:r>
      <w:r w:rsidR="00E96E63">
        <w:t xml:space="preserve"> in the most efficient way possible</w:t>
      </w:r>
      <w:r w:rsidR="000A6CB7">
        <w:t xml:space="preserve">.  </w:t>
      </w:r>
    </w:p>
    <w:p w14:paraId="5494F30B" w14:textId="77777777" w:rsidR="000970BD" w:rsidRDefault="000970BD" w:rsidP="009037A0">
      <w:pPr>
        <w:pStyle w:val="ListParagraph"/>
        <w:rPr>
          <w:b/>
        </w:rPr>
      </w:pPr>
    </w:p>
    <w:p w14:paraId="713CD0A6" w14:textId="77777777" w:rsidR="00CB566D" w:rsidRPr="00E03037" w:rsidRDefault="00CB566D" w:rsidP="00E03037">
      <w:pPr>
        <w:ind w:left="360"/>
        <w:jc w:val="both"/>
        <w:rPr>
          <w:b/>
        </w:rPr>
      </w:pPr>
      <w:r w:rsidRPr="00E03037">
        <w:rPr>
          <w:b/>
        </w:rPr>
        <w:t>Assumptions</w:t>
      </w:r>
    </w:p>
    <w:p w14:paraId="451D6079" w14:textId="77777777" w:rsidR="00510530" w:rsidRPr="00510530" w:rsidRDefault="00510530" w:rsidP="00E03037">
      <w:pPr>
        <w:pStyle w:val="ListParagraph"/>
        <w:numPr>
          <w:ilvl w:val="1"/>
          <w:numId w:val="1"/>
        </w:numPr>
        <w:ind w:left="1080"/>
        <w:jc w:val="both"/>
        <w:rPr>
          <w:b/>
        </w:rPr>
      </w:pPr>
      <w:r>
        <w:t xml:space="preserve">LP&amp;L will be connected to the ERCOT Grid by Summer </w:t>
      </w:r>
      <w:r w:rsidR="00E96E63">
        <w:t>2021 (consistent with the LP&amp;L study)</w:t>
      </w:r>
    </w:p>
    <w:p w14:paraId="130AD8A7" w14:textId="77777777" w:rsidR="00B51340" w:rsidRPr="00427F59" w:rsidRDefault="00510530" w:rsidP="00E03037">
      <w:pPr>
        <w:pStyle w:val="ListParagraph"/>
        <w:numPr>
          <w:ilvl w:val="1"/>
          <w:numId w:val="1"/>
        </w:numPr>
        <w:ind w:left="1080"/>
        <w:jc w:val="both"/>
        <w:rPr>
          <w:b/>
        </w:rPr>
      </w:pPr>
      <w:r>
        <w:t xml:space="preserve">Expected </w:t>
      </w:r>
      <w:r w:rsidR="00E96E63">
        <w:t xml:space="preserve">2021 </w:t>
      </w:r>
      <w:r>
        <w:t xml:space="preserve">Summer Peak conditions represent worst-case </w:t>
      </w:r>
      <w:r w:rsidR="00110E71">
        <w:t xml:space="preserve">steady-state </w:t>
      </w:r>
      <w:r>
        <w:t>conditions</w:t>
      </w:r>
      <w:r w:rsidR="00F12A28">
        <w:t xml:space="preserve"> for the year of initial interconnection</w:t>
      </w:r>
      <w:r w:rsidR="00A43FDE">
        <w:t xml:space="preserve"> but </w:t>
      </w:r>
      <w:r w:rsidR="00B51340">
        <w:t xml:space="preserve">should also </w:t>
      </w:r>
      <w:r w:rsidR="00A43FDE">
        <w:t>be tested for high and zero wind scenario</w:t>
      </w:r>
      <w:r w:rsidR="00B51340">
        <w:t>s</w:t>
      </w:r>
    </w:p>
    <w:p w14:paraId="22263837" w14:textId="77777777" w:rsidR="00510530" w:rsidRPr="00110E71" w:rsidRDefault="00A43FDE" w:rsidP="00E03037">
      <w:pPr>
        <w:pStyle w:val="ListParagraph"/>
        <w:numPr>
          <w:ilvl w:val="1"/>
          <w:numId w:val="1"/>
        </w:numPr>
        <w:ind w:left="1080"/>
        <w:jc w:val="both"/>
        <w:rPr>
          <w:b/>
        </w:rPr>
      </w:pPr>
      <w:r>
        <w:t xml:space="preserve">The </w:t>
      </w:r>
      <w:r w:rsidR="00110E71">
        <w:t xml:space="preserve">Study </w:t>
      </w:r>
      <w:r>
        <w:t xml:space="preserve">Region will </w:t>
      </w:r>
      <w:r w:rsidR="00110E71">
        <w:t xml:space="preserve">include </w:t>
      </w:r>
      <w:r>
        <w:t xml:space="preserve">LP&amp;L, Panhandle, </w:t>
      </w:r>
      <w:r w:rsidR="00110E71">
        <w:t>West</w:t>
      </w:r>
      <w:r>
        <w:t>,</w:t>
      </w:r>
      <w:r w:rsidR="00110E71">
        <w:t xml:space="preserve"> Far-West </w:t>
      </w:r>
      <w:r>
        <w:t xml:space="preserve">and North </w:t>
      </w:r>
      <w:r w:rsidR="00110E71">
        <w:t xml:space="preserve"> Zones</w:t>
      </w:r>
      <w:r w:rsidR="00D36987">
        <w:t xml:space="preserve"> </w:t>
      </w:r>
    </w:p>
    <w:p w14:paraId="5FB9BE11" w14:textId="77777777" w:rsidR="0045741A" w:rsidRDefault="0045741A" w:rsidP="0045741A">
      <w:pPr>
        <w:pStyle w:val="ListParagraph"/>
        <w:jc w:val="both"/>
        <w:rPr>
          <w:b/>
        </w:rPr>
      </w:pPr>
    </w:p>
    <w:p w14:paraId="73BD7EBE" w14:textId="77777777" w:rsidR="000E5032" w:rsidRPr="00E03037" w:rsidRDefault="000A6CB7" w:rsidP="00E03037">
      <w:pPr>
        <w:ind w:left="360"/>
        <w:jc w:val="both"/>
        <w:rPr>
          <w:b/>
        </w:rPr>
      </w:pPr>
      <w:r w:rsidRPr="00E03037">
        <w:rPr>
          <w:b/>
        </w:rPr>
        <w:t>Study Case</w:t>
      </w:r>
    </w:p>
    <w:p w14:paraId="47B446CB" w14:textId="77777777" w:rsidR="000E5032" w:rsidRDefault="00FC0B49" w:rsidP="00E03037">
      <w:pPr>
        <w:ind w:left="360"/>
        <w:jc w:val="both"/>
      </w:pPr>
      <w:r>
        <w:t xml:space="preserve">Steady-State </w:t>
      </w:r>
      <w:r w:rsidR="000E5032">
        <w:t xml:space="preserve">Basecase will be constructed from: </w:t>
      </w:r>
      <w:r w:rsidR="005E10A1" w:rsidRPr="005E10A1">
        <w:t>15RTP_2021_SUM1_WFW_07172015</w:t>
      </w:r>
    </w:p>
    <w:p w14:paraId="6A0CB8AE" w14:textId="77777777" w:rsidR="000E5032" w:rsidRDefault="000E5032" w:rsidP="00E03037">
      <w:pPr>
        <w:pStyle w:val="ListParagraph"/>
        <w:numPr>
          <w:ilvl w:val="0"/>
          <w:numId w:val="25"/>
        </w:numPr>
        <w:jc w:val="both"/>
      </w:pPr>
      <w:r>
        <w:t xml:space="preserve">Transmission projects expected to be in-service within the </w:t>
      </w:r>
      <w:r w:rsidR="00A43FDE">
        <w:t xml:space="preserve">Study Region </w:t>
      </w:r>
      <w:r>
        <w:t xml:space="preserve">by </w:t>
      </w:r>
      <w:r w:rsidR="00E96E63">
        <w:t xml:space="preserve">2021 </w:t>
      </w:r>
      <w:r>
        <w:t>will be added to the case</w:t>
      </w:r>
    </w:p>
    <w:p w14:paraId="0515CA60" w14:textId="77777777" w:rsidR="000E5032" w:rsidRDefault="00E96E63" w:rsidP="00E03037">
      <w:pPr>
        <w:pStyle w:val="ListParagraph"/>
        <w:numPr>
          <w:ilvl w:val="0"/>
          <w:numId w:val="25"/>
        </w:numPr>
        <w:jc w:val="both"/>
      </w:pPr>
      <w:r>
        <w:t>North weather zone</w:t>
      </w:r>
      <w:r w:rsidR="000E5032">
        <w:t xml:space="preserve"> loads will be scaled up to </w:t>
      </w:r>
      <w:r>
        <w:t>the higher of the SSWG or ERCOT 90</w:t>
      </w:r>
      <w:r w:rsidRPr="000D000E">
        <w:rPr>
          <w:vertAlign w:val="superscript"/>
        </w:rPr>
        <w:t>th</w:t>
      </w:r>
      <w:r>
        <w:t xml:space="preserve"> percentile forecast per the 2015 RTP scope</w:t>
      </w:r>
    </w:p>
    <w:p w14:paraId="30016C37" w14:textId="14C3C60D" w:rsidR="000E5032" w:rsidRDefault="000E5032" w:rsidP="00E03037">
      <w:pPr>
        <w:pStyle w:val="ListParagraph"/>
        <w:numPr>
          <w:ilvl w:val="0"/>
          <w:numId w:val="25"/>
        </w:numPr>
        <w:jc w:val="both"/>
      </w:pPr>
      <w:r>
        <w:t xml:space="preserve">Generator additions that meet </w:t>
      </w:r>
      <w:r w:rsidR="00E96E63">
        <w:t xml:space="preserve">Planning Guide </w:t>
      </w:r>
      <w:r>
        <w:t>Section 6.9 criteria at the time of the study will be added to the case</w:t>
      </w:r>
    </w:p>
    <w:p w14:paraId="41A13B51" w14:textId="77777777" w:rsidR="00E96E63" w:rsidRDefault="000E5032" w:rsidP="00E03037">
      <w:pPr>
        <w:pStyle w:val="ListParagraph"/>
        <w:numPr>
          <w:ilvl w:val="0"/>
          <w:numId w:val="25"/>
        </w:numPr>
        <w:jc w:val="both"/>
      </w:pPr>
      <w:r>
        <w:t xml:space="preserve">Load outside of </w:t>
      </w:r>
      <w:r w:rsidR="00A43FDE">
        <w:t>Study Region</w:t>
      </w:r>
      <w:r>
        <w:t xml:space="preserve"> will be scaled </w:t>
      </w:r>
      <w:r w:rsidR="00E96E63">
        <w:t xml:space="preserve">down as necessary </w:t>
      </w:r>
      <w:r>
        <w:t>to balance</w:t>
      </w:r>
      <w:r w:rsidR="00E96E63">
        <w:t xml:space="preserve"> any</w:t>
      </w:r>
      <w:r>
        <w:t xml:space="preserve"> load-generator imbalance</w:t>
      </w:r>
      <w:r w:rsidR="00E96E63">
        <w:t xml:space="preserve"> </w:t>
      </w:r>
    </w:p>
    <w:p w14:paraId="616D7B40" w14:textId="77777777" w:rsidR="00427F59" w:rsidRDefault="00427F59" w:rsidP="00E03037">
      <w:pPr>
        <w:pStyle w:val="ListParagraph"/>
        <w:ind w:left="1440"/>
        <w:jc w:val="both"/>
      </w:pPr>
    </w:p>
    <w:p w14:paraId="401E2483" w14:textId="77777777" w:rsidR="00E96E63" w:rsidRDefault="00E96E63" w:rsidP="00E03037">
      <w:pPr>
        <w:pStyle w:val="ListParagraph"/>
        <w:ind w:left="360"/>
        <w:jc w:val="both"/>
      </w:pPr>
      <w:r>
        <w:t xml:space="preserve">The final 2020 UPLAN model from the 2015 RTP will be used for the economic analysis.  </w:t>
      </w:r>
    </w:p>
    <w:p w14:paraId="5F6B7C65" w14:textId="6E0C9884" w:rsidR="00FC0B49" w:rsidRDefault="00FC0B49" w:rsidP="00E03037">
      <w:pPr>
        <w:ind w:left="360"/>
      </w:pPr>
      <w:r>
        <w:t>Dynamic study basecase will be constructed from the most recent approved DWG 2021 Summer Peak case prepared by DWG in May, 2015</w:t>
      </w:r>
      <w:r w:rsidR="00476C38">
        <w:t xml:space="preserve"> and DWG 2018 High Wind Low Load case prepared by DWG in September, 2015</w:t>
      </w:r>
      <w:r>
        <w:t>.</w:t>
      </w:r>
      <w:bookmarkStart w:id="0" w:name="_GoBack"/>
      <w:bookmarkEnd w:id="0"/>
    </w:p>
    <w:p w14:paraId="3990217B" w14:textId="77777777" w:rsidR="00E03037" w:rsidRDefault="00FC0B49" w:rsidP="00E6758D">
      <w:pPr>
        <w:pStyle w:val="ListParagraph"/>
        <w:numPr>
          <w:ilvl w:val="0"/>
          <w:numId w:val="26"/>
        </w:numPr>
        <w:jc w:val="both"/>
      </w:pPr>
      <w:r>
        <w:t>Transmission projects expected to be in-service within the</w:t>
      </w:r>
      <w:r w:rsidR="007F06F6">
        <w:t xml:space="preserve"> </w:t>
      </w:r>
      <w:r w:rsidR="00A921CC">
        <w:t>Study Region</w:t>
      </w:r>
      <w:r>
        <w:t xml:space="preserve"> by</w:t>
      </w:r>
      <w:r w:rsidR="00E03037">
        <w:t xml:space="preserve"> 2021 will be added to the case</w:t>
      </w:r>
    </w:p>
    <w:p w14:paraId="69615003" w14:textId="77777777" w:rsidR="00FC0B49" w:rsidRDefault="00FC0B49" w:rsidP="00E6758D">
      <w:pPr>
        <w:pStyle w:val="ListParagraph"/>
        <w:numPr>
          <w:ilvl w:val="0"/>
          <w:numId w:val="26"/>
        </w:numPr>
        <w:jc w:val="both"/>
      </w:pPr>
      <w:r>
        <w:lastRenderedPageBreak/>
        <w:t>Generators additions that meet Section 6.9 criteria at the time of the study with proposed interconnection points within the</w:t>
      </w:r>
      <w:r w:rsidR="00E86F22">
        <w:t xml:space="preserve"> Panhandle or</w:t>
      </w:r>
      <w:r>
        <w:t xml:space="preserve"> West or Far-West Zones will be added to the case.</w:t>
      </w:r>
    </w:p>
    <w:p w14:paraId="5547653F" w14:textId="77777777" w:rsidR="000E5032" w:rsidRDefault="000E5032" w:rsidP="00042223">
      <w:pPr>
        <w:pStyle w:val="ListParagraph"/>
        <w:ind w:left="1080"/>
        <w:jc w:val="both"/>
      </w:pPr>
    </w:p>
    <w:p w14:paraId="2F03F9C7" w14:textId="77777777" w:rsidR="00B229D9" w:rsidRPr="00E03037" w:rsidRDefault="00B229D9" w:rsidP="00504092">
      <w:pPr>
        <w:ind w:left="360"/>
        <w:rPr>
          <w:b/>
        </w:rPr>
      </w:pPr>
      <w:r w:rsidRPr="00E03037">
        <w:rPr>
          <w:b/>
        </w:rPr>
        <w:t>Data Requirement</w:t>
      </w:r>
    </w:p>
    <w:p w14:paraId="4692239B" w14:textId="77777777" w:rsidR="000E5032" w:rsidRDefault="000E5032" w:rsidP="00E03037">
      <w:pPr>
        <w:ind w:left="360"/>
        <w:jc w:val="both"/>
      </w:pPr>
      <w:r>
        <w:t>ERCOT</w:t>
      </w:r>
      <w:r w:rsidR="00B229D9">
        <w:t xml:space="preserve"> would request the following data from LP&amp;L</w:t>
      </w:r>
      <w:r>
        <w:t>:</w:t>
      </w:r>
    </w:p>
    <w:p w14:paraId="6F6CC2C1" w14:textId="77777777" w:rsidR="000E5032" w:rsidRPr="000D000E" w:rsidRDefault="000E5032" w:rsidP="00E03037">
      <w:pPr>
        <w:pStyle w:val="ListParagraph"/>
        <w:numPr>
          <w:ilvl w:val="0"/>
          <w:numId w:val="27"/>
        </w:numPr>
      </w:pPr>
      <w:r w:rsidRPr="000D000E">
        <w:t>Detailed Load Flow model</w:t>
      </w:r>
      <w:r w:rsidR="001B63ED" w:rsidRPr="000D000E">
        <w:t>s</w:t>
      </w:r>
      <w:r w:rsidRPr="000D000E">
        <w:t xml:space="preserve"> of LP&amp;L transmission system representing </w:t>
      </w:r>
      <w:r w:rsidR="00E96E63" w:rsidRPr="000D000E">
        <w:t xml:space="preserve">2021 </w:t>
      </w:r>
      <w:r w:rsidRPr="000D000E">
        <w:t>Sumer Peak</w:t>
      </w:r>
      <w:r w:rsidR="00B229D9" w:rsidRPr="000D000E">
        <w:t xml:space="preserve"> and Minimum load</w:t>
      </w:r>
      <w:r w:rsidRPr="000D000E">
        <w:t xml:space="preserve"> Conditions  </w:t>
      </w:r>
    </w:p>
    <w:p w14:paraId="3A7850F6" w14:textId="77777777" w:rsidR="000E5032" w:rsidRDefault="000E5032" w:rsidP="00E03037">
      <w:pPr>
        <w:pStyle w:val="ListParagraph"/>
        <w:numPr>
          <w:ilvl w:val="0"/>
          <w:numId w:val="27"/>
        </w:numPr>
      </w:pPr>
      <w:r>
        <w:t>LP&amp;L substation names and bus numbers for desired LP&amp;L disconnect points with the Eastern Interconnection</w:t>
      </w:r>
    </w:p>
    <w:p w14:paraId="34C6C81B" w14:textId="77777777" w:rsidR="00AD3EA4" w:rsidRDefault="00BF4B38" w:rsidP="00E03037">
      <w:pPr>
        <w:pStyle w:val="ListParagraph"/>
        <w:numPr>
          <w:ilvl w:val="0"/>
          <w:numId w:val="27"/>
        </w:numPr>
      </w:pPr>
      <w:r>
        <w:t>At a minimum the LP&amp;L grid represented in the EI cases from LP&amp;L should be consistent with the following ERCOT SSWG Procedural Manual (</w:t>
      </w:r>
      <w:hyperlink r:id="rId7" w:history="1">
        <w:r w:rsidRPr="000D2275">
          <w:rPr>
            <w:rStyle w:val="Hyperlink"/>
          </w:rPr>
          <w:t>http://www.ercot.com/content/committees/board/tac/ros/sswg/keydocs/2014/SSWG_Procedure_Manual.ROS_Approved_October_30_2014.doc</w:t>
        </w:r>
      </w:hyperlink>
      <w:r>
        <w:t xml:space="preserve"> ):</w:t>
      </w:r>
    </w:p>
    <w:p w14:paraId="48F78C60" w14:textId="77777777" w:rsidR="00C15113" w:rsidRDefault="00C15113" w:rsidP="008B4E27">
      <w:pPr>
        <w:pStyle w:val="ListParagraph"/>
        <w:numPr>
          <w:ilvl w:val="2"/>
          <w:numId w:val="29"/>
        </w:numPr>
        <w:ind w:left="1800"/>
      </w:pPr>
      <w:r>
        <w:t>Bus numbering should not conflict with Appendix A</w:t>
      </w:r>
    </w:p>
    <w:p w14:paraId="5BD10D2C" w14:textId="77777777" w:rsidR="00C15113" w:rsidRDefault="00C15113" w:rsidP="008B4E27">
      <w:pPr>
        <w:pStyle w:val="ListParagraph"/>
        <w:numPr>
          <w:ilvl w:val="2"/>
          <w:numId w:val="29"/>
        </w:numPr>
        <w:ind w:left="1800"/>
      </w:pPr>
      <w:r>
        <w:t>Area numbering should not conflict with Appendix A</w:t>
      </w:r>
    </w:p>
    <w:p w14:paraId="7DF34A11" w14:textId="77777777" w:rsidR="00C15113" w:rsidRDefault="00C15113" w:rsidP="008B4E27">
      <w:pPr>
        <w:pStyle w:val="ListParagraph"/>
        <w:numPr>
          <w:ilvl w:val="2"/>
          <w:numId w:val="29"/>
        </w:numPr>
        <w:ind w:left="1800"/>
      </w:pPr>
      <w:r>
        <w:t>Zone numbering should not conflict with Appendix A</w:t>
      </w:r>
    </w:p>
    <w:p w14:paraId="796D5C64" w14:textId="77777777" w:rsidR="00BF4B38" w:rsidRDefault="00BF4B38" w:rsidP="008B4E27">
      <w:pPr>
        <w:pStyle w:val="ListParagraph"/>
        <w:numPr>
          <w:ilvl w:val="2"/>
          <w:numId w:val="29"/>
        </w:numPr>
        <w:ind w:left="1800"/>
      </w:pPr>
      <w:r>
        <w:t>Bus Voltage Limits set consistent with Section 4.1.7</w:t>
      </w:r>
    </w:p>
    <w:p w14:paraId="737E7005" w14:textId="77777777" w:rsidR="00BF4B38" w:rsidRDefault="00BF4B38" w:rsidP="008B4E27">
      <w:pPr>
        <w:pStyle w:val="ListParagraph"/>
        <w:numPr>
          <w:ilvl w:val="2"/>
          <w:numId w:val="29"/>
        </w:numPr>
        <w:ind w:left="1800"/>
      </w:pPr>
      <w:r>
        <w:t>Branch Ratings set consistent with Section 4.4.1.4</w:t>
      </w:r>
    </w:p>
    <w:p w14:paraId="549C6E38" w14:textId="77777777" w:rsidR="00C15113" w:rsidRDefault="00C15113" w:rsidP="008B4E27">
      <w:pPr>
        <w:pStyle w:val="ListParagraph"/>
        <w:numPr>
          <w:ilvl w:val="2"/>
          <w:numId w:val="29"/>
        </w:numPr>
        <w:ind w:left="1800"/>
      </w:pPr>
      <w:r>
        <w:t>Generation Unit ID Prefix should be consistent with Appendix D</w:t>
      </w:r>
    </w:p>
    <w:p w14:paraId="103D44AC" w14:textId="77777777" w:rsidR="00B3049E" w:rsidRDefault="00B3049E" w:rsidP="00E03037">
      <w:pPr>
        <w:pStyle w:val="ListParagraph"/>
        <w:numPr>
          <w:ilvl w:val="0"/>
          <w:numId w:val="30"/>
        </w:numPr>
      </w:pPr>
      <w:r>
        <w:t>Data Dictionary providing bus numbers with detailed bus names</w:t>
      </w:r>
    </w:p>
    <w:p w14:paraId="1980244C" w14:textId="77777777" w:rsidR="00AD3EA4" w:rsidRDefault="001B63ED" w:rsidP="00E03037">
      <w:pPr>
        <w:pStyle w:val="ListParagraph"/>
        <w:numPr>
          <w:ilvl w:val="0"/>
          <w:numId w:val="30"/>
        </w:numPr>
      </w:pPr>
      <w:r>
        <w:t xml:space="preserve">Contingency files in PSS/E </w:t>
      </w:r>
      <w:r w:rsidR="000970BD">
        <w:t>*</w:t>
      </w:r>
      <w:r>
        <w:t>.con format</w:t>
      </w:r>
      <w:r w:rsidR="000E5032">
        <w:t xml:space="preserve">, or preferably </w:t>
      </w:r>
      <w:r>
        <w:t xml:space="preserve">PowerWorld </w:t>
      </w:r>
      <w:r w:rsidR="000E5032">
        <w:t>AUX file</w:t>
      </w:r>
      <w:r>
        <w:t xml:space="preserve"> format</w:t>
      </w:r>
      <w:r w:rsidR="000E5032">
        <w:t>, to model P1 through P7 contingencies involving multiple load flow elements, including but not limited to Breaker-to-Breaker contingencies and Common Structure contingencies</w:t>
      </w:r>
    </w:p>
    <w:p w14:paraId="63FD38B8" w14:textId="77777777" w:rsidR="00AD3EA4" w:rsidRDefault="000E5032" w:rsidP="008B4E27">
      <w:pPr>
        <w:pStyle w:val="ListParagraph"/>
        <w:numPr>
          <w:ilvl w:val="2"/>
          <w:numId w:val="31"/>
        </w:numPr>
        <w:ind w:left="1800"/>
      </w:pPr>
      <w:r>
        <w:t>These files should contain comments that identify the type of contingency being modeled P1 through P7</w:t>
      </w:r>
    </w:p>
    <w:p w14:paraId="0475E521" w14:textId="77777777" w:rsidR="000E5032" w:rsidRDefault="000E5032" w:rsidP="008B4E27">
      <w:pPr>
        <w:pStyle w:val="ListParagraph"/>
        <w:numPr>
          <w:ilvl w:val="2"/>
          <w:numId w:val="31"/>
        </w:numPr>
        <w:ind w:left="1800"/>
      </w:pPr>
      <w:r>
        <w:t>These files should match the load flow case being provided to ERCOT with no errors or unlinked elements</w:t>
      </w:r>
    </w:p>
    <w:p w14:paraId="39E3E740" w14:textId="77777777" w:rsidR="000E5032" w:rsidRPr="000D000E" w:rsidRDefault="000E5032" w:rsidP="00E03037">
      <w:pPr>
        <w:pStyle w:val="ListParagraph"/>
        <w:numPr>
          <w:ilvl w:val="0"/>
          <w:numId w:val="32"/>
        </w:numPr>
      </w:pPr>
      <w:r w:rsidRPr="000D000E">
        <w:t>The latest maps showing the layout of existing, and if possible propose</w:t>
      </w:r>
      <w:r w:rsidR="00AD3EA4" w:rsidRPr="000D000E">
        <w:t>d, LP&amp;L transmission facilities</w:t>
      </w:r>
    </w:p>
    <w:p w14:paraId="772B47EE" w14:textId="77777777" w:rsidR="00AD3EA4" w:rsidRPr="000970BD" w:rsidRDefault="00AD3EA4" w:rsidP="00E03037">
      <w:pPr>
        <w:pStyle w:val="ListParagraph"/>
        <w:numPr>
          <w:ilvl w:val="0"/>
          <w:numId w:val="32"/>
        </w:numPr>
      </w:pPr>
      <w:r w:rsidRPr="000970BD">
        <w:t>Piecewise linear unit cost data for generators internal to LP&amp;L</w:t>
      </w:r>
    </w:p>
    <w:p w14:paraId="527372D1" w14:textId="77777777" w:rsidR="008B4E27" w:rsidRPr="008B4E27" w:rsidRDefault="000E5032" w:rsidP="008B4E27">
      <w:pPr>
        <w:pStyle w:val="ListParagraph"/>
        <w:numPr>
          <w:ilvl w:val="0"/>
          <w:numId w:val="32"/>
        </w:numPr>
        <w:rPr>
          <w:color w:val="000000" w:themeColor="text1"/>
        </w:rPr>
      </w:pPr>
      <w:r w:rsidRPr="000970BD">
        <w:t xml:space="preserve">Short-circuits models/data to match the </w:t>
      </w:r>
      <w:r w:rsidR="001B63ED" w:rsidRPr="000970BD">
        <w:t xml:space="preserve">2021 </w:t>
      </w:r>
      <w:r w:rsidRPr="000970BD">
        <w:t xml:space="preserve">Summer Peak load flow case </w:t>
      </w:r>
    </w:p>
    <w:p w14:paraId="3208916C" w14:textId="77777777" w:rsidR="00FC0B49" w:rsidRPr="008B4E27" w:rsidRDefault="00FC0B49" w:rsidP="008B4E27">
      <w:pPr>
        <w:pStyle w:val="ListParagraph"/>
        <w:numPr>
          <w:ilvl w:val="0"/>
          <w:numId w:val="32"/>
        </w:numPr>
        <w:rPr>
          <w:color w:val="000000" w:themeColor="text1"/>
        </w:rPr>
      </w:pPr>
      <w:r w:rsidRPr="008B4E27">
        <w:rPr>
          <w:color w:val="000000" w:themeColor="text1"/>
        </w:rPr>
        <w:t xml:space="preserve">A dynamic model for the LP&amp;L system shall be provided consistent with the requirements of the DWG Procedure Manual: </w:t>
      </w:r>
      <w:hyperlink r:id="rId8" w:history="1">
        <w:r w:rsidRPr="004951E7">
          <w:rPr>
            <w:rStyle w:val="Hyperlink"/>
          </w:rPr>
          <w:t>http://www.ercot.com/content/committees/board/tac/ros/dwg/keydocs/2014/DWG_Procedure_Manual_Revision_9.ROS_Approved_October30_2014.doc</w:t>
        </w:r>
      </w:hyperlink>
    </w:p>
    <w:p w14:paraId="0DBF9961" w14:textId="77777777" w:rsidR="00FC0B49" w:rsidRPr="000D000E" w:rsidRDefault="00FC0B49" w:rsidP="00E03037">
      <w:pPr>
        <w:pStyle w:val="ListParagraph"/>
        <w:numPr>
          <w:ilvl w:val="0"/>
          <w:numId w:val="32"/>
        </w:numPr>
      </w:pPr>
      <w:r w:rsidRPr="000D000E">
        <w:t>Dynamic Load Models (if used) in PTI format for both peak and minimum load conditions.</w:t>
      </w:r>
    </w:p>
    <w:p w14:paraId="0A6BDA1C" w14:textId="77777777" w:rsidR="00FC0B49" w:rsidRPr="000D000E" w:rsidRDefault="00FC0B49" w:rsidP="00E03037">
      <w:pPr>
        <w:pStyle w:val="ListParagraph"/>
        <w:numPr>
          <w:ilvl w:val="0"/>
          <w:numId w:val="32"/>
        </w:numPr>
      </w:pPr>
      <w:r w:rsidRPr="000D000E">
        <w:t>Dynamic contingency files including fault clearing times in PTI format</w:t>
      </w:r>
    </w:p>
    <w:p w14:paraId="669B1CAA" w14:textId="77777777" w:rsidR="00FC0B49" w:rsidRPr="000D000E" w:rsidRDefault="00FC0B49" w:rsidP="00E03037">
      <w:pPr>
        <w:pStyle w:val="ListParagraph"/>
        <w:numPr>
          <w:ilvl w:val="0"/>
          <w:numId w:val="32"/>
        </w:numPr>
      </w:pPr>
      <w:r w:rsidRPr="000D000E">
        <w:t>Under voltage load shed model (if used) in PTI format</w:t>
      </w:r>
    </w:p>
    <w:p w14:paraId="67A7A44F" w14:textId="77777777" w:rsidR="00FC0B49" w:rsidRPr="000D000E" w:rsidRDefault="00FC0B49" w:rsidP="00E03037">
      <w:pPr>
        <w:pStyle w:val="ListParagraph"/>
        <w:numPr>
          <w:ilvl w:val="0"/>
          <w:numId w:val="32"/>
        </w:numPr>
      </w:pPr>
      <w:r w:rsidRPr="000D000E">
        <w:t>Under frequency load shed model (if used) in PTI format</w:t>
      </w:r>
    </w:p>
    <w:p w14:paraId="255762E3" w14:textId="77777777" w:rsidR="00FC0B49" w:rsidRPr="000D000E" w:rsidRDefault="00FC0B49" w:rsidP="00E03037">
      <w:pPr>
        <w:pStyle w:val="ListParagraph"/>
        <w:numPr>
          <w:ilvl w:val="0"/>
          <w:numId w:val="32"/>
        </w:numPr>
      </w:pPr>
      <w:r w:rsidRPr="000D000E">
        <w:t>Any user defined model (non-standard PSS/e models) should include but not limit to:</w:t>
      </w:r>
    </w:p>
    <w:p w14:paraId="24795F6E" w14:textId="77777777" w:rsidR="00FC0B49" w:rsidRPr="000D000E" w:rsidRDefault="00FC0B49" w:rsidP="008B4E27">
      <w:pPr>
        <w:pStyle w:val="ListParagraph"/>
        <w:numPr>
          <w:ilvl w:val="2"/>
          <w:numId w:val="33"/>
        </w:numPr>
        <w:ind w:left="1800"/>
      </w:pPr>
      <w:r w:rsidRPr="000D000E">
        <w:t>Library or objective file that is compatible in PSS/e V33</w:t>
      </w:r>
    </w:p>
    <w:p w14:paraId="5F4EC4F1" w14:textId="77777777" w:rsidR="00B229D9" w:rsidRDefault="00FC0B49" w:rsidP="008B4E27">
      <w:pPr>
        <w:pStyle w:val="ListParagraph"/>
        <w:numPr>
          <w:ilvl w:val="2"/>
          <w:numId w:val="33"/>
        </w:numPr>
        <w:ind w:left="1800"/>
      </w:pPr>
      <w:r w:rsidRPr="000D000E">
        <w:lastRenderedPageBreak/>
        <w:t>Sufficient docume</w:t>
      </w:r>
      <w:r w:rsidR="008B4E27">
        <w:t>nts for the user defined models</w:t>
      </w:r>
    </w:p>
    <w:p w14:paraId="2F0F99DF" w14:textId="77777777" w:rsidR="00E03037" w:rsidRPr="000D000E" w:rsidRDefault="00E03037" w:rsidP="006E066C">
      <w:pPr>
        <w:pStyle w:val="ListParagraph"/>
        <w:numPr>
          <w:ilvl w:val="0"/>
          <w:numId w:val="38"/>
        </w:numPr>
        <w:ind w:left="1080"/>
      </w:pPr>
      <w:r>
        <w:t>An</w:t>
      </w:r>
      <w:r w:rsidR="00B229D9" w:rsidRPr="000D000E">
        <w:t>y LP&amp;L transmission planning criteria requirements that are outside the NERC &amp; ERCOT planning criteria</w:t>
      </w:r>
    </w:p>
    <w:p w14:paraId="048ED85B" w14:textId="77777777" w:rsidR="003C6443" w:rsidRPr="00A73F91" w:rsidRDefault="00B229D9" w:rsidP="008B4E27">
      <w:pPr>
        <w:pStyle w:val="ListParagraph"/>
        <w:numPr>
          <w:ilvl w:val="0"/>
          <w:numId w:val="39"/>
        </w:numPr>
        <w:ind w:left="1080"/>
        <w:rPr>
          <w:b/>
        </w:rPr>
      </w:pPr>
      <w:r w:rsidRPr="000D000E">
        <w:t>Copy of the LP&amp;L Planning guide</w:t>
      </w:r>
    </w:p>
    <w:p w14:paraId="770ED473" w14:textId="77777777" w:rsidR="00E86F22" w:rsidRPr="008B4E27" w:rsidRDefault="00E86F22" w:rsidP="008B4E27">
      <w:pPr>
        <w:pStyle w:val="ListParagraph"/>
        <w:numPr>
          <w:ilvl w:val="0"/>
          <w:numId w:val="39"/>
        </w:numPr>
        <w:ind w:left="1080"/>
        <w:rPr>
          <w:b/>
        </w:rPr>
      </w:pPr>
      <w:r>
        <w:t>Data necessary to conduct subsynchronous resonance frequency scan analysis for LP&amp;L units</w:t>
      </w:r>
    </w:p>
    <w:p w14:paraId="0EF9453A" w14:textId="77777777" w:rsidR="000970BD" w:rsidRPr="000970BD" w:rsidRDefault="000970BD" w:rsidP="008B4E27">
      <w:pPr>
        <w:pStyle w:val="ListParagraph"/>
        <w:ind w:left="1080" w:hanging="360"/>
        <w:rPr>
          <w:b/>
        </w:rPr>
      </w:pPr>
    </w:p>
    <w:p w14:paraId="0BE188E2" w14:textId="77777777" w:rsidR="000E5032" w:rsidRPr="00E03037" w:rsidRDefault="000E5032" w:rsidP="00504092">
      <w:pPr>
        <w:ind w:left="360"/>
        <w:rPr>
          <w:b/>
        </w:rPr>
      </w:pPr>
      <w:r w:rsidRPr="00E03037">
        <w:rPr>
          <w:b/>
        </w:rPr>
        <w:t>Contingencies and Criteria</w:t>
      </w:r>
    </w:p>
    <w:p w14:paraId="664CEC2A" w14:textId="77777777" w:rsidR="00141606" w:rsidRPr="00E90414" w:rsidRDefault="00312FB8" w:rsidP="00504092">
      <w:pPr>
        <w:ind w:left="360"/>
      </w:pPr>
      <w:r w:rsidRPr="00E90414">
        <w:t>Reliability Analysis: TPL-001-4 and ERCOT Planning Criteria (</w:t>
      </w:r>
      <w:hyperlink r:id="rId9" w:history="1">
        <w:r w:rsidRPr="00E90414">
          <w:rPr>
            <w:rStyle w:val="Hyperlink"/>
          </w:rPr>
          <w:t>http://www.ercot.com/content/wcm/current_guides/53526/04_050115.doc</w:t>
        </w:r>
      </w:hyperlink>
      <w:r w:rsidRPr="00E90414">
        <w:t>)</w:t>
      </w:r>
      <w:r w:rsidR="003C6443">
        <w:t>:</w:t>
      </w:r>
      <w:r w:rsidRPr="00E90414">
        <w:t xml:space="preserve"> </w:t>
      </w:r>
    </w:p>
    <w:p w14:paraId="300CEB97" w14:textId="77777777" w:rsidR="00E90414" w:rsidRDefault="003C6443" w:rsidP="008B4E27">
      <w:pPr>
        <w:pStyle w:val="ListParagraph"/>
        <w:numPr>
          <w:ilvl w:val="0"/>
          <w:numId w:val="40"/>
        </w:numPr>
        <w:tabs>
          <w:tab w:val="clear" w:pos="1080"/>
          <w:tab w:val="num" w:pos="2160"/>
        </w:tabs>
        <w:jc w:val="both"/>
      </w:pPr>
      <w:r>
        <w:t>P0</w:t>
      </w:r>
    </w:p>
    <w:p w14:paraId="7AB6BBA5" w14:textId="77777777" w:rsidR="00E90414" w:rsidRDefault="00312FB8" w:rsidP="008B4E27">
      <w:pPr>
        <w:pStyle w:val="ListParagraph"/>
        <w:numPr>
          <w:ilvl w:val="0"/>
          <w:numId w:val="40"/>
        </w:numPr>
        <w:tabs>
          <w:tab w:val="clear" w:pos="1080"/>
          <w:tab w:val="num" w:pos="2160"/>
        </w:tabs>
        <w:jc w:val="both"/>
      </w:pPr>
      <w:r w:rsidRPr="00E90414">
        <w:t>P1 and P7</w:t>
      </w:r>
    </w:p>
    <w:p w14:paraId="4F49A732" w14:textId="77777777" w:rsidR="00E90414" w:rsidRDefault="00312FB8" w:rsidP="008B4E27">
      <w:pPr>
        <w:pStyle w:val="ListParagraph"/>
        <w:numPr>
          <w:ilvl w:val="0"/>
          <w:numId w:val="40"/>
        </w:numPr>
        <w:tabs>
          <w:tab w:val="clear" w:pos="1080"/>
          <w:tab w:val="num" w:pos="2160"/>
        </w:tabs>
        <w:jc w:val="both"/>
      </w:pPr>
      <w:r w:rsidRPr="00E90414">
        <w:t>P3:  G-1 + P1*/P7 (G-1 worst case only)</w:t>
      </w:r>
    </w:p>
    <w:p w14:paraId="57A0058D" w14:textId="77777777" w:rsidR="00141606" w:rsidRDefault="00312FB8" w:rsidP="008B4E27">
      <w:pPr>
        <w:pStyle w:val="ListParagraph"/>
        <w:numPr>
          <w:ilvl w:val="0"/>
          <w:numId w:val="40"/>
        </w:numPr>
        <w:tabs>
          <w:tab w:val="clear" w:pos="1080"/>
          <w:tab w:val="num" w:pos="2160"/>
        </w:tabs>
        <w:jc w:val="both"/>
      </w:pPr>
      <w:r w:rsidRPr="00E90414">
        <w:t>P6:  X-1 + P1/P7 (X-1 is 345 kV Auto outages)</w:t>
      </w:r>
    </w:p>
    <w:p w14:paraId="3101CAA4" w14:textId="77777777" w:rsidR="001B63ED" w:rsidRDefault="001B63ED" w:rsidP="008B4E27">
      <w:pPr>
        <w:pStyle w:val="ListParagraph"/>
        <w:numPr>
          <w:ilvl w:val="0"/>
          <w:numId w:val="40"/>
        </w:numPr>
        <w:tabs>
          <w:tab w:val="clear" w:pos="1080"/>
          <w:tab w:val="num" w:pos="2160"/>
        </w:tabs>
        <w:jc w:val="both"/>
      </w:pPr>
      <w:r>
        <w:t>P2, P4, and P5</w:t>
      </w:r>
    </w:p>
    <w:p w14:paraId="2CC7B5F1" w14:textId="77777777" w:rsidR="00E90414" w:rsidRDefault="00E90414" w:rsidP="00E03037">
      <w:pPr>
        <w:pStyle w:val="ListParagraph"/>
        <w:ind w:left="1080"/>
        <w:jc w:val="both"/>
      </w:pPr>
    </w:p>
    <w:p w14:paraId="049BB985" w14:textId="77777777" w:rsidR="00E90414" w:rsidRDefault="00E90414" w:rsidP="00504092">
      <w:pPr>
        <w:pStyle w:val="ListParagraph"/>
        <w:ind w:left="360"/>
        <w:jc w:val="both"/>
      </w:pPr>
      <w:r>
        <w:t>Criteria:</w:t>
      </w:r>
    </w:p>
    <w:p w14:paraId="79A7E01E" w14:textId="51050A22" w:rsidR="00B15032" w:rsidRPr="00AE3373" w:rsidRDefault="00AC3AD6" w:rsidP="00AE3373">
      <w:pPr>
        <w:pStyle w:val="ListParagraph"/>
        <w:numPr>
          <w:ilvl w:val="0"/>
          <w:numId w:val="41"/>
        </w:numPr>
        <w:jc w:val="both"/>
      </w:pPr>
      <w:r w:rsidRPr="00AE3373">
        <w:t>Thermal and voltage Criteria</w:t>
      </w:r>
      <w:r>
        <w:t xml:space="preserve"> w</w:t>
      </w:r>
      <w:r w:rsidRPr="00AE3373">
        <w:t>ill be consistent with 2015 RTP assumptions</w:t>
      </w:r>
    </w:p>
    <w:p w14:paraId="629E3B27" w14:textId="77777777" w:rsidR="00312FB8" w:rsidRDefault="00312FB8" w:rsidP="00312FB8">
      <w:pPr>
        <w:pStyle w:val="ListParagraph"/>
        <w:jc w:val="both"/>
        <w:rPr>
          <w:b/>
        </w:rPr>
      </w:pPr>
    </w:p>
    <w:p w14:paraId="6B503529" w14:textId="77777777" w:rsidR="000A6CB7" w:rsidRPr="00DD02FB" w:rsidRDefault="000A6CB7" w:rsidP="00504092">
      <w:pPr>
        <w:ind w:left="360"/>
        <w:jc w:val="both"/>
        <w:rPr>
          <w:b/>
        </w:rPr>
      </w:pPr>
      <w:r w:rsidRPr="00DD02FB">
        <w:rPr>
          <w:b/>
        </w:rPr>
        <w:t>Study Procedure</w:t>
      </w:r>
    </w:p>
    <w:p w14:paraId="7F14589B" w14:textId="77777777" w:rsidR="00DD02FB" w:rsidRDefault="00DD02FB" w:rsidP="00E03037">
      <w:pPr>
        <w:ind w:left="360"/>
        <w:contextualSpacing/>
        <w:jc w:val="both"/>
      </w:pPr>
      <w:r>
        <w:t xml:space="preserve">The selection of tie options to be tested will be informed by, but not limited to, the findings of the PWR Solutions study. </w:t>
      </w:r>
    </w:p>
    <w:p w14:paraId="4A98361B" w14:textId="77777777" w:rsidR="00DD02FB" w:rsidRDefault="00DD02FB" w:rsidP="00E03037">
      <w:pPr>
        <w:ind w:left="360"/>
        <w:contextualSpacing/>
        <w:jc w:val="both"/>
      </w:pPr>
    </w:p>
    <w:p w14:paraId="4C609721" w14:textId="77777777" w:rsidR="003C6443" w:rsidRDefault="00EE4F08" w:rsidP="00E03037">
      <w:pPr>
        <w:ind w:left="360"/>
        <w:jc w:val="both"/>
      </w:pPr>
      <w:r w:rsidRPr="00B97593">
        <w:rPr>
          <w:u w:val="single"/>
        </w:rPr>
        <w:t xml:space="preserve">Step 1 </w:t>
      </w:r>
      <w:r w:rsidR="00B97593">
        <w:t xml:space="preserve">- </w:t>
      </w:r>
      <w:r w:rsidR="004D4C72">
        <w:t>Steady-</w:t>
      </w:r>
      <w:r w:rsidR="00312FB8">
        <w:t>State Analysis</w:t>
      </w:r>
    </w:p>
    <w:p w14:paraId="3092A75A" w14:textId="77777777" w:rsidR="004D4C72" w:rsidRDefault="009D1B8E" w:rsidP="00E03037">
      <w:pPr>
        <w:ind w:left="360"/>
        <w:jc w:val="both"/>
      </w:pPr>
      <w:r>
        <w:t xml:space="preserve">Identify </w:t>
      </w:r>
      <w:r w:rsidR="00E90D9F">
        <w:t>Potential solutions</w:t>
      </w:r>
    </w:p>
    <w:p w14:paraId="052B03C9" w14:textId="77777777" w:rsidR="0048143B" w:rsidRDefault="0048143B" w:rsidP="00E03037">
      <w:pPr>
        <w:pStyle w:val="ListParagraph"/>
        <w:numPr>
          <w:ilvl w:val="0"/>
          <w:numId w:val="17"/>
        </w:numPr>
        <w:ind w:left="1080"/>
        <w:jc w:val="both"/>
      </w:pPr>
      <w:r>
        <w:t xml:space="preserve">Iterate </w:t>
      </w:r>
      <w:r w:rsidR="00E90D9F">
        <w:t>on</w:t>
      </w:r>
      <w:r w:rsidR="009D1B8E">
        <w:t xml:space="preserve"> these steps until no pertinent violations are present</w:t>
      </w:r>
      <w:r w:rsidR="00E90D9F">
        <w:t>:</w:t>
      </w:r>
    </w:p>
    <w:p w14:paraId="5E3CF28F" w14:textId="77777777" w:rsidR="0048143B" w:rsidRDefault="0048143B" w:rsidP="008B4E27">
      <w:pPr>
        <w:pStyle w:val="ListParagraph"/>
        <w:numPr>
          <w:ilvl w:val="1"/>
          <w:numId w:val="17"/>
        </w:numPr>
        <w:ind w:left="1800"/>
        <w:jc w:val="both"/>
      </w:pPr>
      <w:r>
        <w:t>Model potentia</w:t>
      </w:r>
      <w:r w:rsidR="00E90D9F">
        <w:t>l interconnection configuration.</w:t>
      </w:r>
    </w:p>
    <w:p w14:paraId="63324F29" w14:textId="77777777" w:rsidR="00E90D9F" w:rsidRDefault="00E90D9F" w:rsidP="008B4E27">
      <w:pPr>
        <w:pStyle w:val="ListParagraph"/>
        <w:numPr>
          <w:ilvl w:val="1"/>
          <w:numId w:val="17"/>
        </w:numPr>
        <w:ind w:left="1800"/>
        <w:jc w:val="both"/>
      </w:pPr>
      <w:r>
        <w:t>Set N-1 SCOPF dispatch</w:t>
      </w:r>
    </w:p>
    <w:p w14:paraId="1C13B15D" w14:textId="77777777" w:rsidR="00E90D9F" w:rsidRDefault="00E90D9F" w:rsidP="008B4E27">
      <w:pPr>
        <w:pStyle w:val="ListParagraph"/>
        <w:numPr>
          <w:ilvl w:val="1"/>
          <w:numId w:val="17"/>
        </w:numPr>
        <w:ind w:left="1800"/>
        <w:jc w:val="both"/>
      </w:pPr>
      <w:r>
        <w:t xml:space="preserve">Run  contingencies to identify </w:t>
      </w:r>
      <w:r w:rsidR="00B97593">
        <w:t xml:space="preserve">unresolved </w:t>
      </w:r>
      <w:r>
        <w:t>reliability violations</w:t>
      </w:r>
    </w:p>
    <w:p w14:paraId="71E64185" w14:textId="77777777" w:rsidR="00B97593" w:rsidRDefault="00B97593" w:rsidP="00E03037">
      <w:pPr>
        <w:pStyle w:val="ListParagraph"/>
        <w:ind w:left="1800"/>
      </w:pPr>
    </w:p>
    <w:p w14:paraId="296C79D4" w14:textId="77777777" w:rsidR="00B97593" w:rsidRDefault="00B97593" w:rsidP="00E03037">
      <w:pPr>
        <w:pStyle w:val="ListParagraph"/>
        <w:ind w:left="360"/>
      </w:pPr>
      <w:r w:rsidRPr="00DD02FB">
        <w:rPr>
          <w:u w:val="single"/>
        </w:rPr>
        <w:t>Step 2</w:t>
      </w:r>
      <w:r>
        <w:t xml:space="preserve"> - Dynamic stability analysis</w:t>
      </w:r>
    </w:p>
    <w:p w14:paraId="418A8193" w14:textId="77777777" w:rsidR="00B97593" w:rsidRDefault="00B97593" w:rsidP="00E03037">
      <w:pPr>
        <w:pStyle w:val="ListParagraph"/>
        <w:ind w:left="1080"/>
        <w:jc w:val="both"/>
      </w:pPr>
    </w:p>
    <w:p w14:paraId="7999A9C8" w14:textId="4FB1A159" w:rsidR="00B97593" w:rsidRDefault="00B97593" w:rsidP="00E03037">
      <w:pPr>
        <w:ind w:left="360"/>
        <w:jc w:val="both"/>
      </w:pPr>
      <w:r>
        <w:t>Dynamic stability analysis will be performed based on the identified potential transmission solutions in the steady state analysis.  The stability analysis will assess the impact of the identified transmission solutions to both LP&amp;L and nearby ERCOT regions (including Panhandle) following NERC TPL and ERCOT Planning Criteria.  Additional generator dispatch scenario may be studied, like high wind output, since LP&amp;L will connect to the ERCOT region with high penetration of renewable generation resources</w:t>
      </w:r>
    </w:p>
    <w:p w14:paraId="17136581" w14:textId="77777777" w:rsidR="00504092" w:rsidRDefault="00504092" w:rsidP="00E03037">
      <w:pPr>
        <w:ind w:left="360"/>
        <w:jc w:val="both"/>
      </w:pPr>
    </w:p>
    <w:p w14:paraId="5E29C57A" w14:textId="77777777" w:rsidR="002F6C6A" w:rsidRDefault="002F6C6A" w:rsidP="00E03037">
      <w:pPr>
        <w:ind w:left="360"/>
        <w:contextualSpacing/>
      </w:pPr>
      <w:r w:rsidRPr="002F6C6A">
        <w:rPr>
          <w:u w:val="single"/>
        </w:rPr>
        <w:lastRenderedPageBreak/>
        <w:t xml:space="preserve">Step </w:t>
      </w:r>
      <w:r>
        <w:rPr>
          <w:u w:val="single"/>
        </w:rPr>
        <w:t>3</w:t>
      </w:r>
      <w:r>
        <w:t xml:space="preserve"> – Economic Analysis</w:t>
      </w:r>
    </w:p>
    <w:p w14:paraId="0389BB55" w14:textId="77777777" w:rsidR="00E03037" w:rsidRDefault="00E03037" w:rsidP="00E03037">
      <w:pPr>
        <w:ind w:left="360"/>
        <w:contextualSpacing/>
      </w:pPr>
    </w:p>
    <w:p w14:paraId="55E44F78" w14:textId="77777777" w:rsidR="002F6C6A" w:rsidRDefault="00E93C56" w:rsidP="00956730">
      <w:pPr>
        <w:ind w:left="360"/>
        <w:jc w:val="both"/>
      </w:pPr>
      <w:r>
        <w:t xml:space="preserve">Economic analysis will be performed to compare interconnection alternatives from a congestion standpoint.  Included in this will be an analysis of the effect on the ERCOT Panhandle </w:t>
      </w:r>
      <w:r w:rsidR="004F1518">
        <w:t>export</w:t>
      </w:r>
      <w:r w:rsidR="00B51340">
        <w:t xml:space="preserve"> </w:t>
      </w:r>
      <w:r>
        <w:t>limit</w:t>
      </w:r>
      <w:r w:rsidR="00956730">
        <w:t xml:space="preserve"> – from a voltage stability and system strength perspective</w:t>
      </w:r>
      <w:r>
        <w:t>.  Benefits will be quantified in terms of production cost savings.</w:t>
      </w:r>
    </w:p>
    <w:p w14:paraId="32C99326" w14:textId="77777777" w:rsidR="000970BD" w:rsidRPr="00272DD8" w:rsidRDefault="000970BD" w:rsidP="00E03037">
      <w:pPr>
        <w:ind w:left="360"/>
        <w:jc w:val="both"/>
      </w:pPr>
    </w:p>
    <w:p w14:paraId="7A1EE980" w14:textId="77777777" w:rsidR="002205E7" w:rsidRPr="00E03037" w:rsidRDefault="002205E7" w:rsidP="00E03037">
      <w:pPr>
        <w:ind w:left="360"/>
        <w:jc w:val="both"/>
        <w:rPr>
          <w:b/>
        </w:rPr>
      </w:pPr>
      <w:r w:rsidRPr="00E03037">
        <w:rPr>
          <w:b/>
        </w:rPr>
        <w:t>Other Studies</w:t>
      </w:r>
    </w:p>
    <w:p w14:paraId="0EF0C565" w14:textId="2A428749" w:rsidR="002205E7" w:rsidRDefault="002205E7" w:rsidP="002205E7">
      <w:pPr>
        <w:ind w:left="360"/>
        <w:jc w:val="both"/>
      </w:pPr>
      <w:r>
        <w:t xml:space="preserve">Additional studies </w:t>
      </w:r>
      <w:r w:rsidR="00476C38">
        <w:t>may</w:t>
      </w:r>
      <w:r>
        <w:t xml:space="preserve"> </w:t>
      </w:r>
      <w:r w:rsidR="00476C38">
        <w:t xml:space="preserve">be </w:t>
      </w:r>
      <w:r>
        <w:t>need</w:t>
      </w:r>
      <w:r w:rsidR="00476C38">
        <w:t>ed</w:t>
      </w:r>
      <w:r>
        <w:t xml:space="preserve"> to identify optimal configuration to integrate LP&amp;L into the ERCOT grid, </w:t>
      </w:r>
      <w:r w:rsidR="001B63ED">
        <w:t xml:space="preserve">these </w:t>
      </w:r>
      <w:r>
        <w:t>studies include but not be limited to:</w:t>
      </w:r>
    </w:p>
    <w:p w14:paraId="45D16AC4" w14:textId="77777777" w:rsidR="002205E7" w:rsidRPr="002205E7" w:rsidRDefault="002205E7" w:rsidP="000D000E">
      <w:pPr>
        <w:pStyle w:val="ListParagraph"/>
        <w:ind w:left="1080"/>
        <w:jc w:val="both"/>
        <w:rPr>
          <w:color w:val="ED7D31" w:themeColor="accent2"/>
        </w:rPr>
      </w:pPr>
    </w:p>
    <w:p w14:paraId="0DF9A817" w14:textId="77777777" w:rsidR="002205E7" w:rsidRDefault="002205E7" w:rsidP="008B4E27">
      <w:pPr>
        <w:pStyle w:val="ListParagraph"/>
        <w:numPr>
          <w:ilvl w:val="0"/>
          <w:numId w:val="18"/>
        </w:numPr>
        <w:jc w:val="both"/>
      </w:pPr>
      <w:r>
        <w:t>Power Transfer Capability</w:t>
      </w:r>
    </w:p>
    <w:p w14:paraId="3DB22763" w14:textId="77777777" w:rsidR="00E93C56" w:rsidRDefault="00E93C56" w:rsidP="008B4E27">
      <w:pPr>
        <w:pStyle w:val="ListParagraph"/>
        <w:numPr>
          <w:ilvl w:val="0"/>
          <w:numId w:val="18"/>
        </w:numPr>
        <w:jc w:val="both"/>
      </w:pPr>
      <w:r>
        <w:t>Long-Term analysis (including potential integration of additional LP&amp;L Load)</w:t>
      </w:r>
    </w:p>
    <w:p w14:paraId="769DE12B" w14:textId="77777777" w:rsidR="00956730" w:rsidRDefault="00956730" w:rsidP="008B4E27">
      <w:pPr>
        <w:pStyle w:val="ListParagraph"/>
        <w:numPr>
          <w:ilvl w:val="0"/>
          <w:numId w:val="18"/>
        </w:numPr>
        <w:jc w:val="both"/>
      </w:pPr>
      <w:r>
        <w:t>Cost-Benefit analysis for the recommended options accounting for avoided costs for future upgrades deemed not required by virtue of the LP&amp;L integration, if any</w:t>
      </w:r>
    </w:p>
    <w:p w14:paraId="21D43784" w14:textId="77777777" w:rsidR="002205E7" w:rsidRDefault="002205E7" w:rsidP="002205E7">
      <w:pPr>
        <w:pStyle w:val="ListParagraph"/>
        <w:jc w:val="both"/>
        <w:rPr>
          <w:b/>
        </w:rPr>
      </w:pPr>
    </w:p>
    <w:p w14:paraId="65629765" w14:textId="77777777" w:rsidR="002205E7" w:rsidRPr="00E03037" w:rsidRDefault="002205E7" w:rsidP="00E03037">
      <w:pPr>
        <w:ind w:left="360"/>
        <w:jc w:val="both"/>
        <w:rPr>
          <w:b/>
        </w:rPr>
      </w:pPr>
      <w:r w:rsidRPr="00E03037">
        <w:rPr>
          <w:b/>
        </w:rPr>
        <w:t>Deliverables</w:t>
      </w:r>
    </w:p>
    <w:p w14:paraId="1256F2BC" w14:textId="134D80EE" w:rsidR="003C374E" w:rsidRDefault="002205E7" w:rsidP="00E03037">
      <w:pPr>
        <w:ind w:left="360"/>
        <w:jc w:val="both"/>
      </w:pPr>
      <w:r>
        <w:t xml:space="preserve">This study will conclude with a report documenting key findings, detailed study assumptions and methodology, discussion of each </w:t>
      </w:r>
      <w:r w:rsidR="00476C38">
        <w:t>identified transmission solutions</w:t>
      </w:r>
      <w:r>
        <w:t>.</w:t>
      </w:r>
      <w:r w:rsidR="00B51340">
        <w:t xml:space="preserve">  The report will identify a preferred option to interconnect LP&amp;L into ERCOT based on compliance with NERC TPL, ERCOT and LP&amp;L Planning Criteria as well as estimated capital and production costs.  </w:t>
      </w:r>
    </w:p>
    <w:p w14:paraId="2CAABF22" w14:textId="77777777" w:rsidR="002205E7" w:rsidRPr="00013BDC" w:rsidRDefault="002205E7" w:rsidP="002205E7">
      <w:pPr>
        <w:jc w:val="both"/>
      </w:pPr>
    </w:p>
    <w:p w14:paraId="2D7354F8" w14:textId="77777777" w:rsidR="000A6CB7" w:rsidRDefault="000A6CB7" w:rsidP="000A6CB7">
      <w:pPr>
        <w:jc w:val="both"/>
      </w:pPr>
    </w:p>
    <w:p w14:paraId="3C8F6ADC" w14:textId="77777777" w:rsidR="000A6CB7" w:rsidRPr="00013BDC" w:rsidRDefault="000A6CB7" w:rsidP="000A6CB7">
      <w:pPr>
        <w:jc w:val="both"/>
      </w:pPr>
    </w:p>
    <w:sectPr w:rsidR="000A6CB7" w:rsidRPr="00013BDC">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D06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AE5"/>
    <w:multiLevelType w:val="hybridMultilevel"/>
    <w:tmpl w:val="0E24C9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957DE2"/>
    <w:multiLevelType w:val="hybridMultilevel"/>
    <w:tmpl w:val="1B12FBE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34628A"/>
    <w:multiLevelType w:val="hybridMultilevel"/>
    <w:tmpl w:val="3E1C4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6173E"/>
    <w:multiLevelType w:val="hybridMultilevel"/>
    <w:tmpl w:val="B7C23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683ACD"/>
    <w:multiLevelType w:val="hybridMultilevel"/>
    <w:tmpl w:val="187E0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D7936"/>
    <w:multiLevelType w:val="hybridMultilevel"/>
    <w:tmpl w:val="B032E3DE"/>
    <w:lvl w:ilvl="0" w:tplc="4B48A0C0">
      <w:start w:val="1"/>
      <w:numFmt w:val="bullet"/>
      <w:lvlText w:val=""/>
      <w:lvlJc w:val="left"/>
      <w:pPr>
        <w:tabs>
          <w:tab w:val="num" w:pos="720"/>
        </w:tabs>
        <w:ind w:left="720" w:hanging="360"/>
      </w:pPr>
      <w:rPr>
        <w:rFonts w:ascii="Wingdings" w:hAnsi="Wingdings" w:hint="default"/>
      </w:rPr>
    </w:lvl>
    <w:lvl w:ilvl="1" w:tplc="733AD0D2" w:tentative="1">
      <w:start w:val="1"/>
      <w:numFmt w:val="bullet"/>
      <w:lvlText w:val=""/>
      <w:lvlJc w:val="left"/>
      <w:pPr>
        <w:tabs>
          <w:tab w:val="num" w:pos="1440"/>
        </w:tabs>
        <w:ind w:left="1440" w:hanging="360"/>
      </w:pPr>
      <w:rPr>
        <w:rFonts w:ascii="Wingdings" w:hAnsi="Wingdings" w:hint="default"/>
      </w:rPr>
    </w:lvl>
    <w:lvl w:ilvl="2" w:tplc="ABD6E278">
      <w:start w:val="1"/>
      <w:numFmt w:val="bullet"/>
      <w:lvlText w:val=""/>
      <w:lvlJc w:val="left"/>
      <w:pPr>
        <w:tabs>
          <w:tab w:val="num" w:pos="2160"/>
        </w:tabs>
        <w:ind w:left="2160" w:hanging="360"/>
      </w:pPr>
      <w:rPr>
        <w:rFonts w:ascii="Wingdings" w:hAnsi="Wingdings" w:hint="default"/>
      </w:rPr>
    </w:lvl>
    <w:lvl w:ilvl="3" w:tplc="AAB20A7A" w:tentative="1">
      <w:start w:val="1"/>
      <w:numFmt w:val="bullet"/>
      <w:lvlText w:val=""/>
      <w:lvlJc w:val="left"/>
      <w:pPr>
        <w:tabs>
          <w:tab w:val="num" w:pos="2880"/>
        </w:tabs>
        <w:ind w:left="2880" w:hanging="360"/>
      </w:pPr>
      <w:rPr>
        <w:rFonts w:ascii="Wingdings" w:hAnsi="Wingdings" w:hint="default"/>
      </w:rPr>
    </w:lvl>
    <w:lvl w:ilvl="4" w:tplc="616CE8B8" w:tentative="1">
      <w:start w:val="1"/>
      <w:numFmt w:val="bullet"/>
      <w:lvlText w:val=""/>
      <w:lvlJc w:val="left"/>
      <w:pPr>
        <w:tabs>
          <w:tab w:val="num" w:pos="3600"/>
        </w:tabs>
        <w:ind w:left="3600" w:hanging="360"/>
      </w:pPr>
      <w:rPr>
        <w:rFonts w:ascii="Wingdings" w:hAnsi="Wingdings" w:hint="default"/>
      </w:rPr>
    </w:lvl>
    <w:lvl w:ilvl="5" w:tplc="A0AA2728" w:tentative="1">
      <w:start w:val="1"/>
      <w:numFmt w:val="bullet"/>
      <w:lvlText w:val=""/>
      <w:lvlJc w:val="left"/>
      <w:pPr>
        <w:tabs>
          <w:tab w:val="num" w:pos="4320"/>
        </w:tabs>
        <w:ind w:left="4320" w:hanging="360"/>
      </w:pPr>
      <w:rPr>
        <w:rFonts w:ascii="Wingdings" w:hAnsi="Wingdings" w:hint="default"/>
      </w:rPr>
    </w:lvl>
    <w:lvl w:ilvl="6" w:tplc="B51A495E" w:tentative="1">
      <w:start w:val="1"/>
      <w:numFmt w:val="bullet"/>
      <w:lvlText w:val=""/>
      <w:lvlJc w:val="left"/>
      <w:pPr>
        <w:tabs>
          <w:tab w:val="num" w:pos="5040"/>
        </w:tabs>
        <w:ind w:left="5040" w:hanging="360"/>
      </w:pPr>
      <w:rPr>
        <w:rFonts w:ascii="Wingdings" w:hAnsi="Wingdings" w:hint="default"/>
      </w:rPr>
    </w:lvl>
    <w:lvl w:ilvl="7" w:tplc="F00461E6" w:tentative="1">
      <w:start w:val="1"/>
      <w:numFmt w:val="bullet"/>
      <w:lvlText w:val=""/>
      <w:lvlJc w:val="left"/>
      <w:pPr>
        <w:tabs>
          <w:tab w:val="num" w:pos="5760"/>
        </w:tabs>
        <w:ind w:left="5760" w:hanging="360"/>
      </w:pPr>
      <w:rPr>
        <w:rFonts w:ascii="Wingdings" w:hAnsi="Wingdings" w:hint="default"/>
      </w:rPr>
    </w:lvl>
    <w:lvl w:ilvl="8" w:tplc="287C97AA" w:tentative="1">
      <w:start w:val="1"/>
      <w:numFmt w:val="bullet"/>
      <w:lvlText w:val=""/>
      <w:lvlJc w:val="left"/>
      <w:pPr>
        <w:tabs>
          <w:tab w:val="num" w:pos="6480"/>
        </w:tabs>
        <w:ind w:left="6480" w:hanging="360"/>
      </w:pPr>
      <w:rPr>
        <w:rFonts w:ascii="Wingdings" w:hAnsi="Wingdings" w:hint="default"/>
      </w:rPr>
    </w:lvl>
  </w:abstractNum>
  <w:abstractNum w:abstractNumId="6">
    <w:nsid w:val="12D05FB1"/>
    <w:multiLevelType w:val="hybridMultilevel"/>
    <w:tmpl w:val="BF24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32E48"/>
    <w:multiLevelType w:val="hybridMultilevel"/>
    <w:tmpl w:val="5C106C58"/>
    <w:lvl w:ilvl="0" w:tplc="0E064694">
      <w:start w:val="1"/>
      <w:numFmt w:val="bullet"/>
      <w:lvlText w:val="•"/>
      <w:lvlJc w:val="left"/>
      <w:pPr>
        <w:tabs>
          <w:tab w:val="num" w:pos="720"/>
        </w:tabs>
        <w:ind w:left="720" w:hanging="360"/>
      </w:pPr>
      <w:rPr>
        <w:rFonts w:ascii="Arial" w:hAnsi="Arial" w:hint="default"/>
      </w:rPr>
    </w:lvl>
    <w:lvl w:ilvl="1" w:tplc="09B6F882">
      <w:start w:val="1"/>
      <w:numFmt w:val="bullet"/>
      <w:lvlText w:val="•"/>
      <w:lvlJc w:val="left"/>
      <w:pPr>
        <w:tabs>
          <w:tab w:val="num" w:pos="1440"/>
        </w:tabs>
        <w:ind w:left="1440" w:hanging="360"/>
      </w:pPr>
      <w:rPr>
        <w:rFonts w:ascii="Arial" w:hAnsi="Arial" w:hint="default"/>
      </w:rPr>
    </w:lvl>
    <w:lvl w:ilvl="2" w:tplc="1C261DF2">
      <w:start w:val="54"/>
      <w:numFmt w:val="bullet"/>
      <w:lvlText w:val="•"/>
      <w:lvlJc w:val="left"/>
      <w:pPr>
        <w:tabs>
          <w:tab w:val="num" w:pos="2160"/>
        </w:tabs>
        <w:ind w:left="2160" w:hanging="360"/>
      </w:pPr>
      <w:rPr>
        <w:rFonts w:ascii="Arial" w:hAnsi="Arial" w:hint="default"/>
      </w:rPr>
    </w:lvl>
    <w:lvl w:ilvl="3" w:tplc="4EA0D38C" w:tentative="1">
      <w:start w:val="1"/>
      <w:numFmt w:val="bullet"/>
      <w:lvlText w:val="•"/>
      <w:lvlJc w:val="left"/>
      <w:pPr>
        <w:tabs>
          <w:tab w:val="num" w:pos="2880"/>
        </w:tabs>
        <w:ind w:left="2880" w:hanging="360"/>
      </w:pPr>
      <w:rPr>
        <w:rFonts w:ascii="Arial" w:hAnsi="Arial" w:hint="default"/>
      </w:rPr>
    </w:lvl>
    <w:lvl w:ilvl="4" w:tplc="3CE6BFF6" w:tentative="1">
      <w:start w:val="1"/>
      <w:numFmt w:val="bullet"/>
      <w:lvlText w:val="•"/>
      <w:lvlJc w:val="left"/>
      <w:pPr>
        <w:tabs>
          <w:tab w:val="num" w:pos="3600"/>
        </w:tabs>
        <w:ind w:left="3600" w:hanging="360"/>
      </w:pPr>
      <w:rPr>
        <w:rFonts w:ascii="Arial" w:hAnsi="Arial" w:hint="default"/>
      </w:rPr>
    </w:lvl>
    <w:lvl w:ilvl="5" w:tplc="ED2077AE" w:tentative="1">
      <w:start w:val="1"/>
      <w:numFmt w:val="bullet"/>
      <w:lvlText w:val="•"/>
      <w:lvlJc w:val="left"/>
      <w:pPr>
        <w:tabs>
          <w:tab w:val="num" w:pos="4320"/>
        </w:tabs>
        <w:ind w:left="4320" w:hanging="360"/>
      </w:pPr>
      <w:rPr>
        <w:rFonts w:ascii="Arial" w:hAnsi="Arial" w:hint="default"/>
      </w:rPr>
    </w:lvl>
    <w:lvl w:ilvl="6" w:tplc="E2A80AF2" w:tentative="1">
      <w:start w:val="1"/>
      <w:numFmt w:val="bullet"/>
      <w:lvlText w:val="•"/>
      <w:lvlJc w:val="left"/>
      <w:pPr>
        <w:tabs>
          <w:tab w:val="num" w:pos="5040"/>
        </w:tabs>
        <w:ind w:left="5040" w:hanging="360"/>
      </w:pPr>
      <w:rPr>
        <w:rFonts w:ascii="Arial" w:hAnsi="Arial" w:hint="default"/>
      </w:rPr>
    </w:lvl>
    <w:lvl w:ilvl="7" w:tplc="201AEBCA" w:tentative="1">
      <w:start w:val="1"/>
      <w:numFmt w:val="bullet"/>
      <w:lvlText w:val="•"/>
      <w:lvlJc w:val="left"/>
      <w:pPr>
        <w:tabs>
          <w:tab w:val="num" w:pos="5760"/>
        </w:tabs>
        <w:ind w:left="5760" w:hanging="360"/>
      </w:pPr>
      <w:rPr>
        <w:rFonts w:ascii="Arial" w:hAnsi="Arial" w:hint="default"/>
      </w:rPr>
    </w:lvl>
    <w:lvl w:ilvl="8" w:tplc="40AC5CA6" w:tentative="1">
      <w:start w:val="1"/>
      <w:numFmt w:val="bullet"/>
      <w:lvlText w:val="•"/>
      <w:lvlJc w:val="left"/>
      <w:pPr>
        <w:tabs>
          <w:tab w:val="num" w:pos="6480"/>
        </w:tabs>
        <w:ind w:left="6480" w:hanging="360"/>
      </w:pPr>
      <w:rPr>
        <w:rFonts w:ascii="Arial" w:hAnsi="Arial" w:hint="default"/>
      </w:rPr>
    </w:lvl>
  </w:abstractNum>
  <w:abstractNum w:abstractNumId="8">
    <w:nsid w:val="151F6990"/>
    <w:multiLevelType w:val="hybridMultilevel"/>
    <w:tmpl w:val="10EA57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C7151CD"/>
    <w:multiLevelType w:val="hybridMultilevel"/>
    <w:tmpl w:val="C4603B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CE53D1"/>
    <w:multiLevelType w:val="hybridMultilevel"/>
    <w:tmpl w:val="5D805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203708"/>
    <w:multiLevelType w:val="hybridMultilevel"/>
    <w:tmpl w:val="E92A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119AF"/>
    <w:multiLevelType w:val="hybridMultilevel"/>
    <w:tmpl w:val="21A290A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31CC2EB6"/>
    <w:multiLevelType w:val="hybridMultilevel"/>
    <w:tmpl w:val="6DB058AA"/>
    <w:lvl w:ilvl="0" w:tplc="FF88ABAC">
      <w:start w:val="1"/>
      <w:numFmt w:val="bullet"/>
      <w:lvlText w:val=""/>
      <w:lvlJc w:val="left"/>
      <w:pPr>
        <w:tabs>
          <w:tab w:val="num" w:pos="720"/>
        </w:tabs>
        <w:ind w:left="720" w:hanging="360"/>
      </w:pPr>
      <w:rPr>
        <w:rFonts w:ascii="Wingdings" w:hAnsi="Wingdings" w:hint="default"/>
      </w:rPr>
    </w:lvl>
    <w:lvl w:ilvl="1" w:tplc="777689BE">
      <w:start w:val="1"/>
      <w:numFmt w:val="bullet"/>
      <w:lvlText w:val=""/>
      <w:lvlJc w:val="left"/>
      <w:pPr>
        <w:tabs>
          <w:tab w:val="num" w:pos="1440"/>
        </w:tabs>
        <w:ind w:left="1440" w:hanging="360"/>
      </w:pPr>
      <w:rPr>
        <w:rFonts w:ascii="Wingdings" w:hAnsi="Wingdings" w:hint="default"/>
      </w:rPr>
    </w:lvl>
    <w:lvl w:ilvl="2" w:tplc="E960A582">
      <w:start w:val="78"/>
      <w:numFmt w:val="bullet"/>
      <w:lvlText w:val=""/>
      <w:lvlJc w:val="left"/>
      <w:pPr>
        <w:tabs>
          <w:tab w:val="num" w:pos="2160"/>
        </w:tabs>
        <w:ind w:left="2160" w:hanging="360"/>
      </w:pPr>
      <w:rPr>
        <w:rFonts w:ascii="Wingdings" w:hAnsi="Wingdings" w:hint="default"/>
      </w:rPr>
    </w:lvl>
    <w:lvl w:ilvl="3" w:tplc="05C25BA4" w:tentative="1">
      <w:start w:val="1"/>
      <w:numFmt w:val="bullet"/>
      <w:lvlText w:val=""/>
      <w:lvlJc w:val="left"/>
      <w:pPr>
        <w:tabs>
          <w:tab w:val="num" w:pos="2880"/>
        </w:tabs>
        <w:ind w:left="2880" w:hanging="360"/>
      </w:pPr>
      <w:rPr>
        <w:rFonts w:ascii="Wingdings" w:hAnsi="Wingdings" w:hint="default"/>
      </w:rPr>
    </w:lvl>
    <w:lvl w:ilvl="4" w:tplc="1C8685C2" w:tentative="1">
      <w:start w:val="1"/>
      <w:numFmt w:val="bullet"/>
      <w:lvlText w:val=""/>
      <w:lvlJc w:val="left"/>
      <w:pPr>
        <w:tabs>
          <w:tab w:val="num" w:pos="3600"/>
        </w:tabs>
        <w:ind w:left="3600" w:hanging="360"/>
      </w:pPr>
      <w:rPr>
        <w:rFonts w:ascii="Wingdings" w:hAnsi="Wingdings" w:hint="default"/>
      </w:rPr>
    </w:lvl>
    <w:lvl w:ilvl="5" w:tplc="EBD868E0" w:tentative="1">
      <w:start w:val="1"/>
      <w:numFmt w:val="bullet"/>
      <w:lvlText w:val=""/>
      <w:lvlJc w:val="left"/>
      <w:pPr>
        <w:tabs>
          <w:tab w:val="num" w:pos="4320"/>
        </w:tabs>
        <w:ind w:left="4320" w:hanging="360"/>
      </w:pPr>
      <w:rPr>
        <w:rFonts w:ascii="Wingdings" w:hAnsi="Wingdings" w:hint="default"/>
      </w:rPr>
    </w:lvl>
    <w:lvl w:ilvl="6" w:tplc="F87097D8" w:tentative="1">
      <w:start w:val="1"/>
      <w:numFmt w:val="bullet"/>
      <w:lvlText w:val=""/>
      <w:lvlJc w:val="left"/>
      <w:pPr>
        <w:tabs>
          <w:tab w:val="num" w:pos="5040"/>
        </w:tabs>
        <w:ind w:left="5040" w:hanging="360"/>
      </w:pPr>
      <w:rPr>
        <w:rFonts w:ascii="Wingdings" w:hAnsi="Wingdings" w:hint="default"/>
      </w:rPr>
    </w:lvl>
    <w:lvl w:ilvl="7" w:tplc="A63CD1CA" w:tentative="1">
      <w:start w:val="1"/>
      <w:numFmt w:val="bullet"/>
      <w:lvlText w:val=""/>
      <w:lvlJc w:val="left"/>
      <w:pPr>
        <w:tabs>
          <w:tab w:val="num" w:pos="5760"/>
        </w:tabs>
        <w:ind w:left="5760" w:hanging="360"/>
      </w:pPr>
      <w:rPr>
        <w:rFonts w:ascii="Wingdings" w:hAnsi="Wingdings" w:hint="default"/>
      </w:rPr>
    </w:lvl>
    <w:lvl w:ilvl="8" w:tplc="DD94FF60" w:tentative="1">
      <w:start w:val="1"/>
      <w:numFmt w:val="bullet"/>
      <w:lvlText w:val=""/>
      <w:lvlJc w:val="left"/>
      <w:pPr>
        <w:tabs>
          <w:tab w:val="num" w:pos="6480"/>
        </w:tabs>
        <w:ind w:left="6480" w:hanging="360"/>
      </w:pPr>
      <w:rPr>
        <w:rFonts w:ascii="Wingdings" w:hAnsi="Wingdings" w:hint="default"/>
      </w:rPr>
    </w:lvl>
  </w:abstractNum>
  <w:abstractNum w:abstractNumId="14">
    <w:nsid w:val="33E225AE"/>
    <w:multiLevelType w:val="hybridMultilevel"/>
    <w:tmpl w:val="9CC4B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56755F"/>
    <w:multiLevelType w:val="hybridMultilevel"/>
    <w:tmpl w:val="4B4C25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B72EF"/>
    <w:multiLevelType w:val="hybridMultilevel"/>
    <w:tmpl w:val="C7DE1B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E45319"/>
    <w:multiLevelType w:val="hybridMultilevel"/>
    <w:tmpl w:val="41CCB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794113"/>
    <w:multiLevelType w:val="hybridMultilevel"/>
    <w:tmpl w:val="79D69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460E9"/>
    <w:multiLevelType w:val="hybridMultilevel"/>
    <w:tmpl w:val="46B635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44E25054"/>
    <w:multiLevelType w:val="hybridMultilevel"/>
    <w:tmpl w:val="F1165F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7778F1"/>
    <w:multiLevelType w:val="hybridMultilevel"/>
    <w:tmpl w:val="0F22E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84EB5"/>
    <w:multiLevelType w:val="hybridMultilevel"/>
    <w:tmpl w:val="775EE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60399"/>
    <w:multiLevelType w:val="hybridMultilevel"/>
    <w:tmpl w:val="5AB690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1F32B6A"/>
    <w:multiLevelType w:val="hybridMultilevel"/>
    <w:tmpl w:val="944480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2F1517"/>
    <w:multiLevelType w:val="hybridMultilevel"/>
    <w:tmpl w:val="75AA8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866551"/>
    <w:multiLevelType w:val="hybridMultilevel"/>
    <w:tmpl w:val="1BBA13C6"/>
    <w:lvl w:ilvl="0" w:tplc="1C261DF2">
      <w:start w:val="54"/>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nsid w:val="5CDE7D6F"/>
    <w:multiLevelType w:val="hybridMultilevel"/>
    <w:tmpl w:val="BD96C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22ABA"/>
    <w:multiLevelType w:val="hybridMultilevel"/>
    <w:tmpl w:val="AB74F31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DEA127A"/>
    <w:multiLevelType w:val="hybridMultilevel"/>
    <w:tmpl w:val="2B281B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965D45"/>
    <w:multiLevelType w:val="hybridMultilevel"/>
    <w:tmpl w:val="C7FE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5B031D"/>
    <w:multiLevelType w:val="hybridMultilevel"/>
    <w:tmpl w:val="524227A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215EDC"/>
    <w:multiLevelType w:val="hybridMultilevel"/>
    <w:tmpl w:val="B0600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5A00443"/>
    <w:multiLevelType w:val="hybridMultilevel"/>
    <w:tmpl w:val="355A33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5102AA"/>
    <w:multiLevelType w:val="hybridMultilevel"/>
    <w:tmpl w:val="BCFE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B605EA"/>
    <w:multiLevelType w:val="hybridMultilevel"/>
    <w:tmpl w:val="2DD8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592A8E"/>
    <w:multiLevelType w:val="hybridMultilevel"/>
    <w:tmpl w:val="677A47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nsid w:val="6CFE27DE"/>
    <w:multiLevelType w:val="hybridMultilevel"/>
    <w:tmpl w:val="5A7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D458EA"/>
    <w:multiLevelType w:val="hybridMultilevel"/>
    <w:tmpl w:val="BD88AE16"/>
    <w:lvl w:ilvl="0" w:tplc="37C2948E">
      <w:start w:val="1"/>
      <w:numFmt w:val="bullet"/>
      <w:lvlText w:val="•"/>
      <w:lvlJc w:val="left"/>
      <w:pPr>
        <w:tabs>
          <w:tab w:val="num" w:pos="720"/>
        </w:tabs>
        <w:ind w:left="720" w:hanging="360"/>
      </w:pPr>
      <w:rPr>
        <w:rFonts w:ascii="Arial" w:hAnsi="Arial" w:hint="default"/>
      </w:rPr>
    </w:lvl>
    <w:lvl w:ilvl="1" w:tplc="B8BA304C">
      <w:start w:val="1"/>
      <w:numFmt w:val="bullet"/>
      <w:lvlText w:val="•"/>
      <w:lvlJc w:val="left"/>
      <w:pPr>
        <w:tabs>
          <w:tab w:val="num" w:pos="1440"/>
        </w:tabs>
        <w:ind w:left="1440" w:hanging="360"/>
      </w:pPr>
      <w:rPr>
        <w:rFonts w:ascii="Arial" w:hAnsi="Arial" w:hint="default"/>
      </w:rPr>
    </w:lvl>
    <w:lvl w:ilvl="2" w:tplc="5FE4317E">
      <w:start w:val="54"/>
      <w:numFmt w:val="bullet"/>
      <w:lvlText w:val="•"/>
      <w:lvlJc w:val="left"/>
      <w:pPr>
        <w:tabs>
          <w:tab w:val="num" w:pos="2160"/>
        </w:tabs>
        <w:ind w:left="2160" w:hanging="360"/>
      </w:pPr>
      <w:rPr>
        <w:rFonts w:ascii="Arial" w:hAnsi="Arial" w:hint="default"/>
      </w:rPr>
    </w:lvl>
    <w:lvl w:ilvl="3" w:tplc="3E2684C6" w:tentative="1">
      <w:start w:val="1"/>
      <w:numFmt w:val="bullet"/>
      <w:lvlText w:val="•"/>
      <w:lvlJc w:val="left"/>
      <w:pPr>
        <w:tabs>
          <w:tab w:val="num" w:pos="2880"/>
        </w:tabs>
        <w:ind w:left="2880" w:hanging="360"/>
      </w:pPr>
      <w:rPr>
        <w:rFonts w:ascii="Arial" w:hAnsi="Arial" w:hint="default"/>
      </w:rPr>
    </w:lvl>
    <w:lvl w:ilvl="4" w:tplc="07E41C1A" w:tentative="1">
      <w:start w:val="1"/>
      <w:numFmt w:val="bullet"/>
      <w:lvlText w:val="•"/>
      <w:lvlJc w:val="left"/>
      <w:pPr>
        <w:tabs>
          <w:tab w:val="num" w:pos="3600"/>
        </w:tabs>
        <w:ind w:left="3600" w:hanging="360"/>
      </w:pPr>
      <w:rPr>
        <w:rFonts w:ascii="Arial" w:hAnsi="Arial" w:hint="default"/>
      </w:rPr>
    </w:lvl>
    <w:lvl w:ilvl="5" w:tplc="6C243182" w:tentative="1">
      <w:start w:val="1"/>
      <w:numFmt w:val="bullet"/>
      <w:lvlText w:val="•"/>
      <w:lvlJc w:val="left"/>
      <w:pPr>
        <w:tabs>
          <w:tab w:val="num" w:pos="4320"/>
        </w:tabs>
        <w:ind w:left="4320" w:hanging="360"/>
      </w:pPr>
      <w:rPr>
        <w:rFonts w:ascii="Arial" w:hAnsi="Arial" w:hint="default"/>
      </w:rPr>
    </w:lvl>
    <w:lvl w:ilvl="6" w:tplc="CC7A0F2E" w:tentative="1">
      <w:start w:val="1"/>
      <w:numFmt w:val="bullet"/>
      <w:lvlText w:val="•"/>
      <w:lvlJc w:val="left"/>
      <w:pPr>
        <w:tabs>
          <w:tab w:val="num" w:pos="5040"/>
        </w:tabs>
        <w:ind w:left="5040" w:hanging="360"/>
      </w:pPr>
      <w:rPr>
        <w:rFonts w:ascii="Arial" w:hAnsi="Arial" w:hint="default"/>
      </w:rPr>
    </w:lvl>
    <w:lvl w:ilvl="7" w:tplc="BC3CC846" w:tentative="1">
      <w:start w:val="1"/>
      <w:numFmt w:val="bullet"/>
      <w:lvlText w:val="•"/>
      <w:lvlJc w:val="left"/>
      <w:pPr>
        <w:tabs>
          <w:tab w:val="num" w:pos="5760"/>
        </w:tabs>
        <w:ind w:left="5760" w:hanging="360"/>
      </w:pPr>
      <w:rPr>
        <w:rFonts w:ascii="Arial" w:hAnsi="Arial" w:hint="default"/>
      </w:rPr>
    </w:lvl>
    <w:lvl w:ilvl="8" w:tplc="D7D814E4" w:tentative="1">
      <w:start w:val="1"/>
      <w:numFmt w:val="bullet"/>
      <w:lvlText w:val="•"/>
      <w:lvlJc w:val="left"/>
      <w:pPr>
        <w:tabs>
          <w:tab w:val="num" w:pos="6480"/>
        </w:tabs>
        <w:ind w:left="6480" w:hanging="360"/>
      </w:pPr>
      <w:rPr>
        <w:rFonts w:ascii="Arial" w:hAnsi="Arial" w:hint="default"/>
      </w:rPr>
    </w:lvl>
  </w:abstractNum>
  <w:abstractNum w:abstractNumId="39">
    <w:nsid w:val="705D726B"/>
    <w:multiLevelType w:val="hybridMultilevel"/>
    <w:tmpl w:val="95A0B5D6"/>
    <w:lvl w:ilvl="0" w:tplc="1C261DF2">
      <w:start w:val="54"/>
      <w:numFmt w:val="bullet"/>
      <w:lvlText w:val="•"/>
      <w:lvlJc w:val="left"/>
      <w:pPr>
        <w:tabs>
          <w:tab w:val="num" w:pos="1800"/>
        </w:tabs>
        <w:ind w:left="180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8940646"/>
    <w:multiLevelType w:val="hybridMultilevel"/>
    <w:tmpl w:val="BA90A0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A18315A"/>
    <w:multiLevelType w:val="hybridMultilevel"/>
    <w:tmpl w:val="18A4A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2"/>
  </w:num>
  <w:num w:numId="3">
    <w:abstractNumId w:val="15"/>
  </w:num>
  <w:num w:numId="4">
    <w:abstractNumId w:val="18"/>
  </w:num>
  <w:num w:numId="5">
    <w:abstractNumId w:val="11"/>
  </w:num>
  <w:num w:numId="6">
    <w:abstractNumId w:val="10"/>
  </w:num>
  <w:num w:numId="7">
    <w:abstractNumId w:val="7"/>
  </w:num>
  <w:num w:numId="8">
    <w:abstractNumId w:val="26"/>
  </w:num>
  <w:num w:numId="9">
    <w:abstractNumId w:val="38"/>
  </w:num>
  <w:num w:numId="10">
    <w:abstractNumId w:val="39"/>
  </w:num>
  <w:num w:numId="11">
    <w:abstractNumId w:val="1"/>
  </w:num>
  <w:num w:numId="12">
    <w:abstractNumId w:val="23"/>
  </w:num>
  <w:num w:numId="13">
    <w:abstractNumId w:val="32"/>
  </w:num>
  <w:num w:numId="14">
    <w:abstractNumId w:val="24"/>
  </w:num>
  <w:num w:numId="15">
    <w:abstractNumId w:val="14"/>
  </w:num>
  <w:num w:numId="16">
    <w:abstractNumId w:val="21"/>
  </w:num>
  <w:num w:numId="17">
    <w:abstractNumId w:val="20"/>
  </w:num>
  <w:num w:numId="18">
    <w:abstractNumId w:val="17"/>
  </w:num>
  <w:num w:numId="19">
    <w:abstractNumId w:val="30"/>
  </w:num>
  <w:num w:numId="20">
    <w:abstractNumId w:val="5"/>
  </w:num>
  <w:num w:numId="21">
    <w:abstractNumId w:val="4"/>
  </w:num>
  <w:num w:numId="22">
    <w:abstractNumId w:val="27"/>
  </w:num>
  <w:num w:numId="23">
    <w:abstractNumId w:val="40"/>
  </w:num>
  <w:num w:numId="24">
    <w:abstractNumId w:val="8"/>
  </w:num>
  <w:num w:numId="25">
    <w:abstractNumId w:val="0"/>
  </w:num>
  <w:num w:numId="26">
    <w:abstractNumId w:val="28"/>
  </w:num>
  <w:num w:numId="27">
    <w:abstractNumId w:val="33"/>
  </w:num>
  <w:num w:numId="28">
    <w:abstractNumId w:val="34"/>
  </w:num>
  <w:num w:numId="29">
    <w:abstractNumId w:val="6"/>
  </w:num>
  <w:num w:numId="30">
    <w:abstractNumId w:val="31"/>
  </w:num>
  <w:num w:numId="31">
    <w:abstractNumId w:val="2"/>
  </w:num>
  <w:num w:numId="32">
    <w:abstractNumId w:val="16"/>
  </w:num>
  <w:num w:numId="33">
    <w:abstractNumId w:val="22"/>
  </w:num>
  <w:num w:numId="34">
    <w:abstractNumId w:val="35"/>
  </w:num>
  <w:num w:numId="35">
    <w:abstractNumId w:val="25"/>
  </w:num>
  <w:num w:numId="36">
    <w:abstractNumId w:val="41"/>
  </w:num>
  <w:num w:numId="37">
    <w:abstractNumId w:val="3"/>
  </w:num>
  <w:num w:numId="38">
    <w:abstractNumId w:val="37"/>
  </w:num>
  <w:num w:numId="39">
    <w:abstractNumId w:val="19"/>
  </w:num>
  <w:num w:numId="40">
    <w:abstractNumId w:val="36"/>
  </w:num>
  <w:num w:numId="41">
    <w:abstractNumId w:val="9"/>
  </w:num>
  <w:num w:numId="42">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B6"/>
    <w:rsid w:val="00013BDC"/>
    <w:rsid w:val="00024B9B"/>
    <w:rsid w:val="00042223"/>
    <w:rsid w:val="0004295B"/>
    <w:rsid w:val="000579A4"/>
    <w:rsid w:val="000970BD"/>
    <w:rsid w:val="000A6CB7"/>
    <w:rsid w:val="000C078E"/>
    <w:rsid w:val="000D000E"/>
    <w:rsid w:val="000E5032"/>
    <w:rsid w:val="00110E71"/>
    <w:rsid w:val="00115F79"/>
    <w:rsid w:val="00141606"/>
    <w:rsid w:val="00177B11"/>
    <w:rsid w:val="001B63ED"/>
    <w:rsid w:val="00201C84"/>
    <w:rsid w:val="002205E7"/>
    <w:rsid w:val="0022668C"/>
    <w:rsid w:val="00252FDD"/>
    <w:rsid w:val="00272DD8"/>
    <w:rsid w:val="002F6C6A"/>
    <w:rsid w:val="00301C13"/>
    <w:rsid w:val="00312FB8"/>
    <w:rsid w:val="003177A8"/>
    <w:rsid w:val="003C374E"/>
    <w:rsid w:val="003C6443"/>
    <w:rsid w:val="00427F59"/>
    <w:rsid w:val="0045741A"/>
    <w:rsid w:val="00476C38"/>
    <w:rsid w:val="0048143B"/>
    <w:rsid w:val="004D4C72"/>
    <w:rsid w:val="004F1518"/>
    <w:rsid w:val="00504092"/>
    <w:rsid w:val="00510530"/>
    <w:rsid w:val="00561B97"/>
    <w:rsid w:val="005E10A1"/>
    <w:rsid w:val="006664C9"/>
    <w:rsid w:val="007648C7"/>
    <w:rsid w:val="007A645F"/>
    <w:rsid w:val="007B3BB7"/>
    <w:rsid w:val="007B77C3"/>
    <w:rsid w:val="007C1DE5"/>
    <w:rsid w:val="007E3246"/>
    <w:rsid w:val="007F06F6"/>
    <w:rsid w:val="00803065"/>
    <w:rsid w:val="00865356"/>
    <w:rsid w:val="00876823"/>
    <w:rsid w:val="008B4E27"/>
    <w:rsid w:val="008D2622"/>
    <w:rsid w:val="009037A0"/>
    <w:rsid w:val="00924290"/>
    <w:rsid w:val="00956730"/>
    <w:rsid w:val="009A77C0"/>
    <w:rsid w:val="009D1B8E"/>
    <w:rsid w:val="00A017BA"/>
    <w:rsid w:val="00A43FDE"/>
    <w:rsid w:val="00A73F91"/>
    <w:rsid w:val="00A921CC"/>
    <w:rsid w:val="00AB3746"/>
    <w:rsid w:val="00AB6943"/>
    <w:rsid w:val="00AC3AD6"/>
    <w:rsid w:val="00AD3DC2"/>
    <w:rsid w:val="00AD3EA4"/>
    <w:rsid w:val="00AE3373"/>
    <w:rsid w:val="00B15032"/>
    <w:rsid w:val="00B229D9"/>
    <w:rsid w:val="00B3049E"/>
    <w:rsid w:val="00B43931"/>
    <w:rsid w:val="00B51340"/>
    <w:rsid w:val="00B8775E"/>
    <w:rsid w:val="00B97593"/>
    <w:rsid w:val="00BF4B38"/>
    <w:rsid w:val="00C15113"/>
    <w:rsid w:val="00C776E7"/>
    <w:rsid w:val="00C81C18"/>
    <w:rsid w:val="00C979E1"/>
    <w:rsid w:val="00CB566D"/>
    <w:rsid w:val="00CE20E9"/>
    <w:rsid w:val="00D36987"/>
    <w:rsid w:val="00D53177"/>
    <w:rsid w:val="00D63E55"/>
    <w:rsid w:val="00D94FE8"/>
    <w:rsid w:val="00DD02FB"/>
    <w:rsid w:val="00DF59D0"/>
    <w:rsid w:val="00E03037"/>
    <w:rsid w:val="00E226B6"/>
    <w:rsid w:val="00E86F22"/>
    <w:rsid w:val="00E90414"/>
    <w:rsid w:val="00E90D9F"/>
    <w:rsid w:val="00E93C56"/>
    <w:rsid w:val="00E96E63"/>
    <w:rsid w:val="00ED4700"/>
    <w:rsid w:val="00ED54B7"/>
    <w:rsid w:val="00EE4F08"/>
    <w:rsid w:val="00F12A28"/>
    <w:rsid w:val="00F31319"/>
    <w:rsid w:val="00F647CC"/>
    <w:rsid w:val="00F6730A"/>
    <w:rsid w:val="00FA731D"/>
    <w:rsid w:val="00FC0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E"/>
    <w:pPr>
      <w:ind w:left="720"/>
      <w:contextualSpacing/>
    </w:pPr>
  </w:style>
  <w:style w:type="character" w:styleId="Hyperlink">
    <w:name w:val="Hyperlink"/>
    <w:basedOn w:val="DefaultParagraphFont"/>
    <w:uiPriority w:val="99"/>
    <w:unhideWhenUsed/>
    <w:rsid w:val="000A6CB7"/>
    <w:rPr>
      <w:color w:val="0563C1" w:themeColor="hyperlink"/>
      <w:u w:val="single"/>
    </w:rPr>
  </w:style>
  <w:style w:type="character" w:styleId="FollowedHyperlink">
    <w:name w:val="FollowedHyperlink"/>
    <w:basedOn w:val="DefaultParagraphFont"/>
    <w:uiPriority w:val="99"/>
    <w:semiHidden/>
    <w:unhideWhenUsed/>
    <w:rsid w:val="000A6CB7"/>
    <w:rPr>
      <w:color w:val="954F72" w:themeColor="followedHyperlink"/>
      <w:u w:val="single"/>
    </w:rPr>
  </w:style>
  <w:style w:type="paragraph" w:styleId="BalloonText">
    <w:name w:val="Balloon Text"/>
    <w:basedOn w:val="Normal"/>
    <w:link w:val="BalloonTextChar"/>
    <w:uiPriority w:val="99"/>
    <w:semiHidden/>
    <w:unhideWhenUsed/>
    <w:rsid w:val="00E9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63"/>
    <w:rPr>
      <w:rFonts w:ascii="Tahoma" w:hAnsi="Tahoma" w:cs="Tahoma"/>
      <w:sz w:val="16"/>
      <w:szCs w:val="16"/>
    </w:rPr>
  </w:style>
  <w:style w:type="character" w:styleId="CommentReference">
    <w:name w:val="annotation reference"/>
    <w:basedOn w:val="DefaultParagraphFont"/>
    <w:uiPriority w:val="99"/>
    <w:semiHidden/>
    <w:unhideWhenUsed/>
    <w:rsid w:val="00E96E63"/>
    <w:rPr>
      <w:sz w:val="16"/>
      <w:szCs w:val="16"/>
    </w:rPr>
  </w:style>
  <w:style w:type="paragraph" w:styleId="CommentText">
    <w:name w:val="annotation text"/>
    <w:basedOn w:val="Normal"/>
    <w:link w:val="CommentTextChar"/>
    <w:uiPriority w:val="99"/>
    <w:semiHidden/>
    <w:unhideWhenUsed/>
    <w:rsid w:val="00E96E63"/>
    <w:pPr>
      <w:spacing w:line="240" w:lineRule="auto"/>
    </w:pPr>
    <w:rPr>
      <w:sz w:val="20"/>
      <w:szCs w:val="20"/>
    </w:rPr>
  </w:style>
  <w:style w:type="character" w:customStyle="1" w:styleId="CommentTextChar">
    <w:name w:val="Comment Text Char"/>
    <w:basedOn w:val="DefaultParagraphFont"/>
    <w:link w:val="CommentText"/>
    <w:uiPriority w:val="99"/>
    <w:semiHidden/>
    <w:rsid w:val="00E96E63"/>
    <w:rPr>
      <w:sz w:val="20"/>
      <w:szCs w:val="20"/>
    </w:rPr>
  </w:style>
  <w:style w:type="paragraph" w:styleId="CommentSubject">
    <w:name w:val="annotation subject"/>
    <w:basedOn w:val="CommentText"/>
    <w:next w:val="CommentText"/>
    <w:link w:val="CommentSubjectChar"/>
    <w:uiPriority w:val="99"/>
    <w:semiHidden/>
    <w:unhideWhenUsed/>
    <w:rsid w:val="00E96E63"/>
    <w:rPr>
      <w:b/>
      <w:bCs/>
    </w:rPr>
  </w:style>
  <w:style w:type="character" w:customStyle="1" w:styleId="CommentSubjectChar">
    <w:name w:val="Comment Subject Char"/>
    <w:basedOn w:val="CommentTextChar"/>
    <w:link w:val="CommentSubject"/>
    <w:uiPriority w:val="99"/>
    <w:semiHidden/>
    <w:rsid w:val="00E96E63"/>
    <w:rPr>
      <w:b/>
      <w:bCs/>
      <w:sz w:val="20"/>
      <w:szCs w:val="20"/>
    </w:rPr>
  </w:style>
  <w:style w:type="paragraph" w:styleId="Revision">
    <w:name w:val="Revision"/>
    <w:hidden/>
    <w:uiPriority w:val="99"/>
    <w:semiHidden/>
    <w:rsid w:val="00A921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E"/>
    <w:pPr>
      <w:ind w:left="720"/>
      <w:contextualSpacing/>
    </w:pPr>
  </w:style>
  <w:style w:type="character" w:styleId="Hyperlink">
    <w:name w:val="Hyperlink"/>
    <w:basedOn w:val="DefaultParagraphFont"/>
    <w:uiPriority w:val="99"/>
    <w:unhideWhenUsed/>
    <w:rsid w:val="000A6CB7"/>
    <w:rPr>
      <w:color w:val="0563C1" w:themeColor="hyperlink"/>
      <w:u w:val="single"/>
    </w:rPr>
  </w:style>
  <w:style w:type="character" w:styleId="FollowedHyperlink">
    <w:name w:val="FollowedHyperlink"/>
    <w:basedOn w:val="DefaultParagraphFont"/>
    <w:uiPriority w:val="99"/>
    <w:semiHidden/>
    <w:unhideWhenUsed/>
    <w:rsid w:val="000A6CB7"/>
    <w:rPr>
      <w:color w:val="954F72" w:themeColor="followedHyperlink"/>
      <w:u w:val="single"/>
    </w:rPr>
  </w:style>
  <w:style w:type="paragraph" w:styleId="BalloonText">
    <w:name w:val="Balloon Text"/>
    <w:basedOn w:val="Normal"/>
    <w:link w:val="BalloonTextChar"/>
    <w:uiPriority w:val="99"/>
    <w:semiHidden/>
    <w:unhideWhenUsed/>
    <w:rsid w:val="00E9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E63"/>
    <w:rPr>
      <w:rFonts w:ascii="Tahoma" w:hAnsi="Tahoma" w:cs="Tahoma"/>
      <w:sz w:val="16"/>
      <w:szCs w:val="16"/>
    </w:rPr>
  </w:style>
  <w:style w:type="character" w:styleId="CommentReference">
    <w:name w:val="annotation reference"/>
    <w:basedOn w:val="DefaultParagraphFont"/>
    <w:uiPriority w:val="99"/>
    <w:semiHidden/>
    <w:unhideWhenUsed/>
    <w:rsid w:val="00E96E63"/>
    <w:rPr>
      <w:sz w:val="16"/>
      <w:szCs w:val="16"/>
    </w:rPr>
  </w:style>
  <w:style w:type="paragraph" w:styleId="CommentText">
    <w:name w:val="annotation text"/>
    <w:basedOn w:val="Normal"/>
    <w:link w:val="CommentTextChar"/>
    <w:uiPriority w:val="99"/>
    <w:semiHidden/>
    <w:unhideWhenUsed/>
    <w:rsid w:val="00E96E63"/>
    <w:pPr>
      <w:spacing w:line="240" w:lineRule="auto"/>
    </w:pPr>
    <w:rPr>
      <w:sz w:val="20"/>
      <w:szCs w:val="20"/>
    </w:rPr>
  </w:style>
  <w:style w:type="character" w:customStyle="1" w:styleId="CommentTextChar">
    <w:name w:val="Comment Text Char"/>
    <w:basedOn w:val="DefaultParagraphFont"/>
    <w:link w:val="CommentText"/>
    <w:uiPriority w:val="99"/>
    <w:semiHidden/>
    <w:rsid w:val="00E96E63"/>
    <w:rPr>
      <w:sz w:val="20"/>
      <w:szCs w:val="20"/>
    </w:rPr>
  </w:style>
  <w:style w:type="paragraph" w:styleId="CommentSubject">
    <w:name w:val="annotation subject"/>
    <w:basedOn w:val="CommentText"/>
    <w:next w:val="CommentText"/>
    <w:link w:val="CommentSubjectChar"/>
    <w:uiPriority w:val="99"/>
    <w:semiHidden/>
    <w:unhideWhenUsed/>
    <w:rsid w:val="00E96E63"/>
    <w:rPr>
      <w:b/>
      <w:bCs/>
    </w:rPr>
  </w:style>
  <w:style w:type="character" w:customStyle="1" w:styleId="CommentSubjectChar">
    <w:name w:val="Comment Subject Char"/>
    <w:basedOn w:val="CommentTextChar"/>
    <w:link w:val="CommentSubject"/>
    <w:uiPriority w:val="99"/>
    <w:semiHidden/>
    <w:rsid w:val="00E96E63"/>
    <w:rPr>
      <w:b/>
      <w:bCs/>
      <w:sz w:val="20"/>
      <w:szCs w:val="20"/>
    </w:rPr>
  </w:style>
  <w:style w:type="paragraph" w:styleId="Revision">
    <w:name w:val="Revision"/>
    <w:hidden/>
    <w:uiPriority w:val="99"/>
    <w:semiHidden/>
    <w:rsid w:val="00A92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32755">
      <w:bodyDiv w:val="1"/>
      <w:marLeft w:val="0"/>
      <w:marRight w:val="0"/>
      <w:marTop w:val="0"/>
      <w:marBottom w:val="0"/>
      <w:divBdr>
        <w:top w:val="none" w:sz="0" w:space="0" w:color="auto"/>
        <w:left w:val="none" w:sz="0" w:space="0" w:color="auto"/>
        <w:bottom w:val="none" w:sz="0" w:space="0" w:color="auto"/>
        <w:right w:val="none" w:sz="0" w:space="0" w:color="auto"/>
      </w:divBdr>
      <w:divsChild>
        <w:div w:id="855997542">
          <w:marLeft w:val="1080"/>
          <w:marRight w:val="0"/>
          <w:marTop w:val="120"/>
          <w:marBottom w:val="0"/>
          <w:divBdr>
            <w:top w:val="none" w:sz="0" w:space="0" w:color="auto"/>
            <w:left w:val="none" w:sz="0" w:space="0" w:color="auto"/>
            <w:bottom w:val="none" w:sz="0" w:space="0" w:color="auto"/>
            <w:right w:val="none" w:sz="0" w:space="0" w:color="auto"/>
          </w:divBdr>
        </w:div>
        <w:div w:id="1493330121">
          <w:marLeft w:val="1714"/>
          <w:marRight w:val="0"/>
          <w:marTop w:val="120"/>
          <w:marBottom w:val="0"/>
          <w:divBdr>
            <w:top w:val="none" w:sz="0" w:space="0" w:color="auto"/>
            <w:left w:val="none" w:sz="0" w:space="0" w:color="auto"/>
            <w:bottom w:val="none" w:sz="0" w:space="0" w:color="auto"/>
            <w:right w:val="none" w:sz="0" w:space="0" w:color="auto"/>
          </w:divBdr>
        </w:div>
        <w:div w:id="599145434">
          <w:marLeft w:val="1714"/>
          <w:marRight w:val="0"/>
          <w:marTop w:val="120"/>
          <w:marBottom w:val="0"/>
          <w:divBdr>
            <w:top w:val="none" w:sz="0" w:space="0" w:color="auto"/>
            <w:left w:val="none" w:sz="0" w:space="0" w:color="auto"/>
            <w:bottom w:val="none" w:sz="0" w:space="0" w:color="auto"/>
            <w:right w:val="none" w:sz="0" w:space="0" w:color="auto"/>
          </w:divBdr>
        </w:div>
        <w:div w:id="1769425979">
          <w:marLeft w:val="1714"/>
          <w:marRight w:val="0"/>
          <w:marTop w:val="120"/>
          <w:marBottom w:val="0"/>
          <w:divBdr>
            <w:top w:val="none" w:sz="0" w:space="0" w:color="auto"/>
            <w:left w:val="none" w:sz="0" w:space="0" w:color="auto"/>
            <w:bottom w:val="none" w:sz="0" w:space="0" w:color="auto"/>
            <w:right w:val="none" w:sz="0" w:space="0" w:color="auto"/>
          </w:divBdr>
        </w:div>
      </w:divsChild>
    </w:div>
    <w:div w:id="1385985417">
      <w:bodyDiv w:val="1"/>
      <w:marLeft w:val="0"/>
      <w:marRight w:val="0"/>
      <w:marTop w:val="0"/>
      <w:marBottom w:val="0"/>
      <w:divBdr>
        <w:top w:val="none" w:sz="0" w:space="0" w:color="auto"/>
        <w:left w:val="none" w:sz="0" w:space="0" w:color="auto"/>
        <w:bottom w:val="none" w:sz="0" w:space="0" w:color="auto"/>
        <w:right w:val="none" w:sz="0" w:space="0" w:color="auto"/>
      </w:divBdr>
      <w:divsChild>
        <w:div w:id="1611544989">
          <w:marLeft w:val="720"/>
          <w:marRight w:val="0"/>
          <w:marTop w:val="0"/>
          <w:marBottom w:val="0"/>
          <w:divBdr>
            <w:top w:val="none" w:sz="0" w:space="0" w:color="auto"/>
            <w:left w:val="none" w:sz="0" w:space="0" w:color="auto"/>
            <w:bottom w:val="none" w:sz="0" w:space="0" w:color="auto"/>
            <w:right w:val="none" w:sz="0" w:space="0" w:color="auto"/>
          </w:divBdr>
        </w:div>
        <w:div w:id="1385445215">
          <w:marLeft w:val="1440"/>
          <w:marRight w:val="0"/>
          <w:marTop w:val="0"/>
          <w:marBottom w:val="0"/>
          <w:divBdr>
            <w:top w:val="none" w:sz="0" w:space="0" w:color="auto"/>
            <w:left w:val="none" w:sz="0" w:space="0" w:color="auto"/>
            <w:bottom w:val="none" w:sz="0" w:space="0" w:color="auto"/>
            <w:right w:val="none" w:sz="0" w:space="0" w:color="auto"/>
          </w:divBdr>
        </w:div>
      </w:divsChild>
    </w:div>
    <w:div w:id="1513455014">
      <w:bodyDiv w:val="1"/>
      <w:marLeft w:val="0"/>
      <w:marRight w:val="0"/>
      <w:marTop w:val="0"/>
      <w:marBottom w:val="0"/>
      <w:divBdr>
        <w:top w:val="none" w:sz="0" w:space="0" w:color="auto"/>
        <w:left w:val="none" w:sz="0" w:space="0" w:color="auto"/>
        <w:bottom w:val="none" w:sz="0" w:space="0" w:color="auto"/>
        <w:right w:val="none" w:sz="0" w:space="0" w:color="auto"/>
      </w:divBdr>
      <w:divsChild>
        <w:div w:id="468597434">
          <w:marLeft w:val="1714"/>
          <w:marRight w:val="0"/>
          <w:marTop w:val="120"/>
          <w:marBottom w:val="0"/>
          <w:divBdr>
            <w:top w:val="none" w:sz="0" w:space="0" w:color="auto"/>
            <w:left w:val="none" w:sz="0" w:space="0" w:color="auto"/>
            <w:bottom w:val="none" w:sz="0" w:space="0" w:color="auto"/>
            <w:right w:val="none" w:sz="0" w:space="0" w:color="auto"/>
          </w:divBdr>
        </w:div>
        <w:div w:id="993871692">
          <w:marLeft w:val="1714"/>
          <w:marRight w:val="0"/>
          <w:marTop w:val="120"/>
          <w:marBottom w:val="0"/>
          <w:divBdr>
            <w:top w:val="none" w:sz="0" w:space="0" w:color="auto"/>
            <w:left w:val="none" w:sz="0" w:space="0" w:color="auto"/>
            <w:bottom w:val="none" w:sz="0" w:space="0" w:color="auto"/>
            <w:right w:val="none" w:sz="0" w:space="0" w:color="auto"/>
          </w:divBdr>
        </w:div>
      </w:divsChild>
    </w:div>
    <w:div w:id="1827430565">
      <w:bodyDiv w:val="1"/>
      <w:marLeft w:val="0"/>
      <w:marRight w:val="0"/>
      <w:marTop w:val="0"/>
      <w:marBottom w:val="0"/>
      <w:divBdr>
        <w:top w:val="none" w:sz="0" w:space="0" w:color="auto"/>
        <w:left w:val="none" w:sz="0" w:space="0" w:color="auto"/>
        <w:bottom w:val="none" w:sz="0" w:space="0" w:color="auto"/>
        <w:right w:val="none" w:sz="0" w:space="0" w:color="auto"/>
      </w:divBdr>
      <w:divsChild>
        <w:div w:id="1227839302">
          <w:marLeft w:val="1080"/>
          <w:marRight w:val="0"/>
          <w:marTop w:val="120"/>
          <w:marBottom w:val="0"/>
          <w:divBdr>
            <w:top w:val="none" w:sz="0" w:space="0" w:color="auto"/>
            <w:left w:val="none" w:sz="0" w:space="0" w:color="auto"/>
            <w:bottom w:val="none" w:sz="0" w:space="0" w:color="auto"/>
            <w:right w:val="none" w:sz="0" w:space="0" w:color="auto"/>
          </w:divBdr>
        </w:div>
        <w:div w:id="1435785712">
          <w:marLeft w:val="1714"/>
          <w:marRight w:val="0"/>
          <w:marTop w:val="120"/>
          <w:marBottom w:val="0"/>
          <w:divBdr>
            <w:top w:val="none" w:sz="0" w:space="0" w:color="auto"/>
            <w:left w:val="none" w:sz="0" w:space="0" w:color="auto"/>
            <w:bottom w:val="none" w:sz="0" w:space="0" w:color="auto"/>
            <w:right w:val="none" w:sz="0" w:space="0" w:color="auto"/>
          </w:divBdr>
        </w:div>
        <w:div w:id="1348940843">
          <w:marLeft w:val="1714"/>
          <w:marRight w:val="0"/>
          <w:marTop w:val="120"/>
          <w:marBottom w:val="0"/>
          <w:divBdr>
            <w:top w:val="none" w:sz="0" w:space="0" w:color="auto"/>
            <w:left w:val="none" w:sz="0" w:space="0" w:color="auto"/>
            <w:bottom w:val="none" w:sz="0" w:space="0" w:color="auto"/>
            <w:right w:val="none" w:sz="0" w:space="0" w:color="auto"/>
          </w:divBdr>
        </w:div>
        <w:div w:id="830295856">
          <w:marLeft w:val="1714"/>
          <w:marRight w:val="0"/>
          <w:marTop w:val="120"/>
          <w:marBottom w:val="0"/>
          <w:divBdr>
            <w:top w:val="none" w:sz="0" w:space="0" w:color="auto"/>
            <w:left w:val="none" w:sz="0" w:space="0" w:color="auto"/>
            <w:bottom w:val="none" w:sz="0" w:space="0" w:color="auto"/>
            <w:right w:val="none" w:sz="0" w:space="0" w:color="auto"/>
          </w:divBdr>
        </w:div>
        <w:div w:id="527136383">
          <w:marLeft w:val="1714"/>
          <w:marRight w:val="0"/>
          <w:marTop w:val="120"/>
          <w:marBottom w:val="0"/>
          <w:divBdr>
            <w:top w:val="none" w:sz="0" w:space="0" w:color="auto"/>
            <w:left w:val="none" w:sz="0" w:space="0" w:color="auto"/>
            <w:bottom w:val="none" w:sz="0" w:space="0" w:color="auto"/>
            <w:right w:val="none" w:sz="0" w:space="0" w:color="auto"/>
          </w:divBdr>
        </w:div>
        <w:div w:id="1607495100">
          <w:marLeft w:val="1714"/>
          <w:marRight w:val="0"/>
          <w:marTop w:val="120"/>
          <w:marBottom w:val="0"/>
          <w:divBdr>
            <w:top w:val="none" w:sz="0" w:space="0" w:color="auto"/>
            <w:left w:val="none" w:sz="0" w:space="0" w:color="auto"/>
            <w:bottom w:val="none" w:sz="0" w:space="0" w:color="auto"/>
            <w:right w:val="none" w:sz="0" w:space="0" w:color="auto"/>
          </w:divBdr>
        </w:div>
      </w:divsChild>
    </w:div>
    <w:div w:id="1908490276">
      <w:bodyDiv w:val="1"/>
      <w:marLeft w:val="0"/>
      <w:marRight w:val="0"/>
      <w:marTop w:val="0"/>
      <w:marBottom w:val="0"/>
      <w:divBdr>
        <w:top w:val="none" w:sz="0" w:space="0" w:color="auto"/>
        <w:left w:val="none" w:sz="0" w:space="0" w:color="auto"/>
        <w:bottom w:val="none" w:sz="0" w:space="0" w:color="auto"/>
        <w:right w:val="none" w:sz="0" w:space="0" w:color="auto"/>
      </w:divBdr>
      <w:divsChild>
        <w:div w:id="81310968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dwg/keydocs/2014/DWG_Procedure_Manual_Revision_9.ROS_Approved_October30_2014.doc"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www.ercot.com/content/committees/board/tac/ros/sswg/keydocs/2014/SSWG_Procedure_Manual.ROS_Approved_October_30_201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andl.com/energy-services/201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rcot.com/content/wcm/current_guides/53526/04_050115.doc"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Ben</dc:creator>
  <cp:lastModifiedBy>Gnanam, Prabhu</cp:lastModifiedBy>
  <cp:revision>4</cp:revision>
  <dcterms:created xsi:type="dcterms:W3CDTF">2015-12-11T21:44:00Z</dcterms:created>
  <dcterms:modified xsi:type="dcterms:W3CDTF">2015-12-11T21:51:00Z</dcterms:modified>
</cp:coreProperties>
</file>