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573" w:rsidRDefault="007C2573" w:rsidP="007C2573">
      <w:bookmarkStart w:id="0" w:name="_GoBack"/>
      <w:bookmarkEnd w:id="0"/>
      <w:r>
        <w:t>ERCOT Opinions:</w:t>
      </w:r>
    </w:p>
    <w:tbl>
      <w:tblPr>
        <w:tblW w:w="13091" w:type="dxa"/>
        <w:tblInd w:w="-23" w:type="dxa"/>
        <w:shd w:val="clear" w:color="auto" w:fill="FFFFFF"/>
        <w:tblCellMar>
          <w:left w:w="0" w:type="dxa"/>
          <w:right w:w="0" w:type="dxa"/>
        </w:tblCellMar>
        <w:tblLook w:val="04A0" w:firstRow="1" w:lastRow="0" w:firstColumn="1" w:lastColumn="0" w:noHBand="0" w:noVBand="1"/>
      </w:tblPr>
      <w:tblGrid>
        <w:gridCol w:w="1121"/>
        <w:gridCol w:w="8730"/>
        <w:gridCol w:w="3240"/>
      </w:tblGrid>
      <w:tr w:rsidR="00F43DCA" w:rsidTr="00F43DCA">
        <w:trPr>
          <w:trHeight w:val="503"/>
        </w:trPr>
        <w:tc>
          <w:tcPr>
            <w:tcW w:w="1121"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F43DCA" w:rsidRDefault="00F43DCA">
            <w:pPr>
              <w:rPr>
                <w:b/>
                <w:bCs/>
                <w:color w:val="FFFFFF"/>
                <w:sz w:val="20"/>
                <w:szCs w:val="20"/>
              </w:rPr>
            </w:pPr>
            <w:r>
              <w:rPr>
                <w:b/>
                <w:bCs/>
                <w:color w:val="FFFFFF"/>
                <w:sz w:val="20"/>
                <w:szCs w:val="20"/>
              </w:rPr>
              <w:t>Rev Req No.</w:t>
            </w:r>
          </w:p>
        </w:tc>
        <w:tc>
          <w:tcPr>
            <w:tcW w:w="873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F43DCA" w:rsidRDefault="00F43DCA">
            <w:pPr>
              <w:rPr>
                <w:b/>
                <w:bCs/>
                <w:color w:val="FFFFFF"/>
                <w:sz w:val="20"/>
                <w:szCs w:val="20"/>
              </w:rPr>
            </w:pPr>
            <w:r>
              <w:rPr>
                <w:b/>
                <w:bCs/>
                <w:color w:val="FFFFFF"/>
                <w:sz w:val="20"/>
                <w:szCs w:val="20"/>
              </w:rPr>
              <w:t>Description</w:t>
            </w:r>
          </w:p>
        </w:tc>
        <w:tc>
          <w:tcPr>
            <w:tcW w:w="324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F43DCA" w:rsidRDefault="00F43DCA">
            <w:pPr>
              <w:rPr>
                <w:b/>
                <w:bCs/>
                <w:color w:val="FFFFFF"/>
                <w:sz w:val="20"/>
                <w:szCs w:val="20"/>
              </w:rPr>
            </w:pPr>
            <w:r>
              <w:rPr>
                <w:b/>
                <w:bCs/>
                <w:color w:val="FFFFFF"/>
                <w:sz w:val="20"/>
                <w:szCs w:val="20"/>
              </w:rPr>
              <w:t>ERCOT Opinion</w:t>
            </w:r>
          </w:p>
        </w:tc>
      </w:tr>
      <w:tr w:rsidR="00F43DCA" w:rsidTr="00F43DCA">
        <w:trPr>
          <w:trHeight w:val="1438"/>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786SCR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Retail Market Test Environment. T</w:t>
            </w:r>
            <w:r>
              <w:rPr>
                <w:sz w:val="20"/>
                <w:szCs w:val="20"/>
              </w:rPr>
              <w:t>his System Change Request (SCR) instructs ERCOT to develop a new retail market test environment, in addition to the current Certification (CERT) environment, that mimics the production environment functionality.  This new retail market testing environment will provide flexibility and availability for ad-hoc testing requests by Market Participants and will reduce the overall risk to the retail, market by allowing Market Participants to fully test internal projects before going live in production. [TDTWG]</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SCR786 as it provides Retail Market Participants a more robust and available testing environment.</w:t>
            </w:r>
          </w:p>
        </w:tc>
      </w:tr>
      <w:tr w:rsidR="00F43DCA" w:rsidTr="00F43DCA">
        <w:trPr>
          <w:trHeight w:val="763"/>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649NPRR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 xml:space="preserve">Addressing Issues Surrounding High Dispatch Limit (HDL) Overrides. </w:t>
            </w:r>
            <w:r>
              <w:rPr>
                <w:color w:val="000000"/>
                <w:sz w:val="20"/>
                <w:szCs w:val="20"/>
              </w:rPr>
              <w:t>This Nodal Protocol Revision Request (NPRR) proposes two options for a lost opportunity compensation mechanism for Generation Resources that are issued a High Dispatch Limit (HDL) manual override that results in a real power reduction (subject to certain criteria).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NPRR649.</w:t>
            </w:r>
          </w:p>
        </w:tc>
      </w:tr>
      <w:tr w:rsidR="00F43DCA" w:rsidTr="00F43DCA">
        <w:trPr>
          <w:trHeight w:val="1933"/>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705NPRR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 xml:space="preserve">Provides Consistency for References to the End Date of the Generation Interconnection Process.  </w:t>
            </w:r>
            <w:r>
              <w:rPr>
                <w:color w:val="000000"/>
                <w:sz w:val="20"/>
                <w:szCs w:val="20"/>
              </w:rPr>
              <w:t>In the Resource Interconnection Handbook, the term “commercial operations” has a different meaning to Resource Entities and financial institutions involved in construction and financing of Generation Resources than it does in the context of performance testing by ERCOT for new Generation Resources.  This Nodal Protocol Revision Request (NPRR) replaces various terms used to refer to the date on which Generation Resources complete the Resource interconnection process with the proposed defined terms “Commercial Operations Date” and “Resource Commissioning Date” to provide consistency for references to the end of the generation interconnection process.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NPRR705.</w:t>
            </w:r>
          </w:p>
        </w:tc>
      </w:tr>
      <w:tr w:rsidR="00F43DCA" w:rsidTr="00F43DCA">
        <w:trPr>
          <w:trHeight w:val="1843"/>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712NPRR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 xml:space="preserve">Clarification of RUC Process. </w:t>
            </w:r>
            <w:r>
              <w:rPr>
                <w:color w:val="000000"/>
                <w:sz w:val="20"/>
                <w:szCs w:val="20"/>
              </w:rPr>
              <w:t>This Nodal Protocol Revision Request (NPRR) is submitted to clarify certain language regarding the Reliability Unit Commitment (RUC) process.  Section 6.4.7.2, QSE Request to Decommit Resources in the Adjustment Period, requires a Qualified Scheduling Entity (QSE) that chooses to decommit an otherwise available Resource, for hours other than the Operating Period, to update the Current Operating Plan (COP) indicating the change in Resource Status for future hours.  The RUC process detects the change in COP status from On-Line to Off-Line Available in the future hours as a request for decommitment, and ERCOT is required to review all such decommitment requests during each Hourly RUC (HRUC) sequence.  [NRG]</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Market Participants’ decision on NPRR712 as it clarifies certain language regarding the RUC process.</w:t>
            </w:r>
          </w:p>
        </w:tc>
      </w:tr>
      <w:tr w:rsidR="00F43DCA" w:rsidTr="00F43DCA">
        <w:trPr>
          <w:trHeight w:val="70"/>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719NPRR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Removal of Trigger and Requirement to Reduce the Distributed Generation (DG) Registration Threshold. </w:t>
            </w:r>
            <w:r>
              <w:rPr>
                <w:sz w:val="20"/>
                <w:szCs w:val="20"/>
              </w:rPr>
              <w:t>This Nodal Protocol Revision Request (NPRR) removes the requirement for ERCOT to reduce the DG registration threshold when the aggregated unregistered installed capacity of DG greater than 50 kW in any one Load Zone reaches 10 MW. [COPS]</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sz w:val="20"/>
                <w:szCs w:val="20"/>
              </w:rPr>
            </w:pPr>
            <w:r>
              <w:rPr>
                <w:sz w:val="20"/>
                <w:szCs w:val="20"/>
              </w:rPr>
              <w:t xml:space="preserve">ERCOT supports approval of NPRR719 because it removes the uncertainty on the Distributed Generation registration threshold and eliminates the need to provide communications and notice to existing unregistered generators that would be impacted by a lower DG </w:t>
            </w:r>
            <w:r>
              <w:rPr>
                <w:sz w:val="20"/>
                <w:szCs w:val="20"/>
              </w:rPr>
              <w:lastRenderedPageBreak/>
              <w:t>registration threshold.</w:t>
            </w:r>
          </w:p>
        </w:tc>
      </w:tr>
      <w:tr w:rsidR="00F43DCA" w:rsidTr="00F43DCA">
        <w:trPr>
          <w:trHeight w:val="1195"/>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lastRenderedPageBreak/>
              <w:t>725NPRR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Modifications to CDR PUN Capacity Forecasting and PUN Net Capacity Reporting Requirements. </w:t>
            </w:r>
            <w:r>
              <w:rPr>
                <w:sz w:val="20"/>
                <w:szCs w:val="20"/>
              </w:rPr>
              <w:t>This Nodal Protocol Revision Request (NPRR) makes improvements to the forecasting of Private Use Network net generation capacity available to the ERCOT Region for use in the Report on Capacity, Demand and Reserves (CDR) and other ERCOT Resource adequacy assessments.  A proposed Declaration of Private Use Network Net Generation Capacity Availability for collecting annual Private Use Network capacity forecast information is attached.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NPRR725.</w:t>
            </w:r>
          </w:p>
        </w:tc>
      </w:tr>
      <w:tr w:rsidR="00F43DCA" w:rsidTr="00F43DCA">
        <w:trPr>
          <w:trHeight w:val="790"/>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727NPRR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Removal of Language Related to NPRR327, State Estimator Data Redaction Methodology. </w:t>
            </w:r>
            <w:r>
              <w:rPr>
                <w:sz w:val="20"/>
                <w:szCs w:val="20"/>
              </w:rPr>
              <w:t>This Nodal Protocol Revision Request (NPRR) removes NPRR327’s grey-boxed language from the Protocols.  [Calpine/TIEC/NRG]</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NPRR727 based on the Public Utility Commission’s determination that a redacted State Estimator report is not cost-effective to implement.</w:t>
            </w:r>
          </w:p>
        </w:tc>
      </w:tr>
      <w:tr w:rsidR="00F43DCA" w:rsidTr="00F43DCA">
        <w:trPr>
          <w:trHeight w:val="997"/>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730NPRR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Elimination of the RUC Behavioral Pricing Rule.  </w:t>
            </w:r>
            <w:r>
              <w:rPr>
                <w:sz w:val="20"/>
                <w:szCs w:val="20"/>
              </w:rPr>
              <w:t>This Nodal Protocol Revision Request (NPRR) eliminates the now unnecessary behavioral pricing rule that applies to Reliability Unit Commitment (RUC)-committed units that places all MWs above the Resource’s Low Sustained Limit (LSL) at the RUC floor price of $1,500/MWh. [Calpine]</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sz w:val="20"/>
                <w:szCs w:val="20"/>
              </w:rPr>
            </w:pPr>
            <w:r>
              <w:rPr>
                <w:sz w:val="20"/>
                <w:szCs w:val="20"/>
              </w:rPr>
              <w:t>ERCOT supports approval of NPRR730 as the pricing floor for RUC-committed units in</w:t>
            </w:r>
          </w:p>
          <w:p w:rsidR="00F43DCA" w:rsidRDefault="00F43DCA">
            <w:pPr>
              <w:rPr>
                <w:color w:val="000000"/>
                <w:sz w:val="20"/>
                <w:szCs w:val="20"/>
              </w:rPr>
            </w:pPr>
            <w:r>
              <w:rPr>
                <w:sz w:val="20"/>
                <w:szCs w:val="20"/>
              </w:rPr>
              <w:t>Section 6.4.4.1 is now enforced systemically by ERCOT pursuant to paragraph (4) of Section 6.5.7.3</w:t>
            </w:r>
          </w:p>
        </w:tc>
      </w:tr>
      <w:tr w:rsidR="00F43DCA" w:rsidTr="00F43DCA">
        <w:trPr>
          <w:trHeight w:val="1852"/>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735NPRR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Load Resource Controlled by High-Set Under-Frequency Relay Resource Parameters. </w:t>
            </w:r>
            <w:r>
              <w:rPr>
                <w:sz w:val="20"/>
                <w:szCs w:val="20"/>
              </w:rPr>
              <w:t>This Nodal Protocol Revision Request (NPRR) clarifies that the Current Operating Plan (COP) High Sustained Limit (HSL) for Load Resources controlled by high-set under-frequency relay should be equal to their expected power consumption.  In Real-Time telemetry the HSL should equal their consumption.  ERCOT can calculate the value for the additional available capacity from Load Resources controlled by high-set under frequency relays with a Responsive Reserve (RRS) Ancillary Service Resource Responsibility from (COP HSL – COP LSL – COP RRS).  This value can be used in place of the COP value for additional available capacity from NPRR698, Clarifications to NPRR595, RRS Load Resource Treatment In ORDC.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sz w:val="20"/>
                <w:szCs w:val="20"/>
              </w:rPr>
            </w:pPr>
            <w:r>
              <w:rPr>
                <w:sz w:val="20"/>
                <w:szCs w:val="20"/>
              </w:rPr>
              <w:t>ERCOT supports approval of NPRR735.</w:t>
            </w:r>
          </w:p>
        </w:tc>
      </w:tr>
      <w:tr w:rsidR="00F43DCA" w:rsidTr="00F43DCA">
        <w:trPr>
          <w:trHeight w:val="898"/>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736NPRR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Updates to the Ancillary Service Capacity Monitor Display. </w:t>
            </w:r>
            <w:r>
              <w:rPr>
                <w:sz w:val="20"/>
                <w:szCs w:val="20"/>
              </w:rPr>
              <w:t>This Nodal Protocol Revision Request (NPRR) updates the Ancillary Service Capacity Monitor display on the ERCOT website with additional information by adding the On-Line and Off-Line Reserves used for the Operating Reserve Demand Curve (ORDC), High Dispatch Limit (HDL), and  Low Dispatch Limit (LDL) as new items to the display.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NPRR736.</w:t>
            </w:r>
          </w:p>
        </w:tc>
      </w:tr>
      <w:tr w:rsidR="00F43DCA" w:rsidTr="00F43DCA">
        <w:trPr>
          <w:trHeight w:val="160"/>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737NPRR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sz w:val="20"/>
                <w:szCs w:val="20"/>
              </w:rPr>
            </w:pPr>
            <w:r>
              <w:rPr>
                <w:b/>
                <w:bCs/>
                <w:sz w:val="20"/>
                <w:szCs w:val="20"/>
              </w:rPr>
              <w:t xml:space="preserve">Clarification of SASM Notifications. </w:t>
            </w:r>
            <w:r>
              <w:rPr>
                <w:sz w:val="20"/>
                <w:szCs w:val="20"/>
              </w:rPr>
              <w:t>This Nodal Protocol Revision Request (NPRR) requires ERCOT to provide notification of a Supplemental Ancillary Services Market (SASM) to all Qualified Scheduling Entities (QSEs) by ERCOT Hotline call in addition to the current electronic communication. [STEC]</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NPRR737 as it provides the market with an additional notification of a SASM via Hotline call in addition to the current electronic communication.</w:t>
            </w:r>
          </w:p>
        </w:tc>
      </w:tr>
      <w:tr w:rsidR="00F43DCA" w:rsidTr="00F43DCA">
        <w:trPr>
          <w:trHeight w:val="430"/>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641NPRR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 xml:space="preserve">Season Definition Change for Switchable Resources Reporting Unavailable Capacity.   </w:t>
            </w:r>
            <w:r>
              <w:rPr>
                <w:color w:val="000000"/>
                <w:sz w:val="20"/>
                <w:szCs w:val="20"/>
              </w:rPr>
              <w:t xml:space="preserve">This Nodal Protocol Revision Request (NPRR) replaces the phrase “Peak Period,” used in Section 16.5.4 for Resource </w:t>
            </w:r>
            <w:r>
              <w:rPr>
                <w:color w:val="000000"/>
                <w:sz w:val="20"/>
                <w:szCs w:val="20"/>
              </w:rPr>
              <w:lastRenderedPageBreak/>
              <w:t>Entity reporting on Switchable Generation Resource availability, with the existing defined term, Peak Load Season.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lastRenderedPageBreak/>
              <w:t>ERCOT supports approval of NPRR641.</w:t>
            </w:r>
          </w:p>
        </w:tc>
      </w:tr>
      <w:tr w:rsidR="00F43DCA" w:rsidTr="00F43DCA">
        <w:trPr>
          <w:trHeight w:val="1530"/>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lastRenderedPageBreak/>
              <w:t>007RRGRR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 xml:space="preserve">Adding Solar Resource Registration Inputs. </w:t>
            </w:r>
            <w:r>
              <w:rPr>
                <w:color w:val="000000"/>
                <w:sz w:val="20"/>
                <w:szCs w:val="20"/>
              </w:rPr>
              <w:t>This Resource Registration Glossary Revision Request (RRGRR) aligns the Resource Registration Glossary with the Protocols as revised by Nodal Protocol Revision Request (NPRR) 588, Clarifications for PV Generation Resources, which was approved by the ERCOT Board on 06/10/2014. It also aligns with NPRR 615, PVGR Forecasting, which was approved by the ERCOT Board on 08/12/2014. This RRGRR creates new fields to receive information pertinent to Photo Voltaic Generation Resources (PVGR).  These values are integral to establishing the new Short-Term PhotoVoltaic Power Forecast (STPPF) outlined in NPRR 615. In addition, this RRGRR is in alignment with the creation of a definition of PhotoVoltaic Generation Resource (PVGR), and the clarification of the treatment of such Resources within the Protocols (NPRR 588).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RRGRR007.</w:t>
            </w:r>
          </w:p>
        </w:tc>
      </w:tr>
      <w:tr w:rsidR="00F43DCA" w:rsidTr="00F43DCA">
        <w:trPr>
          <w:trHeight w:val="1530"/>
        </w:trPr>
        <w:tc>
          <w:tcPr>
            <w:tcW w:w="112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045PGRR</w:t>
            </w:r>
          </w:p>
        </w:tc>
        <w:tc>
          <w:tcPr>
            <w:tcW w:w="87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b/>
                <w:bCs/>
                <w:color w:val="000000"/>
                <w:sz w:val="20"/>
                <w:szCs w:val="20"/>
              </w:rPr>
            </w:pPr>
            <w:r>
              <w:rPr>
                <w:b/>
                <w:bCs/>
                <w:color w:val="000000"/>
                <w:sz w:val="20"/>
                <w:szCs w:val="20"/>
              </w:rPr>
              <w:t xml:space="preserve">Alignment with NPRR705, Provides Consistency for References to the End Date of the Generation Interconnection Process.  </w:t>
            </w:r>
            <w:r>
              <w:rPr>
                <w:color w:val="000000"/>
                <w:sz w:val="20"/>
                <w:szCs w:val="20"/>
              </w:rPr>
              <w:t>In the Resource Interconnection Handbook, the term “commercial operations” has a different meaning to Resource Entities and financial institutions involved in construction and financing of Generation Resources than it does in the context of performance testing by ERCOT for new Generation Resources.  This Planning Guide Revision Request (PGRR) aligns the Planning Guides with NPRR705 by replacing various terms used to refer to the date on which Generation Resources complete the Resource interconnection process with the proposed defined terms “Commercial Operations Date” and “Resource Commissioning Date” to provide consistency for references to the end of the generation interconnection process. [ERCOT]</w:t>
            </w:r>
          </w:p>
        </w:tc>
        <w:tc>
          <w:tcPr>
            <w:tcW w:w="32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43DCA" w:rsidRDefault="00F43DCA">
            <w:pPr>
              <w:rPr>
                <w:color w:val="000000"/>
                <w:sz w:val="20"/>
                <w:szCs w:val="20"/>
              </w:rPr>
            </w:pPr>
            <w:r>
              <w:rPr>
                <w:sz w:val="20"/>
                <w:szCs w:val="20"/>
              </w:rPr>
              <w:t>ERCOT supports approval of PGRR045.</w:t>
            </w:r>
          </w:p>
        </w:tc>
      </w:tr>
    </w:tbl>
    <w:p w:rsidR="00BA690B" w:rsidRDefault="00BA690B"/>
    <w:sectPr w:rsidR="00BA690B" w:rsidSect="007C257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573"/>
    <w:rsid w:val="003C4AF0"/>
    <w:rsid w:val="00450F64"/>
    <w:rsid w:val="00624C96"/>
    <w:rsid w:val="007C2573"/>
    <w:rsid w:val="00BA690B"/>
    <w:rsid w:val="00F43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7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7C2573"/>
    <w:rPr>
      <w:sz w:val="20"/>
      <w:szCs w:val="20"/>
    </w:rPr>
  </w:style>
  <w:style w:type="character" w:customStyle="1" w:styleId="CommentTextChar">
    <w:name w:val="Comment Text Char"/>
    <w:basedOn w:val="DefaultParagraphFont"/>
    <w:link w:val="CommentText"/>
    <w:uiPriority w:val="99"/>
    <w:semiHidden/>
    <w:rsid w:val="007C2573"/>
    <w:rPr>
      <w:rFonts w:ascii="Calibri" w:hAnsi="Calibri" w:cs="Times New Roman"/>
      <w:sz w:val="20"/>
      <w:szCs w:val="20"/>
    </w:rPr>
  </w:style>
  <w:style w:type="character" w:styleId="CommentReference">
    <w:name w:val="annotation reference"/>
    <w:basedOn w:val="DefaultParagraphFont"/>
    <w:uiPriority w:val="99"/>
    <w:semiHidden/>
    <w:unhideWhenUsed/>
    <w:rsid w:val="007C2573"/>
  </w:style>
  <w:style w:type="paragraph" w:styleId="BalloonText">
    <w:name w:val="Balloon Text"/>
    <w:basedOn w:val="Normal"/>
    <w:link w:val="BalloonTextChar"/>
    <w:uiPriority w:val="99"/>
    <w:semiHidden/>
    <w:unhideWhenUsed/>
    <w:rsid w:val="007C2573"/>
    <w:rPr>
      <w:rFonts w:ascii="Tahoma" w:hAnsi="Tahoma" w:cs="Tahoma"/>
      <w:sz w:val="16"/>
      <w:szCs w:val="16"/>
    </w:rPr>
  </w:style>
  <w:style w:type="character" w:customStyle="1" w:styleId="BalloonTextChar">
    <w:name w:val="Balloon Text Char"/>
    <w:basedOn w:val="DefaultParagraphFont"/>
    <w:link w:val="BalloonText"/>
    <w:uiPriority w:val="99"/>
    <w:semiHidden/>
    <w:rsid w:val="007C25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7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7C2573"/>
    <w:rPr>
      <w:sz w:val="20"/>
      <w:szCs w:val="20"/>
    </w:rPr>
  </w:style>
  <w:style w:type="character" w:customStyle="1" w:styleId="CommentTextChar">
    <w:name w:val="Comment Text Char"/>
    <w:basedOn w:val="DefaultParagraphFont"/>
    <w:link w:val="CommentText"/>
    <w:uiPriority w:val="99"/>
    <w:semiHidden/>
    <w:rsid w:val="007C2573"/>
    <w:rPr>
      <w:rFonts w:ascii="Calibri" w:hAnsi="Calibri" w:cs="Times New Roman"/>
      <w:sz w:val="20"/>
      <w:szCs w:val="20"/>
    </w:rPr>
  </w:style>
  <w:style w:type="character" w:styleId="CommentReference">
    <w:name w:val="annotation reference"/>
    <w:basedOn w:val="DefaultParagraphFont"/>
    <w:uiPriority w:val="99"/>
    <w:semiHidden/>
    <w:unhideWhenUsed/>
    <w:rsid w:val="007C2573"/>
  </w:style>
  <w:style w:type="paragraph" w:styleId="BalloonText">
    <w:name w:val="Balloon Text"/>
    <w:basedOn w:val="Normal"/>
    <w:link w:val="BalloonTextChar"/>
    <w:uiPriority w:val="99"/>
    <w:semiHidden/>
    <w:unhideWhenUsed/>
    <w:rsid w:val="007C2573"/>
    <w:rPr>
      <w:rFonts w:ascii="Tahoma" w:hAnsi="Tahoma" w:cs="Tahoma"/>
      <w:sz w:val="16"/>
      <w:szCs w:val="16"/>
    </w:rPr>
  </w:style>
  <w:style w:type="character" w:customStyle="1" w:styleId="BalloonTextChar">
    <w:name w:val="Balloon Text Char"/>
    <w:basedOn w:val="DefaultParagraphFont"/>
    <w:link w:val="BalloonText"/>
    <w:uiPriority w:val="99"/>
    <w:semiHidden/>
    <w:rsid w:val="007C25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306196">
      <w:bodyDiv w:val="1"/>
      <w:marLeft w:val="0"/>
      <w:marRight w:val="0"/>
      <w:marTop w:val="0"/>
      <w:marBottom w:val="0"/>
      <w:divBdr>
        <w:top w:val="none" w:sz="0" w:space="0" w:color="auto"/>
        <w:left w:val="none" w:sz="0" w:space="0" w:color="auto"/>
        <w:bottom w:val="none" w:sz="0" w:space="0" w:color="auto"/>
        <w:right w:val="none" w:sz="0" w:space="0" w:color="auto"/>
      </w:divBdr>
    </w:div>
    <w:div w:id="1187136817">
      <w:bodyDiv w:val="1"/>
      <w:marLeft w:val="0"/>
      <w:marRight w:val="0"/>
      <w:marTop w:val="0"/>
      <w:marBottom w:val="0"/>
      <w:divBdr>
        <w:top w:val="none" w:sz="0" w:space="0" w:color="auto"/>
        <w:left w:val="none" w:sz="0" w:space="0" w:color="auto"/>
        <w:bottom w:val="none" w:sz="0" w:space="0" w:color="auto"/>
        <w:right w:val="none" w:sz="0" w:space="0" w:color="auto"/>
      </w:divBdr>
    </w:div>
    <w:div w:id="192310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1312</Words>
  <Characters>7480</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2</cp:revision>
  <dcterms:created xsi:type="dcterms:W3CDTF">2015-11-18T19:55:00Z</dcterms:created>
  <dcterms:modified xsi:type="dcterms:W3CDTF">2015-11-18T19:55:00Z</dcterms:modified>
</cp:coreProperties>
</file>