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544AA" w14:textId="745387A8" w:rsidR="000812F4" w:rsidRDefault="0068326C" w:rsidP="000812F4">
      <w:pPr>
        <w:keepNext/>
        <w:jc w:val="center"/>
        <w:rPr>
          <w:sz w:val="72"/>
        </w:rPr>
      </w:pPr>
      <w:r>
        <w:rPr>
          <w:sz w:val="72"/>
        </w:rPr>
        <w:t xml:space="preserve">A Review of </w:t>
      </w:r>
      <w:r w:rsidR="000812F4" w:rsidRPr="000812F4">
        <w:rPr>
          <w:sz w:val="72"/>
        </w:rPr>
        <w:t xml:space="preserve">ORDC </w:t>
      </w:r>
      <w:r>
        <w:rPr>
          <w:sz w:val="72"/>
        </w:rPr>
        <w:t>Options</w:t>
      </w:r>
    </w:p>
    <w:p w14:paraId="16BDD316" w14:textId="78F86DD7" w:rsidR="000812F4" w:rsidRDefault="0068326C" w:rsidP="000812F4">
      <w:pPr>
        <w:keepNext/>
        <w:jc w:val="center"/>
        <w:rPr>
          <w:sz w:val="28"/>
        </w:rPr>
      </w:pPr>
      <w:r>
        <w:rPr>
          <w:sz w:val="28"/>
        </w:rPr>
        <w:t>11-12-15</w:t>
      </w:r>
    </w:p>
    <w:p w14:paraId="17210106" w14:textId="77777777" w:rsidR="0068326C" w:rsidRDefault="0068326C" w:rsidP="0068326C">
      <w:pPr>
        <w:keepNext/>
        <w:rPr>
          <w:sz w:val="28"/>
        </w:rPr>
      </w:pPr>
    </w:p>
    <w:p w14:paraId="68310916" w14:textId="00A34A2B" w:rsidR="0068326C" w:rsidRDefault="0068326C" w:rsidP="000812F4">
      <w:pPr>
        <w:keepNext/>
        <w:jc w:val="center"/>
        <w:rPr>
          <w:sz w:val="44"/>
        </w:rPr>
      </w:pPr>
      <w:r>
        <w:rPr>
          <w:sz w:val="44"/>
        </w:rPr>
        <w:t>ERCOT Supply Analysis Working Group</w:t>
      </w:r>
    </w:p>
    <w:p w14:paraId="13611736" w14:textId="23E61630" w:rsidR="0068326C" w:rsidRDefault="0068326C" w:rsidP="000812F4">
      <w:pPr>
        <w:keepNext/>
        <w:jc w:val="center"/>
        <w:rPr>
          <w:sz w:val="32"/>
        </w:rPr>
      </w:pPr>
      <w:r w:rsidRPr="0068326C">
        <w:rPr>
          <w:sz w:val="32"/>
        </w:rPr>
        <w:t>Brandon Whittle</w:t>
      </w:r>
      <w:r w:rsidR="00A11C09">
        <w:rPr>
          <w:sz w:val="32"/>
        </w:rPr>
        <w:t>, Chair</w:t>
      </w:r>
    </w:p>
    <w:p w14:paraId="45A20EA0" w14:textId="77777777" w:rsidR="00A11C09" w:rsidRDefault="00A11C09" w:rsidP="000812F4">
      <w:pPr>
        <w:keepNext/>
        <w:jc w:val="center"/>
        <w:rPr>
          <w:sz w:val="32"/>
        </w:rPr>
      </w:pPr>
    </w:p>
    <w:p w14:paraId="7517EE9B" w14:textId="77777777" w:rsidR="00A11C09" w:rsidRPr="0068326C" w:rsidRDefault="00A11C09" w:rsidP="000812F4">
      <w:pPr>
        <w:keepNext/>
        <w:jc w:val="center"/>
        <w:rPr>
          <w:sz w:val="32"/>
        </w:rPr>
      </w:pPr>
    </w:p>
    <w:p w14:paraId="63E28BE4" w14:textId="77777777" w:rsidR="00181BF3" w:rsidRDefault="00A71290" w:rsidP="00181BF3">
      <w:pPr>
        <w:keepNext/>
        <w:jc w:val="both"/>
      </w:pPr>
      <w:r>
        <w:rPr>
          <w:noProof/>
        </w:rPr>
        <w:drawing>
          <wp:inline distT="0" distB="0" distL="0" distR="0" wp14:anchorId="24D89866" wp14:editId="5755A5FA">
            <wp:extent cx="5687122" cy="406301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2636" cy="4074094"/>
                    </a:xfrm>
                    <a:prstGeom prst="rect">
                      <a:avLst/>
                    </a:prstGeom>
                  </pic:spPr>
                </pic:pic>
              </a:graphicData>
            </a:graphic>
          </wp:inline>
        </w:drawing>
      </w:r>
    </w:p>
    <w:p w14:paraId="564FD977" w14:textId="482E3607" w:rsidR="00A71290" w:rsidRDefault="00181BF3" w:rsidP="00181BF3">
      <w:pPr>
        <w:pStyle w:val="Caption"/>
        <w:jc w:val="both"/>
      </w:pPr>
      <w:r>
        <w:t xml:space="preserve">Figure </w:t>
      </w:r>
      <w:fldSimple w:instr=" SEQ Figure \* ARABIC ">
        <w:r w:rsidR="00044C85">
          <w:rPr>
            <w:noProof/>
          </w:rPr>
          <w:t>1</w:t>
        </w:r>
      </w:fldSimple>
      <w:r>
        <w:t>, ORDC Options</w:t>
      </w:r>
      <w:r w:rsidR="00E63989">
        <w:t xml:space="preserve"> – Examples only</w:t>
      </w:r>
    </w:p>
    <w:p w14:paraId="150A8E80" w14:textId="77777777" w:rsidR="0068326C" w:rsidRDefault="0068326C" w:rsidP="00A71290">
      <w:pPr>
        <w:jc w:val="both"/>
        <w:rPr>
          <w:sz w:val="28"/>
        </w:rPr>
      </w:pPr>
    </w:p>
    <w:p w14:paraId="3F55E407" w14:textId="7AED2CC0" w:rsidR="0068326C" w:rsidRDefault="0068326C">
      <w:r>
        <w:br w:type="page"/>
      </w:r>
    </w:p>
    <w:p w14:paraId="77DAC459" w14:textId="77777777" w:rsidR="000812F4" w:rsidRDefault="000812F4" w:rsidP="000812F4">
      <w:pPr>
        <w:jc w:val="both"/>
      </w:pPr>
    </w:p>
    <w:p w14:paraId="34AD190A" w14:textId="4F6D5E32" w:rsidR="000812F4" w:rsidRPr="00010DC8" w:rsidRDefault="000812F4" w:rsidP="00921148">
      <w:pPr>
        <w:pStyle w:val="ListParagraph"/>
        <w:keepNext/>
        <w:numPr>
          <w:ilvl w:val="0"/>
          <w:numId w:val="1"/>
        </w:numPr>
        <w:jc w:val="center"/>
        <w:rPr>
          <w:b/>
          <w:sz w:val="28"/>
        </w:rPr>
      </w:pPr>
      <w:r w:rsidRPr="00010DC8">
        <w:rPr>
          <w:b/>
          <w:sz w:val="28"/>
        </w:rPr>
        <w:t>Introduction</w:t>
      </w:r>
    </w:p>
    <w:p w14:paraId="5EAD9E74" w14:textId="6DDD4286" w:rsidR="00277584" w:rsidRDefault="00277584" w:rsidP="00A11C09">
      <w:pPr>
        <w:jc w:val="both"/>
      </w:pPr>
      <w:r>
        <w:t xml:space="preserve">The Supply Analysis Working Group (SAWG) was asked by the Wholesale Market Subcommittee (WMS) to </w:t>
      </w:r>
      <w:r w:rsidRPr="00277584">
        <w:t>review and develop enhancements to ORDC per</w:t>
      </w:r>
      <w:r>
        <w:t xml:space="preserve"> the </w:t>
      </w:r>
      <w:hyperlink r:id="rId9" w:history="1">
        <w:r w:rsidRPr="001F0099">
          <w:rPr>
            <w:rStyle w:val="Hyperlink"/>
          </w:rPr>
          <w:t>10-7-2015 memo</w:t>
        </w:r>
      </w:hyperlink>
      <w:r>
        <w:t xml:space="preserve"> filed by Commissioner </w:t>
      </w:r>
      <w:r w:rsidRPr="00277584">
        <w:t>Anderson</w:t>
      </w:r>
      <w:r w:rsidR="00C23CAD">
        <w:t xml:space="preserve">.   The SAWG should </w:t>
      </w:r>
      <w:r>
        <w:t>deliver a</w:t>
      </w:r>
      <w:r w:rsidRPr="00277584">
        <w:t xml:space="preserve"> preliminary outline of work</w:t>
      </w:r>
      <w:r>
        <w:t xml:space="preserve"> </w:t>
      </w:r>
      <w:r w:rsidRPr="00277584">
        <w:t>product to December WMS meeting</w:t>
      </w:r>
      <w:r>
        <w:t xml:space="preserve"> with a</w:t>
      </w:r>
      <w:r w:rsidRPr="00277584">
        <w:t xml:space="preserve"> final work</w:t>
      </w:r>
      <w:r>
        <w:t xml:space="preserve"> </w:t>
      </w:r>
      <w:r w:rsidRPr="00277584">
        <w:t>product no later than February WMS meeting</w:t>
      </w:r>
      <w:r>
        <w:rPr>
          <w:b/>
          <w:bCs/>
          <w:color w:val="000000"/>
          <w:shd w:val="clear" w:color="auto" w:fill="FFFFFF"/>
        </w:rPr>
        <w:t>.</w:t>
      </w:r>
      <w:r>
        <w:t xml:space="preserve">  </w:t>
      </w:r>
    </w:p>
    <w:p w14:paraId="7A6C9529" w14:textId="3BC9BFF2" w:rsidR="00C23CAD" w:rsidRDefault="0068326C" w:rsidP="00A11C09">
      <w:pPr>
        <w:jc w:val="both"/>
      </w:pPr>
      <w:r w:rsidRPr="00A11C09">
        <w:t xml:space="preserve">This paper’s purpose is to </w:t>
      </w:r>
      <w:r w:rsidR="00277584">
        <w:t>be that work product</w:t>
      </w:r>
      <w:r w:rsidRPr="00A11C09">
        <w:t xml:space="preserve"> </w:t>
      </w:r>
      <w:r w:rsidR="00A11C09" w:rsidRPr="00A11C09">
        <w:t>a</w:t>
      </w:r>
      <w:r w:rsidRPr="00A11C09">
        <w:t>nd to i</w:t>
      </w:r>
      <w:r w:rsidR="00FA23A1">
        <w:t>nform discussion on the topic.</w:t>
      </w:r>
      <w:r w:rsidRPr="00A11C09">
        <w:t xml:space="preserve">  Its contents are an aggregation of recommendations from ERCOT stakeholders and analysis by ERCOT Staff.    </w:t>
      </w:r>
    </w:p>
    <w:p w14:paraId="45D57238" w14:textId="42E66050" w:rsidR="00C23CAD" w:rsidRDefault="001F0099" w:rsidP="00A11C09">
      <w:pPr>
        <w:jc w:val="both"/>
      </w:pPr>
      <w:r>
        <w:t>This paper is not intended to address any threshold issues such as what an appropriate reserve margin is for the ERCOT region or how it should be attained.</w:t>
      </w:r>
    </w:p>
    <w:p w14:paraId="1B09AD50" w14:textId="77777777" w:rsidR="001F0099" w:rsidRDefault="001F0099" w:rsidP="00A11C09">
      <w:pPr>
        <w:jc w:val="both"/>
      </w:pPr>
    </w:p>
    <w:p w14:paraId="038577B6" w14:textId="2C880D22" w:rsidR="00277584" w:rsidRDefault="00277584" w:rsidP="0031791D">
      <w:pPr>
        <w:keepNext/>
        <w:jc w:val="both"/>
      </w:pPr>
      <w:r>
        <w:t>CURRENT STATUS – as of 11/12/15, this is purely a draft strawman outline.</w:t>
      </w:r>
    </w:p>
    <w:p w14:paraId="11E1D043" w14:textId="7522CB9E" w:rsidR="00F16BC0" w:rsidRPr="00010DC8" w:rsidRDefault="00F16BC0" w:rsidP="00F16BC0">
      <w:pPr>
        <w:pStyle w:val="ListParagraph"/>
        <w:numPr>
          <w:ilvl w:val="0"/>
          <w:numId w:val="1"/>
        </w:numPr>
        <w:jc w:val="center"/>
        <w:rPr>
          <w:b/>
          <w:sz w:val="28"/>
        </w:rPr>
      </w:pPr>
      <w:r w:rsidRPr="00010DC8">
        <w:rPr>
          <w:b/>
          <w:sz w:val="28"/>
        </w:rPr>
        <w:t xml:space="preserve">The </w:t>
      </w:r>
      <w:r w:rsidR="00A11C09">
        <w:rPr>
          <w:b/>
          <w:sz w:val="28"/>
        </w:rPr>
        <w:t xml:space="preserve">Back Cast </w:t>
      </w:r>
      <w:r w:rsidRPr="00010DC8">
        <w:rPr>
          <w:b/>
          <w:sz w:val="28"/>
        </w:rPr>
        <w:t>Tool</w:t>
      </w:r>
    </w:p>
    <w:p w14:paraId="3AC9A3CA" w14:textId="5D4A9E24" w:rsidR="00286190" w:rsidRDefault="00A11C09" w:rsidP="00F16BC0">
      <w:pPr>
        <w:jc w:val="both"/>
      </w:pPr>
      <w:r>
        <w:t xml:space="preserve">To aid in this analysis, ERCOT </w:t>
      </w:r>
      <w:r w:rsidR="00F16BC0">
        <w:t xml:space="preserve">developed a tool reminiscent </w:t>
      </w:r>
      <w:r>
        <w:t xml:space="preserve">the 2011-12 </w:t>
      </w:r>
      <w:r w:rsidR="00F16BC0">
        <w:t xml:space="preserve">back casts for the </w:t>
      </w:r>
      <w:r>
        <w:t xml:space="preserve">original </w:t>
      </w:r>
      <w:r w:rsidR="00F16BC0">
        <w:t>ORDC</w:t>
      </w:r>
      <w:r>
        <w:t xml:space="preserve"> discussion</w:t>
      </w:r>
      <w:r w:rsidR="00F16BC0">
        <w:t>.   The tool is flexible enough to handle different combinations of these changes</w:t>
      </w:r>
      <w:r>
        <w:t xml:space="preserve"> including behavioral changes.   The tool is available at the </w:t>
      </w:r>
      <w:hyperlink r:id="rId10" w:history="1">
        <w:r w:rsidRPr="00A11C09">
          <w:rPr>
            <w:rStyle w:val="Hyperlink"/>
          </w:rPr>
          <w:t>11/11/2015 SAWG meeting page</w:t>
        </w:r>
      </w:hyperlink>
      <w:r>
        <w:t>.</w:t>
      </w:r>
    </w:p>
    <w:p w14:paraId="1E83C6CB" w14:textId="04262612" w:rsidR="00A11C09" w:rsidRDefault="00A11C09" w:rsidP="00F16BC0">
      <w:pPr>
        <w:jc w:val="both"/>
      </w:pPr>
      <w:r>
        <w:t>Understanding where back casts excel and where they have difficulty is important, especially when considering policy changes.</w:t>
      </w:r>
    </w:p>
    <w:p w14:paraId="52F584FB" w14:textId="035FE144" w:rsidR="00A11C09" w:rsidRPr="00A11C09" w:rsidRDefault="00A11C09" w:rsidP="00F16BC0">
      <w:pPr>
        <w:jc w:val="both"/>
        <w:rPr>
          <w:u w:val="single"/>
        </w:rPr>
      </w:pPr>
      <w:r w:rsidRPr="00A11C09">
        <w:rPr>
          <w:u w:val="single"/>
        </w:rPr>
        <w:t>Pros:</w:t>
      </w:r>
    </w:p>
    <w:p w14:paraId="24344F52" w14:textId="7E04F80C" w:rsidR="00A11C09" w:rsidRDefault="00A11C09" w:rsidP="00A11C09">
      <w:pPr>
        <w:pStyle w:val="ListParagraph"/>
        <w:numPr>
          <w:ilvl w:val="0"/>
          <w:numId w:val="7"/>
        </w:numPr>
        <w:jc w:val="both"/>
      </w:pPr>
      <w:r>
        <w:t>Relatively easy to produce.</w:t>
      </w:r>
    </w:p>
    <w:p w14:paraId="468F2ED8" w14:textId="354A042A" w:rsidR="00A11C09" w:rsidRDefault="00A11C09" w:rsidP="00A11C09">
      <w:pPr>
        <w:pStyle w:val="ListParagraph"/>
        <w:numPr>
          <w:ilvl w:val="0"/>
          <w:numId w:val="7"/>
        </w:numPr>
        <w:jc w:val="both"/>
      </w:pPr>
      <w:r>
        <w:t>Familiar to analysists and decision makers, used for previous ORDC analysis.</w:t>
      </w:r>
    </w:p>
    <w:p w14:paraId="72515580" w14:textId="3BB1C0B0" w:rsidR="00A11C09" w:rsidRPr="00A11C09" w:rsidRDefault="00A11C09" w:rsidP="00A11C09">
      <w:pPr>
        <w:pStyle w:val="ListParagraph"/>
        <w:numPr>
          <w:ilvl w:val="0"/>
          <w:numId w:val="7"/>
        </w:numPr>
        <w:jc w:val="both"/>
      </w:pPr>
      <w:r>
        <w:t>Better suited to gauge relative differences in options</w:t>
      </w:r>
      <w:r w:rsidR="00FA23A1">
        <w:t>.</w:t>
      </w:r>
    </w:p>
    <w:p w14:paraId="45A304C0" w14:textId="727751E3" w:rsidR="00A11C09" w:rsidRPr="00A11C09" w:rsidRDefault="00A11C09" w:rsidP="00A11C09">
      <w:pPr>
        <w:jc w:val="both"/>
        <w:rPr>
          <w:u w:val="single"/>
        </w:rPr>
      </w:pPr>
      <w:r w:rsidRPr="00A11C09">
        <w:rPr>
          <w:u w:val="single"/>
        </w:rPr>
        <w:t>Cons:</w:t>
      </w:r>
    </w:p>
    <w:p w14:paraId="633F7BF1" w14:textId="47BD13EA" w:rsidR="00A11C09" w:rsidRDefault="00A11C09" w:rsidP="00A11C09">
      <w:pPr>
        <w:pStyle w:val="ListParagraph"/>
        <w:numPr>
          <w:ilvl w:val="0"/>
          <w:numId w:val="10"/>
        </w:numPr>
        <w:jc w:val="both"/>
      </w:pPr>
      <w:r>
        <w:t xml:space="preserve">Magnitude of impact due to a modeled change can </w:t>
      </w:r>
      <w:r w:rsidR="00FA23A1">
        <w:t>be misleading.</w:t>
      </w:r>
    </w:p>
    <w:p w14:paraId="104C0AF8" w14:textId="71E663A6" w:rsidR="00FA23A1" w:rsidRDefault="00A11C09" w:rsidP="00FA23A1">
      <w:pPr>
        <w:pStyle w:val="ListParagraph"/>
        <w:numPr>
          <w:ilvl w:val="0"/>
          <w:numId w:val="10"/>
        </w:numPr>
        <w:jc w:val="both"/>
      </w:pPr>
      <w:r>
        <w:t>Behavioral changes from resources are difficult to model, and when those changes lead to additional commitment the model will generally overestimate the effect of ORDC changes.  ERCOT has supplied some ability to modify behavior in the tool but currently it can only anticipate changes interval by interval so temporal considerations are ignored.</w:t>
      </w:r>
    </w:p>
    <w:p w14:paraId="57BEA9B0" w14:textId="77777777" w:rsidR="00A11C09" w:rsidRDefault="00A11C09" w:rsidP="00F16BC0">
      <w:pPr>
        <w:jc w:val="both"/>
      </w:pPr>
    </w:p>
    <w:p w14:paraId="2D141FA1" w14:textId="43619BF0" w:rsidR="000812F4" w:rsidRPr="00010DC8" w:rsidRDefault="00921148" w:rsidP="00A11C09">
      <w:pPr>
        <w:pStyle w:val="ListParagraph"/>
        <w:keepNext/>
        <w:numPr>
          <w:ilvl w:val="0"/>
          <w:numId w:val="1"/>
        </w:numPr>
        <w:jc w:val="center"/>
        <w:rPr>
          <w:b/>
          <w:sz w:val="28"/>
        </w:rPr>
      </w:pPr>
      <w:r w:rsidRPr="00010DC8">
        <w:rPr>
          <w:b/>
          <w:sz w:val="28"/>
        </w:rPr>
        <w:lastRenderedPageBreak/>
        <w:t>Level of X</w:t>
      </w:r>
    </w:p>
    <w:p w14:paraId="1C5E573F" w14:textId="32FAF650" w:rsidR="009C6A5C" w:rsidRDefault="00921148" w:rsidP="00921148">
      <w:pPr>
        <w:keepNext/>
        <w:jc w:val="both"/>
      </w:pPr>
      <w:r>
        <w:t>From the memo: “</w:t>
      </w:r>
      <w:r w:rsidR="009C6A5C" w:rsidRPr="000812F4">
        <w:t>The level of X used in the ORDC formula, which is 2,000 MW of operating reserves, selected to represent a level below which ERCOT operators cease relying on the market and begin to take out-of-market actions</w:t>
      </w:r>
      <w:r>
        <w:t>”</w:t>
      </w:r>
    </w:p>
    <w:p w14:paraId="1F9F01EB" w14:textId="77BBEDB5" w:rsidR="009C6A5C" w:rsidRDefault="009C6A5C" w:rsidP="00820E77">
      <w:pPr>
        <w:jc w:val="both"/>
      </w:pPr>
      <w:r>
        <w:t>Discussion:  X is also called the Minimum Contingency Level (MCL), and it is the level of ORDC Online Reserves which will trigger a price at VOLL (</w:t>
      </w:r>
      <w:r w:rsidR="00FA23A1">
        <w:t>currently $</w:t>
      </w:r>
      <w:r>
        <w:t>9k).  It is important to remember that the Online Reserves is typically more than the Physical Responsive Capability (PRC), but more on that later</w:t>
      </w:r>
      <w:r w:rsidR="000C097E">
        <w:t xml:space="preserve"> under</w:t>
      </w:r>
      <w:r w:rsidR="0010398B">
        <w:t xml:space="preserve"> item V</w:t>
      </w:r>
      <w:r w:rsidR="000C097E">
        <w:t xml:space="preserve">.   </w:t>
      </w:r>
    </w:p>
    <w:p w14:paraId="146F69E5" w14:textId="113E3E33" w:rsidR="00E63989" w:rsidRDefault="00E63989" w:rsidP="00820E77">
      <w:pPr>
        <w:jc w:val="both"/>
      </w:pPr>
      <w:r>
        <w:t>Alternatives:</w:t>
      </w:r>
    </w:p>
    <w:p w14:paraId="5CFB3141" w14:textId="09FF2A81" w:rsidR="00FA23A1" w:rsidRDefault="00921148" w:rsidP="003C682E">
      <w:pPr>
        <w:pStyle w:val="ListParagraph"/>
        <w:keepNext/>
        <w:numPr>
          <w:ilvl w:val="0"/>
          <w:numId w:val="15"/>
        </w:numPr>
        <w:jc w:val="both"/>
      </w:pPr>
      <w:r>
        <w:t>X=2000 – Cu</w:t>
      </w:r>
      <w:r w:rsidR="00286190">
        <w:t>rrent level</w:t>
      </w:r>
      <w:r w:rsidR="00962ADB">
        <w:t>.</w:t>
      </w:r>
      <w:bookmarkStart w:id="0" w:name="_GoBack"/>
      <w:bookmarkEnd w:id="0"/>
      <w:r w:rsidR="00FA23A1">
        <w:t xml:space="preserve"> The rational for retaining X=2000</w:t>
      </w:r>
      <w:r w:rsidR="00962ADB">
        <w:t xml:space="preserve"> is….</w:t>
      </w:r>
    </w:p>
    <w:p w14:paraId="00D0C196" w14:textId="3C8FDDED" w:rsidR="00FA23A1" w:rsidRDefault="00FA23A1" w:rsidP="00E63989">
      <w:pPr>
        <w:pStyle w:val="ListParagraph"/>
        <w:keepNext/>
        <w:numPr>
          <w:ilvl w:val="0"/>
          <w:numId w:val="15"/>
        </w:numPr>
        <w:jc w:val="both"/>
      </w:pPr>
      <w:r>
        <w:t xml:space="preserve">X=????    The rational is ……. </w:t>
      </w:r>
    </w:p>
    <w:p w14:paraId="639F4113" w14:textId="399D2B7D" w:rsidR="00FA23A1" w:rsidRDefault="00FA23A1" w:rsidP="00E63989">
      <w:pPr>
        <w:pStyle w:val="ListParagraph"/>
        <w:keepNext/>
        <w:numPr>
          <w:ilvl w:val="0"/>
          <w:numId w:val="15"/>
        </w:numPr>
        <w:jc w:val="both"/>
      </w:pPr>
      <w:r>
        <w:t>X=????</w:t>
      </w:r>
    </w:p>
    <w:p w14:paraId="12F8F37E" w14:textId="377B5D63" w:rsidR="00FA23A1" w:rsidRDefault="00FA23A1" w:rsidP="00E63989">
      <w:pPr>
        <w:pStyle w:val="ListParagraph"/>
        <w:keepNext/>
        <w:numPr>
          <w:ilvl w:val="0"/>
          <w:numId w:val="15"/>
        </w:numPr>
        <w:jc w:val="both"/>
      </w:pPr>
      <w:r>
        <w:t>X=?</w:t>
      </w:r>
    </w:p>
    <w:p w14:paraId="53B6883D" w14:textId="77777777" w:rsidR="00E02B00" w:rsidRDefault="00E02B00" w:rsidP="00E02B00">
      <w:pPr>
        <w:keepNext/>
        <w:jc w:val="both"/>
      </w:pPr>
      <w:r>
        <w:rPr>
          <w:noProof/>
        </w:rPr>
        <w:drawing>
          <wp:inline distT="0" distB="0" distL="0" distR="0" wp14:anchorId="44F9E6B0" wp14:editId="466D9DBB">
            <wp:extent cx="5943600" cy="4289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289425"/>
                    </a:xfrm>
                    <a:prstGeom prst="rect">
                      <a:avLst/>
                    </a:prstGeom>
                  </pic:spPr>
                </pic:pic>
              </a:graphicData>
            </a:graphic>
          </wp:inline>
        </w:drawing>
      </w:r>
    </w:p>
    <w:p w14:paraId="58B1A300" w14:textId="645ADCEE" w:rsidR="00E02B00" w:rsidRDefault="00E02B00" w:rsidP="00E02B00">
      <w:pPr>
        <w:pStyle w:val="Caption"/>
        <w:jc w:val="both"/>
      </w:pPr>
      <w:r>
        <w:t xml:space="preserve">Figure </w:t>
      </w:r>
      <w:fldSimple w:instr=" SEQ Figure \* ARABIC ">
        <w:r w:rsidR="00044C85">
          <w:rPr>
            <w:noProof/>
          </w:rPr>
          <w:t>3</w:t>
        </w:r>
      </w:fldSimple>
      <w:r>
        <w:t>, X Options</w:t>
      </w:r>
    </w:p>
    <w:p w14:paraId="49FD9662" w14:textId="41C23D4D" w:rsidR="00E02B00" w:rsidRDefault="00E02B00" w:rsidP="00820E77">
      <w:pPr>
        <w:jc w:val="both"/>
      </w:pPr>
    </w:p>
    <w:p w14:paraId="0CED4CF6" w14:textId="64CC3D8F" w:rsidR="0010398B" w:rsidRDefault="0010398B" w:rsidP="0010398B">
      <w:pPr>
        <w:jc w:val="both"/>
      </w:pPr>
      <w:r>
        <w:t xml:space="preserve"> </w:t>
      </w:r>
      <w:r w:rsidR="00C44C41">
        <w:t xml:space="preserve">Conclusion: </w:t>
      </w:r>
      <w:r w:rsidR="0031791D">
        <w:t>As you can see in the figure above</w:t>
      </w:r>
      <w:r w:rsidR="00921148">
        <w:t xml:space="preserve">, the higher X merely shifts the curve to the right. </w:t>
      </w:r>
    </w:p>
    <w:p w14:paraId="3CE979FB" w14:textId="77777777" w:rsidR="00286190" w:rsidRDefault="00286190" w:rsidP="0010398B">
      <w:pPr>
        <w:jc w:val="center"/>
      </w:pPr>
    </w:p>
    <w:p w14:paraId="5ADAE9D7" w14:textId="1B49D332" w:rsidR="00277584" w:rsidRDefault="00277584" w:rsidP="0010398B">
      <w:pPr>
        <w:jc w:val="center"/>
      </w:pPr>
      <w:r>
        <w:t>INSERT ERCOT ANALYSIS</w:t>
      </w:r>
    </w:p>
    <w:p w14:paraId="63F976F6" w14:textId="77777777" w:rsidR="00286190" w:rsidRDefault="00286190" w:rsidP="0010398B">
      <w:pPr>
        <w:jc w:val="center"/>
      </w:pPr>
    </w:p>
    <w:p w14:paraId="001FB1D9" w14:textId="33F60965" w:rsidR="00C44C41" w:rsidRPr="00010DC8" w:rsidRDefault="0010398B" w:rsidP="00A11C09">
      <w:pPr>
        <w:pStyle w:val="ListParagraph"/>
        <w:numPr>
          <w:ilvl w:val="0"/>
          <w:numId w:val="1"/>
        </w:numPr>
        <w:jc w:val="center"/>
        <w:rPr>
          <w:b/>
          <w:sz w:val="28"/>
        </w:rPr>
      </w:pPr>
      <w:r w:rsidRPr="00010DC8">
        <w:rPr>
          <w:b/>
          <w:sz w:val="28"/>
        </w:rPr>
        <w:t xml:space="preserve"> </w:t>
      </w:r>
      <w:r w:rsidR="00C44C41" w:rsidRPr="00010DC8">
        <w:rPr>
          <w:b/>
          <w:sz w:val="28"/>
        </w:rPr>
        <w:t>Standard Deviation of the LOLP</w:t>
      </w:r>
    </w:p>
    <w:p w14:paraId="7B88253B" w14:textId="1CE90B11" w:rsidR="00C44C41" w:rsidRDefault="00C44C41" w:rsidP="003F2DD9">
      <w:pPr>
        <w:jc w:val="both"/>
      </w:pPr>
      <w:r>
        <w:t>From the memo:  “</w:t>
      </w:r>
      <w:r w:rsidRPr="000812F4">
        <w:t>The number of standard deviations used to formulate of the loss of load probability curve in the ORDC</w:t>
      </w:r>
      <w:r>
        <w:t>.”</w:t>
      </w:r>
    </w:p>
    <w:p w14:paraId="5EFCAAB2" w14:textId="3C6CA86E" w:rsidR="00C44C41" w:rsidRDefault="00C44C41" w:rsidP="003F2DD9">
      <w:pPr>
        <w:jc w:val="both"/>
      </w:pPr>
      <w:r>
        <w:t>Discussion:</w:t>
      </w:r>
      <w:r w:rsidR="0031791D">
        <w:t xml:space="preserve"> The LOLP </w:t>
      </w:r>
      <w:r w:rsidR="0031791D" w:rsidRPr="008B0152">
        <w:t>is determined by analyzing historic events defined as the difference between the hour-ahead forecasted reserves with the reserves that were available in Real-Time during the Operating Hour</w:t>
      </w:r>
      <w:r w:rsidR="0031791D">
        <w:rPr>
          <w:rStyle w:val="FootnoteReference"/>
        </w:rPr>
        <w:footnoteReference w:id="1"/>
      </w:r>
      <w:r w:rsidR="0031791D">
        <w:t>.</w:t>
      </w:r>
      <w:r w:rsidR="0031791D" w:rsidRPr="008B0152">
        <w:t xml:space="preserve"> </w:t>
      </w:r>
      <w:r w:rsidR="0031791D">
        <w:t xml:space="preserve">   Currently we use 1 Standard Deviation when calculating the LOLP</w:t>
      </w:r>
      <w:r w:rsidR="00FA23A1">
        <w:t>.</w:t>
      </w:r>
    </w:p>
    <w:p w14:paraId="2FDB8AFA" w14:textId="3958D92E" w:rsidR="00E63989" w:rsidRDefault="00E63989" w:rsidP="003F2DD9">
      <w:pPr>
        <w:jc w:val="both"/>
      </w:pPr>
      <w:r>
        <w:t>Alternatives:</w:t>
      </w:r>
    </w:p>
    <w:p w14:paraId="1BE4F35C" w14:textId="13E35A80" w:rsidR="00E63989" w:rsidRDefault="00E63989" w:rsidP="00E63989">
      <w:pPr>
        <w:pStyle w:val="ListParagraph"/>
        <w:numPr>
          <w:ilvl w:val="0"/>
          <w:numId w:val="16"/>
        </w:numPr>
        <w:jc w:val="both"/>
      </w:pPr>
      <w:r>
        <w:t>Use 1 Standard Deviation – Current practice</w:t>
      </w:r>
    </w:p>
    <w:p w14:paraId="6682BF84" w14:textId="44CD5836" w:rsidR="00E63989" w:rsidRDefault="00E63989" w:rsidP="00E63989">
      <w:pPr>
        <w:pStyle w:val="ListParagraph"/>
        <w:numPr>
          <w:ilvl w:val="0"/>
          <w:numId w:val="16"/>
        </w:numPr>
        <w:jc w:val="both"/>
      </w:pPr>
      <w:r>
        <w:t>Use y SD because…..</w:t>
      </w:r>
    </w:p>
    <w:p w14:paraId="03EDEDF4" w14:textId="77777777" w:rsidR="0031791D" w:rsidRDefault="0031791D" w:rsidP="0031791D">
      <w:pPr>
        <w:jc w:val="both"/>
      </w:pPr>
      <w:r>
        <w:rPr>
          <w:noProof/>
        </w:rPr>
        <w:drawing>
          <wp:inline distT="0" distB="0" distL="0" distR="0" wp14:anchorId="5D9A90C6" wp14:editId="0DB0EFFF">
            <wp:extent cx="5943600" cy="4335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335780"/>
                    </a:xfrm>
                    <a:prstGeom prst="rect">
                      <a:avLst/>
                    </a:prstGeom>
                  </pic:spPr>
                </pic:pic>
              </a:graphicData>
            </a:graphic>
          </wp:inline>
        </w:drawing>
      </w:r>
    </w:p>
    <w:p w14:paraId="59CE6236" w14:textId="77777777" w:rsidR="0031791D" w:rsidRDefault="0031791D" w:rsidP="0031791D">
      <w:pPr>
        <w:pStyle w:val="Caption"/>
        <w:jc w:val="both"/>
      </w:pPr>
      <w:r>
        <w:t xml:space="preserve">Figure </w:t>
      </w:r>
      <w:fldSimple w:instr=" SEQ Figure \* ARABIC ">
        <w:r w:rsidR="00044C85">
          <w:rPr>
            <w:noProof/>
          </w:rPr>
          <w:t>4</w:t>
        </w:r>
      </w:fldSimple>
      <w:r>
        <w:t>, Effect of increasing the Standard Deviation used in LOLP</w:t>
      </w:r>
    </w:p>
    <w:p w14:paraId="632C3F3F" w14:textId="77777777" w:rsidR="0031791D" w:rsidRDefault="0031791D" w:rsidP="00C44C41">
      <w:pPr>
        <w:ind w:left="360"/>
        <w:jc w:val="both"/>
      </w:pPr>
    </w:p>
    <w:p w14:paraId="69EBC2AB" w14:textId="14BDE6E9" w:rsidR="00AA4ED7" w:rsidRDefault="00C44C41" w:rsidP="003F2DD9">
      <w:pPr>
        <w:jc w:val="both"/>
      </w:pPr>
      <w:r>
        <w:t>Conclusion:</w:t>
      </w:r>
      <w:r w:rsidR="0031791D">
        <w:t xml:space="preserve"> As you can see in the figure above, adding </w:t>
      </w:r>
      <w:r w:rsidR="00FA23A1">
        <w:t>standard deviations “flattens” the curve</w:t>
      </w:r>
      <w:r w:rsidR="00E63989">
        <w:t xml:space="preserve"> and extends the duration of a meaningful adder</w:t>
      </w:r>
      <w:r w:rsidR="00FA23A1">
        <w:t>.</w:t>
      </w:r>
    </w:p>
    <w:p w14:paraId="7262FAEB" w14:textId="77777777" w:rsidR="00277584" w:rsidRDefault="00277584" w:rsidP="00277584">
      <w:pPr>
        <w:jc w:val="center"/>
      </w:pPr>
      <w:r>
        <w:t>INSERT ERCOT ANALYSIS</w:t>
      </w:r>
    </w:p>
    <w:p w14:paraId="545039E9" w14:textId="77777777" w:rsidR="00286190" w:rsidRDefault="00286190" w:rsidP="00AA4ED7">
      <w:pPr>
        <w:jc w:val="center"/>
      </w:pPr>
    </w:p>
    <w:p w14:paraId="687EF334" w14:textId="54F55630" w:rsidR="00C44C41" w:rsidRPr="00010DC8" w:rsidRDefault="00C44C41" w:rsidP="00A11C09">
      <w:pPr>
        <w:pStyle w:val="ListParagraph"/>
        <w:keepNext/>
        <w:numPr>
          <w:ilvl w:val="0"/>
          <w:numId w:val="1"/>
        </w:numPr>
        <w:jc w:val="center"/>
        <w:rPr>
          <w:b/>
          <w:sz w:val="28"/>
        </w:rPr>
      </w:pPr>
      <w:r w:rsidRPr="00010DC8">
        <w:rPr>
          <w:b/>
          <w:sz w:val="28"/>
        </w:rPr>
        <w:t>VOLL</w:t>
      </w:r>
    </w:p>
    <w:p w14:paraId="7E1518EA" w14:textId="78C2F399" w:rsidR="00C44C41" w:rsidRDefault="00C44C41" w:rsidP="0089786F">
      <w:pPr>
        <w:jc w:val="both"/>
      </w:pPr>
      <w:r>
        <w:t>From the memo: “</w:t>
      </w:r>
      <w:r w:rsidRPr="000812F4">
        <w:t>The value of lost load (VOLL) used in the ORDC, which currently is $9,000 MWh (and whether $9,000 MWh should remain as the effective price cap even if the VOLL is increased)</w:t>
      </w:r>
      <w:r>
        <w:t>”</w:t>
      </w:r>
    </w:p>
    <w:p w14:paraId="2D28012F" w14:textId="1C5E68E8" w:rsidR="00C44C41" w:rsidRDefault="00C44C41" w:rsidP="0089786F">
      <w:pPr>
        <w:jc w:val="both"/>
      </w:pPr>
      <w:r>
        <w:t>Discussion:</w:t>
      </w:r>
      <w:r w:rsidR="00FA23A1">
        <w:t xml:space="preserve">  A significant issue is the consideration of the “effective price cap”.   Currently VOLL </w:t>
      </w:r>
      <w:r w:rsidR="00FA23A1">
        <w:rPr>
          <w:i/>
        </w:rPr>
        <w:t>is</w:t>
      </w:r>
      <w:r w:rsidR="00FA23A1">
        <w:t xml:space="preserve"> the effective price cap, not the System Wide Offer Cap (SWOC), so if VOLL &gt; SWOC the energy price could exceed SWOC even in intervals without congestion.</w:t>
      </w:r>
    </w:p>
    <w:p w14:paraId="54504392" w14:textId="13928BFF" w:rsidR="00E63989" w:rsidRDefault="00E63989" w:rsidP="0089786F">
      <w:pPr>
        <w:jc w:val="both"/>
      </w:pPr>
      <w:r>
        <w:t>Alternatives:</w:t>
      </w:r>
    </w:p>
    <w:p w14:paraId="263D2A75" w14:textId="627898AE" w:rsidR="00E63989" w:rsidRDefault="00E63989" w:rsidP="00E63989">
      <w:pPr>
        <w:pStyle w:val="ListParagraph"/>
        <w:numPr>
          <w:ilvl w:val="0"/>
          <w:numId w:val="17"/>
        </w:numPr>
        <w:jc w:val="both"/>
      </w:pPr>
      <w:r>
        <w:t>VOLL = $9,000.  Current value</w:t>
      </w:r>
    </w:p>
    <w:p w14:paraId="463B0D43" w14:textId="415B9857" w:rsidR="00E63989" w:rsidRPr="00FA23A1" w:rsidRDefault="00E63989" w:rsidP="00E63989">
      <w:pPr>
        <w:pStyle w:val="ListParagraph"/>
        <w:numPr>
          <w:ilvl w:val="0"/>
          <w:numId w:val="17"/>
        </w:numPr>
        <w:jc w:val="both"/>
      </w:pPr>
      <w:r>
        <w:t>VOLL = $</w:t>
      </w:r>
      <w:proofErr w:type="gramStart"/>
      <w:r>
        <w:t>x  based</w:t>
      </w:r>
      <w:proofErr w:type="gramEnd"/>
      <w:r>
        <w:t xml:space="preserve"> on ….</w:t>
      </w:r>
    </w:p>
    <w:p w14:paraId="24A27C6C" w14:textId="313D8F3D" w:rsidR="0089786F" w:rsidRDefault="0089786F" w:rsidP="0089786F">
      <w:pPr>
        <w:keepNext/>
        <w:ind w:left="360"/>
        <w:jc w:val="both"/>
      </w:pPr>
      <w:r>
        <w:rPr>
          <w:noProof/>
        </w:rPr>
        <w:drawing>
          <wp:inline distT="0" distB="0" distL="0" distR="0" wp14:anchorId="6586C7D3" wp14:editId="676C3DE8">
            <wp:extent cx="5943600" cy="425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254500"/>
                    </a:xfrm>
                    <a:prstGeom prst="rect">
                      <a:avLst/>
                    </a:prstGeom>
                  </pic:spPr>
                </pic:pic>
              </a:graphicData>
            </a:graphic>
          </wp:inline>
        </w:drawing>
      </w:r>
    </w:p>
    <w:p w14:paraId="59479883" w14:textId="6974626E" w:rsidR="0089786F" w:rsidRDefault="0089786F" w:rsidP="0089786F">
      <w:pPr>
        <w:pStyle w:val="Caption"/>
        <w:jc w:val="both"/>
      </w:pPr>
      <w:r>
        <w:t xml:space="preserve">Figure </w:t>
      </w:r>
      <w:fldSimple w:instr=" SEQ Figure \* ARABIC ">
        <w:r w:rsidR="00044C85">
          <w:rPr>
            <w:noProof/>
          </w:rPr>
          <w:t>5</w:t>
        </w:r>
      </w:fldSimple>
      <w:r>
        <w:t>, VOLL at 9 &amp; 18k, with and without 9k cap.  Note, the 18k capped curve does go to 18k but the chart is truncated at 10k for ease of viewing.</w:t>
      </w:r>
    </w:p>
    <w:p w14:paraId="72C223CA" w14:textId="0B390CB2" w:rsidR="00C44C41" w:rsidRDefault="00C44C41" w:rsidP="0089786F">
      <w:pPr>
        <w:jc w:val="both"/>
      </w:pPr>
      <w:r>
        <w:lastRenderedPageBreak/>
        <w:t xml:space="preserve">Conclusion: </w:t>
      </w:r>
      <w:r w:rsidR="003F2DD9">
        <w:t xml:space="preserve">In the figure above we see that an increase in VOLL would be a straight forward increase to the ORDC adder (RTORPA) but the cap question is an important one.  </w:t>
      </w:r>
      <w:r w:rsidR="00FA23A1">
        <w:t xml:space="preserve"> It’s also important to note that the only time the “effective price cap” issue matters is when reserves are near the minimum contingency level.</w:t>
      </w:r>
    </w:p>
    <w:p w14:paraId="0BBDA71F" w14:textId="77777777" w:rsidR="00277584" w:rsidRDefault="00277584" w:rsidP="00277584">
      <w:pPr>
        <w:jc w:val="center"/>
      </w:pPr>
      <w:r>
        <w:t>INSERT ERCOT ANALYSIS</w:t>
      </w:r>
    </w:p>
    <w:p w14:paraId="7A01BF8C" w14:textId="77777777" w:rsidR="00A567BF" w:rsidRDefault="00A567BF" w:rsidP="00A567BF">
      <w:pPr>
        <w:jc w:val="center"/>
      </w:pPr>
    </w:p>
    <w:p w14:paraId="13DF8178" w14:textId="0D924AC1" w:rsidR="00C44C41" w:rsidRPr="00010DC8" w:rsidRDefault="00C44C41" w:rsidP="00A11C09">
      <w:pPr>
        <w:pStyle w:val="ListParagraph"/>
        <w:keepNext/>
        <w:numPr>
          <w:ilvl w:val="0"/>
          <w:numId w:val="1"/>
        </w:numPr>
        <w:jc w:val="center"/>
        <w:rPr>
          <w:b/>
          <w:sz w:val="28"/>
        </w:rPr>
      </w:pPr>
      <w:r w:rsidRPr="00010DC8">
        <w:rPr>
          <w:b/>
          <w:sz w:val="28"/>
        </w:rPr>
        <w:t>PRC vs Online Operating Reserves</w:t>
      </w:r>
    </w:p>
    <w:p w14:paraId="1524B971" w14:textId="169C1EA2" w:rsidR="00C44C41" w:rsidRDefault="00C44C41" w:rsidP="0089786F">
      <w:pPr>
        <w:jc w:val="both"/>
      </w:pPr>
      <w:r>
        <w:t>From the memo: “</w:t>
      </w:r>
      <w:r w:rsidRPr="000812F4">
        <w:t>Should operating reserves counted in ORDC become more closely correlated to PRC, and if so, how?</w:t>
      </w:r>
      <w:r>
        <w:t>”</w:t>
      </w:r>
    </w:p>
    <w:p w14:paraId="0C1F7DB8" w14:textId="48C9BBCE" w:rsidR="00C44C41" w:rsidRDefault="00C44C41" w:rsidP="0089786F">
      <w:pPr>
        <w:jc w:val="both"/>
      </w:pPr>
      <w:r>
        <w:t>Discussion:</w:t>
      </w:r>
      <w:r w:rsidR="003F2DD9">
        <w:t xml:space="preserve"> The PRC, which ERCOT uses to determine if it’s in an Emergency (EEA), is a more conservative value than the Operating Reserves calculation</w:t>
      </w:r>
      <w:r w:rsidR="004C7A45">
        <w:t xml:space="preserve"> due to the requirement that PRC only count frequency responsive resource capacity</w:t>
      </w:r>
      <w:r w:rsidR="003F2DD9">
        <w:t xml:space="preserve">. </w:t>
      </w:r>
      <w:r w:rsidR="00887488">
        <w:t xml:space="preserve"> </w:t>
      </w:r>
      <w:r w:rsidR="00277584">
        <w:t xml:space="preserve"> ERCOT presented an analysis located </w:t>
      </w:r>
      <w:hyperlink r:id="rId14" w:history="1">
        <w:r w:rsidR="00277584" w:rsidRPr="00277584">
          <w:rPr>
            <w:rStyle w:val="Hyperlink"/>
          </w:rPr>
          <w:t>here</w:t>
        </w:r>
      </w:hyperlink>
      <w:r w:rsidR="00277584">
        <w:t xml:space="preserve"> at the 10-29-15 TAC.</w:t>
      </w:r>
      <w:r w:rsidR="00887488">
        <w:t xml:space="preserve"> </w:t>
      </w:r>
      <w:r w:rsidR="004C7A45">
        <w:t xml:space="preserve"> </w:t>
      </w:r>
      <w:r w:rsidR="003D2206">
        <w:t>ERCOT and stakeholders have identified a few options, some of which may tend to reduce prices.</w:t>
      </w:r>
    </w:p>
    <w:p w14:paraId="4D5C1FAE" w14:textId="76210E95" w:rsidR="003D2206" w:rsidRDefault="003D2206" w:rsidP="0089786F">
      <w:pPr>
        <w:jc w:val="both"/>
      </w:pPr>
      <w:r>
        <w:t>Alternatives:</w:t>
      </w:r>
    </w:p>
    <w:p w14:paraId="0C1D4716" w14:textId="4C5A51DB" w:rsidR="00165F9F" w:rsidRP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When NSRS is deployed, require all NSRS to be online - increases PRC so less likely EEA, </w:t>
      </w:r>
      <w:r>
        <w:rPr>
          <w:rFonts w:ascii="Calibri" w:eastAsia="Times New Roman" w:hAnsi="Calibri" w:cs="Times New Roman"/>
          <w:color w:val="000000"/>
        </w:rPr>
        <w:t>also could decrease system lambda and the ORDC adder</w:t>
      </w:r>
      <w:r w:rsidRPr="00165F9F">
        <w:rPr>
          <w:rFonts w:ascii="Calibri" w:eastAsia="Times New Roman" w:hAnsi="Calibri" w:cs="Times New Roman"/>
          <w:color w:val="000000"/>
        </w:rPr>
        <w:t>.</w:t>
      </w:r>
    </w:p>
    <w:p w14:paraId="5A3CDF72" w14:textId="529AC96A" w:rsidR="00165F9F" w:rsidRP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Allow operator to use more discretion in calling EEA </w:t>
      </w:r>
    </w:p>
    <w:p w14:paraId="6C550B0D" w14:textId="52D4F431" w:rsidR="00165F9F" w:rsidRP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Increase RRS </w:t>
      </w:r>
      <w:r>
        <w:rPr>
          <w:rFonts w:ascii="Calibri" w:eastAsia="Times New Roman" w:hAnsi="Calibri" w:cs="Times New Roman"/>
          <w:color w:val="000000"/>
        </w:rPr>
        <w:t xml:space="preserve">Procurement - </w:t>
      </w:r>
    </w:p>
    <w:p w14:paraId="1595EE7B" w14:textId="4EA8D68A" w:rsidR="00165F9F" w:rsidRP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Require all NSRS to be offline and to be online brought online upon ERCOT deployment -</w:t>
      </w:r>
    </w:p>
    <w:p w14:paraId="22641FB4" w14:textId="502F5F5A" w:rsidR="003D2206" w:rsidRDefault="003D2206" w:rsidP="003D2206">
      <w:pPr>
        <w:pStyle w:val="ListParagraph"/>
        <w:numPr>
          <w:ilvl w:val="0"/>
          <w:numId w:val="18"/>
        </w:numPr>
        <w:jc w:val="both"/>
      </w:pPr>
    </w:p>
    <w:p w14:paraId="677AAE46" w14:textId="54F359F5" w:rsidR="00A63F01" w:rsidRDefault="004C7A45" w:rsidP="00A63F01">
      <w:pPr>
        <w:keepNext/>
        <w:jc w:val="both"/>
      </w:pPr>
      <w:r>
        <w:rPr>
          <w:noProof/>
        </w:rPr>
        <w:lastRenderedPageBreak/>
        <w:drawing>
          <wp:inline distT="0" distB="0" distL="0" distR="0" wp14:anchorId="16CEE998" wp14:editId="3021EC7E">
            <wp:extent cx="5943600" cy="47326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732655"/>
                    </a:xfrm>
                    <a:prstGeom prst="rect">
                      <a:avLst/>
                    </a:prstGeom>
                  </pic:spPr>
                </pic:pic>
              </a:graphicData>
            </a:graphic>
          </wp:inline>
        </w:drawing>
      </w:r>
    </w:p>
    <w:p w14:paraId="1DE46128" w14:textId="23F2FABD" w:rsidR="00A63F01" w:rsidRDefault="00A63F01" w:rsidP="00A63F01">
      <w:pPr>
        <w:pStyle w:val="Caption"/>
        <w:jc w:val="both"/>
      </w:pPr>
      <w:r>
        <w:t xml:space="preserve">Figure </w:t>
      </w:r>
      <w:fldSimple w:instr=" SEQ Figure \* ARABIC ">
        <w:r w:rsidR="00044C85">
          <w:rPr>
            <w:noProof/>
          </w:rPr>
          <w:t>6</w:t>
        </w:r>
      </w:fldSimple>
      <w:r>
        <w:t>, Low PRC</w:t>
      </w:r>
      <w:r w:rsidR="004C7A45">
        <w:t xml:space="preserve"> from ERCOT analysis presented to 10-29-15 TAC.</w:t>
      </w:r>
    </w:p>
    <w:p w14:paraId="12884F8D" w14:textId="77777777" w:rsidR="00286190" w:rsidRDefault="00286190" w:rsidP="0089786F">
      <w:pPr>
        <w:jc w:val="both"/>
      </w:pPr>
    </w:p>
    <w:p w14:paraId="57B966D7" w14:textId="77777777" w:rsidR="00277584" w:rsidRDefault="00277584" w:rsidP="00277584">
      <w:pPr>
        <w:jc w:val="center"/>
      </w:pPr>
      <w:r>
        <w:t>INSERT ERCOT ANALYSIS</w:t>
      </w:r>
    </w:p>
    <w:p w14:paraId="05C0FD13" w14:textId="77777777" w:rsidR="00277584" w:rsidRDefault="00277584" w:rsidP="0089786F">
      <w:pPr>
        <w:jc w:val="both"/>
      </w:pPr>
    </w:p>
    <w:p w14:paraId="0EAD609E" w14:textId="4C6B779F" w:rsidR="00C44C41" w:rsidRPr="00010DC8" w:rsidRDefault="00C44C41" w:rsidP="00A11C09">
      <w:pPr>
        <w:pStyle w:val="ListParagraph"/>
        <w:keepNext/>
        <w:numPr>
          <w:ilvl w:val="0"/>
          <w:numId w:val="1"/>
        </w:numPr>
        <w:jc w:val="center"/>
        <w:rPr>
          <w:b/>
          <w:sz w:val="28"/>
        </w:rPr>
      </w:pPr>
      <w:r w:rsidRPr="00010DC8">
        <w:rPr>
          <w:b/>
          <w:sz w:val="28"/>
        </w:rPr>
        <w:t>Other inputs to LOLP</w:t>
      </w:r>
    </w:p>
    <w:p w14:paraId="218E5505" w14:textId="43AEA71B" w:rsidR="003F2DD9" w:rsidRDefault="00C44C41" w:rsidP="00286190">
      <w:pPr>
        <w:jc w:val="both"/>
      </w:pPr>
      <w:r>
        <w:t>From the memo: “Are the current inputs used to calculate the loss of load probability (LOLP) for any given period a sufficiently reasonable approximation or should the method and inputs be reevaluated?   I ask this question because at certain hours of certain days last summer the price”</w:t>
      </w:r>
    </w:p>
    <w:p w14:paraId="372AE134" w14:textId="6AD167B6" w:rsidR="00C44C41" w:rsidRDefault="00C44C41" w:rsidP="0089786F">
      <w:pPr>
        <w:jc w:val="both"/>
      </w:pPr>
      <w:r>
        <w:t>Discussion</w:t>
      </w:r>
      <w:proofErr w:type="gramStart"/>
      <w:r>
        <w:t>:</w:t>
      </w:r>
      <w:r w:rsidR="003F2DD9">
        <w:t xml:space="preserve"> </w:t>
      </w:r>
      <w:r w:rsidR="00165F9F">
        <w:t xml:space="preserve"> …..</w:t>
      </w:r>
      <w:proofErr w:type="gramEnd"/>
      <w:r w:rsidR="003F2DD9">
        <w:t xml:space="preserve">  </w:t>
      </w:r>
    </w:p>
    <w:p w14:paraId="4D31FC6B" w14:textId="2A539D74" w:rsidR="00FA23A1" w:rsidRDefault="00FA23A1" w:rsidP="0089786F">
      <w:pPr>
        <w:jc w:val="both"/>
      </w:pPr>
      <w:r>
        <w:t>Alternative LOLP recommendation &amp; rational……..</w:t>
      </w:r>
    </w:p>
    <w:p w14:paraId="7EAB34FF" w14:textId="77777777" w:rsidR="00277584" w:rsidRDefault="00277584" w:rsidP="0089786F">
      <w:pPr>
        <w:jc w:val="both"/>
      </w:pPr>
    </w:p>
    <w:p w14:paraId="6F242664" w14:textId="67ABB559" w:rsidR="00277584" w:rsidRDefault="00277584" w:rsidP="00277584">
      <w:pPr>
        <w:jc w:val="center"/>
      </w:pPr>
      <w:r>
        <w:tab/>
        <w:t>INSERT ERCOT ANALYSIS</w:t>
      </w:r>
    </w:p>
    <w:p w14:paraId="091D1440" w14:textId="1CCFE8D6" w:rsidR="00277584" w:rsidRDefault="00277584" w:rsidP="0089786F">
      <w:pPr>
        <w:jc w:val="both"/>
      </w:pPr>
    </w:p>
    <w:p w14:paraId="1812E4CD" w14:textId="1213DA61" w:rsidR="00FA23A1" w:rsidRDefault="00FA23A1" w:rsidP="00FA23A1">
      <w:pPr>
        <w:pStyle w:val="ListParagraph"/>
        <w:numPr>
          <w:ilvl w:val="0"/>
          <w:numId w:val="1"/>
        </w:numPr>
        <w:jc w:val="center"/>
        <w:rPr>
          <w:b/>
          <w:sz w:val="28"/>
        </w:rPr>
      </w:pPr>
      <w:r>
        <w:rPr>
          <w:b/>
          <w:sz w:val="28"/>
        </w:rPr>
        <w:t>Proposals from Stakeholders</w:t>
      </w:r>
    </w:p>
    <w:p w14:paraId="37544947" w14:textId="77777777" w:rsidR="00FA23A1" w:rsidRDefault="00FA23A1" w:rsidP="00FA23A1">
      <w:pPr>
        <w:pStyle w:val="ListParagraph"/>
        <w:ind w:left="1080"/>
        <w:rPr>
          <w:b/>
          <w:sz w:val="28"/>
        </w:rPr>
      </w:pPr>
    </w:p>
    <w:p w14:paraId="350B6AFA" w14:textId="24B14CC5" w:rsidR="00FA23A1" w:rsidRPr="00FA23A1" w:rsidRDefault="00FA23A1" w:rsidP="00FA23A1">
      <w:pPr>
        <w:pStyle w:val="ListParagraph"/>
        <w:numPr>
          <w:ilvl w:val="0"/>
          <w:numId w:val="13"/>
        </w:numPr>
      </w:pPr>
      <w:r w:rsidRPr="00FA23A1">
        <w:t>Do not make any changes</w:t>
      </w:r>
      <w:r>
        <w:t xml:space="preserve">, Supported by </w:t>
      </w:r>
      <w:proofErr w:type="spellStart"/>
      <w:r>
        <w:t>abc</w:t>
      </w:r>
      <w:proofErr w:type="spellEnd"/>
      <w:r>
        <w:t xml:space="preserve"> co, xyz co</w:t>
      </w:r>
    </w:p>
    <w:p w14:paraId="32121B9A" w14:textId="40DAE90C" w:rsidR="00FA23A1" w:rsidRDefault="00FA23A1" w:rsidP="00FA23A1">
      <w:pPr>
        <w:pStyle w:val="ListParagraph"/>
        <w:numPr>
          <w:ilvl w:val="0"/>
          <w:numId w:val="13"/>
        </w:numPr>
      </w:pPr>
      <w:r>
        <w:t xml:space="preserve">Modify X alone to </w:t>
      </w:r>
      <w:proofErr w:type="spellStart"/>
      <w:r>
        <w:t>xxxxx</w:t>
      </w:r>
      <w:proofErr w:type="spellEnd"/>
      <w:r>
        <w:t xml:space="preserve">, supported by </w:t>
      </w:r>
      <w:proofErr w:type="spellStart"/>
      <w:r>
        <w:t>fgh</w:t>
      </w:r>
      <w:proofErr w:type="spellEnd"/>
      <w:r>
        <w:t xml:space="preserve"> co.</w:t>
      </w:r>
    </w:p>
    <w:p w14:paraId="44753A3C" w14:textId="1D8CA2F5" w:rsidR="00FA23A1" w:rsidRDefault="00FA23A1" w:rsidP="00FA23A1">
      <w:pPr>
        <w:pStyle w:val="ListParagraph"/>
        <w:numPr>
          <w:ilvl w:val="0"/>
          <w:numId w:val="13"/>
        </w:numPr>
      </w:pPr>
      <w:r>
        <w:t xml:space="preserve">Modify X to </w:t>
      </w:r>
      <w:proofErr w:type="spellStart"/>
      <w:r>
        <w:t>xxxxx</w:t>
      </w:r>
      <w:proofErr w:type="spellEnd"/>
      <w:r>
        <w:t xml:space="preserve">, SD to </w:t>
      </w:r>
      <w:proofErr w:type="spellStart"/>
      <w:r>
        <w:t>yyyyy</w:t>
      </w:r>
      <w:proofErr w:type="spellEnd"/>
      <w:r>
        <w:t>, supported by …</w:t>
      </w:r>
    </w:p>
    <w:p w14:paraId="42CC5906" w14:textId="307F74D1" w:rsidR="00FA23A1" w:rsidRPr="00FA23A1" w:rsidRDefault="00FA23A1" w:rsidP="00FA23A1">
      <w:pPr>
        <w:pStyle w:val="ListParagraph"/>
        <w:numPr>
          <w:ilvl w:val="0"/>
          <w:numId w:val="13"/>
        </w:numPr>
      </w:pPr>
      <w:proofErr w:type="spellStart"/>
      <w:r>
        <w:t>etc</w:t>
      </w:r>
      <w:proofErr w:type="spellEnd"/>
    </w:p>
    <w:p w14:paraId="10FD82A6" w14:textId="77777777" w:rsidR="00277584" w:rsidRDefault="00277584" w:rsidP="00277584">
      <w:pPr>
        <w:pStyle w:val="ListParagraph"/>
        <w:ind w:left="2160" w:firstLine="720"/>
      </w:pPr>
    </w:p>
    <w:p w14:paraId="4159070D" w14:textId="77777777" w:rsidR="00277584" w:rsidRDefault="00277584" w:rsidP="00277584">
      <w:pPr>
        <w:pStyle w:val="ListParagraph"/>
        <w:ind w:left="2880" w:firstLine="720"/>
      </w:pPr>
      <w:r>
        <w:t>INSERT ERCOT ANALYSIS</w:t>
      </w:r>
    </w:p>
    <w:p w14:paraId="3FBEDC36" w14:textId="77777777" w:rsidR="00FA23A1" w:rsidRDefault="00FA23A1" w:rsidP="0089786F">
      <w:pPr>
        <w:jc w:val="both"/>
      </w:pPr>
    </w:p>
    <w:p w14:paraId="7F9526E6" w14:textId="71EA78B5" w:rsidR="00C44C41" w:rsidRPr="00010DC8" w:rsidRDefault="00C44C41" w:rsidP="00FA23A1">
      <w:pPr>
        <w:pStyle w:val="ListParagraph"/>
        <w:numPr>
          <w:ilvl w:val="0"/>
          <w:numId w:val="1"/>
        </w:numPr>
        <w:jc w:val="center"/>
        <w:rPr>
          <w:b/>
          <w:sz w:val="28"/>
        </w:rPr>
      </w:pPr>
      <w:r w:rsidRPr="00010DC8">
        <w:rPr>
          <w:b/>
          <w:sz w:val="28"/>
        </w:rPr>
        <w:t>Moving Forward</w:t>
      </w:r>
    </w:p>
    <w:p w14:paraId="1CE00F6A" w14:textId="7E849F7C" w:rsidR="00887488" w:rsidRDefault="00A215E0" w:rsidP="00286190">
      <w:pPr>
        <w:keepNext/>
        <w:jc w:val="both"/>
      </w:pPr>
      <w:r>
        <w:t>Meetings where discussions possible through the end of 2015</w:t>
      </w:r>
      <w:r w:rsidR="00741604">
        <w:t>:</w:t>
      </w:r>
    </w:p>
    <w:p w14:paraId="73A136A4" w14:textId="1B102554" w:rsidR="00A215E0" w:rsidRDefault="00741604" w:rsidP="00741604">
      <w:pPr>
        <w:jc w:val="both"/>
      </w:pPr>
      <w:r>
        <w:t>10-29-15 Technical Advisory Committee (TAC)</w:t>
      </w:r>
    </w:p>
    <w:p w14:paraId="66A3DEAC" w14:textId="5F61D38F" w:rsidR="00741604" w:rsidRDefault="00A215E0" w:rsidP="00741604">
      <w:pPr>
        <w:jc w:val="both"/>
      </w:pPr>
      <w:r>
        <w:t>11-4-15 Wholesale Market Subcommittee (WMS)</w:t>
      </w:r>
    </w:p>
    <w:p w14:paraId="14019580" w14:textId="77777777" w:rsidR="00FA23A1" w:rsidRDefault="00FA23A1" w:rsidP="00FA23A1">
      <w:pPr>
        <w:jc w:val="both"/>
      </w:pPr>
      <w:r>
        <w:t>11-11-15 Supply Analysis Working Group (SAWG)</w:t>
      </w:r>
    </w:p>
    <w:p w14:paraId="168ACF63" w14:textId="40F1C65A" w:rsidR="00A215E0" w:rsidRDefault="00A215E0" w:rsidP="00741604">
      <w:pPr>
        <w:jc w:val="both"/>
      </w:pPr>
      <w:r>
        <w:t>11-13-15 Supply Analysis Working Group (SAWG)</w:t>
      </w:r>
    </w:p>
    <w:p w14:paraId="1653364D" w14:textId="1156E604" w:rsidR="00A215E0" w:rsidRDefault="00A215E0" w:rsidP="00741604">
      <w:pPr>
        <w:jc w:val="both"/>
      </w:pPr>
      <w:r>
        <w:t>11-19-15 TAC</w:t>
      </w:r>
    </w:p>
    <w:p w14:paraId="448173C1" w14:textId="49A013C0" w:rsidR="00A215E0" w:rsidRDefault="00A215E0" w:rsidP="00741604">
      <w:pPr>
        <w:jc w:val="both"/>
      </w:pPr>
      <w:r>
        <w:t>12-2-15 WMS</w:t>
      </w:r>
    </w:p>
    <w:p w14:paraId="4DCB1319" w14:textId="1E4D815D" w:rsidR="00A71290" w:rsidRDefault="00A215E0" w:rsidP="00741604">
      <w:pPr>
        <w:jc w:val="both"/>
      </w:pPr>
      <w:r>
        <w:t>12-17-15 TAC</w:t>
      </w:r>
    </w:p>
    <w:p w14:paraId="26BB75C6" w14:textId="77777777" w:rsidR="00286190" w:rsidRDefault="00286190" w:rsidP="00ED05FB">
      <w:pPr>
        <w:jc w:val="both"/>
      </w:pPr>
    </w:p>
    <w:sectPr w:rsidR="00286190">
      <w:headerReference w:type="even" r:id="rId16"/>
      <w:headerReference w:type="default" r:id="rId17"/>
      <w:footerReference w:type="default"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C4983" w14:textId="77777777" w:rsidR="00496F7D" w:rsidRDefault="00496F7D" w:rsidP="00921148">
      <w:pPr>
        <w:spacing w:after="0" w:line="240" w:lineRule="auto"/>
      </w:pPr>
      <w:r>
        <w:separator/>
      </w:r>
    </w:p>
  </w:endnote>
  <w:endnote w:type="continuationSeparator" w:id="0">
    <w:p w14:paraId="48FDBE93" w14:textId="77777777" w:rsidR="00496F7D" w:rsidRDefault="00496F7D" w:rsidP="0092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289150"/>
      <w:docPartObj>
        <w:docPartGallery w:val="Page Numbers (Bottom of Page)"/>
        <w:docPartUnique/>
      </w:docPartObj>
    </w:sdtPr>
    <w:sdtEndPr/>
    <w:sdtContent>
      <w:sdt>
        <w:sdtPr>
          <w:id w:val="1728636285"/>
          <w:docPartObj>
            <w:docPartGallery w:val="Page Numbers (Top of Page)"/>
            <w:docPartUnique/>
          </w:docPartObj>
        </w:sdtPr>
        <w:sdtEndPr/>
        <w:sdtContent>
          <w:p w14:paraId="45069062" w14:textId="055BB0AF" w:rsidR="00E07843" w:rsidRDefault="00E078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62ADB">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2ADB">
              <w:rPr>
                <w:b/>
                <w:bCs/>
                <w:noProof/>
              </w:rPr>
              <w:t>8</w:t>
            </w:r>
            <w:r>
              <w:rPr>
                <w:b/>
                <w:bCs/>
                <w:sz w:val="24"/>
                <w:szCs w:val="24"/>
              </w:rPr>
              <w:fldChar w:fldCharType="end"/>
            </w:r>
          </w:p>
        </w:sdtContent>
      </w:sdt>
    </w:sdtContent>
  </w:sdt>
  <w:p w14:paraId="2A958EF4" w14:textId="38E8F59E" w:rsidR="008F1398" w:rsidRDefault="008F1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43A70" w14:textId="77777777" w:rsidR="00496F7D" w:rsidRDefault="00496F7D" w:rsidP="00921148">
      <w:pPr>
        <w:spacing w:after="0" w:line="240" w:lineRule="auto"/>
      </w:pPr>
      <w:r>
        <w:separator/>
      </w:r>
    </w:p>
  </w:footnote>
  <w:footnote w:type="continuationSeparator" w:id="0">
    <w:p w14:paraId="20E1B021" w14:textId="77777777" w:rsidR="00496F7D" w:rsidRDefault="00496F7D" w:rsidP="00921148">
      <w:pPr>
        <w:spacing w:after="0" w:line="240" w:lineRule="auto"/>
      </w:pPr>
      <w:r>
        <w:continuationSeparator/>
      </w:r>
    </w:p>
  </w:footnote>
  <w:footnote w:id="1">
    <w:p w14:paraId="613F0CFD" w14:textId="36F4DD8F" w:rsidR="0031791D" w:rsidRDefault="0031791D">
      <w:pPr>
        <w:pStyle w:val="FootnoteText"/>
      </w:pPr>
      <w:r>
        <w:rPr>
          <w:rStyle w:val="FootnoteReference"/>
        </w:rPr>
        <w:footnoteRef/>
      </w:r>
      <w:r>
        <w:t xml:space="preserve"> </w:t>
      </w:r>
      <w:hyperlink r:id="rId1" w:history="1">
        <w:r>
          <w:rPr>
            <w:rStyle w:val="Hyperlink"/>
            <w:rFonts w:ascii="Arial" w:hAnsi="Arial" w:cs="Arial"/>
            <w:b/>
            <w:bCs/>
            <w:color w:val="5E5EAE"/>
            <w:sz w:val="17"/>
            <w:szCs w:val="17"/>
            <w:shd w:val="clear" w:color="auto" w:fill="FCFBF5"/>
          </w:rPr>
          <w:t>Methodology for Implementing Operating Reserve Demand Curve</w:t>
        </w:r>
      </w:hyperlink>
      <w:r>
        <w:rPr>
          <w:rStyle w:val="apple-converted-space"/>
          <w:rFonts w:ascii="Arial" w:hAnsi="Arial" w:cs="Arial"/>
          <w:color w:val="000000"/>
          <w:sz w:val="17"/>
          <w:szCs w:val="17"/>
          <w:shd w:val="clear" w:color="auto" w:fill="FCFBF5"/>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2795F" w14:textId="7D7E0B3C" w:rsidR="0068326C" w:rsidRDefault="00496F7D">
    <w:pPr>
      <w:pStyle w:val="Header"/>
    </w:pPr>
    <w:r>
      <w:rPr>
        <w:noProof/>
      </w:rPr>
      <w:pict w14:anchorId="14D65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3"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02B0E" w14:textId="7E0A923F" w:rsidR="0068326C" w:rsidRDefault="00496F7D">
    <w:pPr>
      <w:pStyle w:val="Header"/>
    </w:pPr>
    <w:r>
      <w:rPr>
        <w:noProof/>
      </w:rPr>
      <w:pict w14:anchorId="0A446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4"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1335" w14:textId="2409F6D5" w:rsidR="0068326C" w:rsidRDefault="00496F7D">
    <w:pPr>
      <w:pStyle w:val="Header"/>
    </w:pPr>
    <w:r>
      <w:rPr>
        <w:noProof/>
      </w:rPr>
      <w:pict w14:anchorId="22F4C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2"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34D1A"/>
    <w:multiLevelType w:val="hybridMultilevel"/>
    <w:tmpl w:val="EBD84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06462"/>
    <w:multiLevelType w:val="hybridMultilevel"/>
    <w:tmpl w:val="A1D61ECE"/>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527FA"/>
    <w:multiLevelType w:val="hybridMultilevel"/>
    <w:tmpl w:val="5D8EA9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75913"/>
    <w:multiLevelType w:val="hybridMultilevel"/>
    <w:tmpl w:val="17265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F2C0E"/>
    <w:multiLevelType w:val="hybridMultilevel"/>
    <w:tmpl w:val="DA0235FE"/>
    <w:lvl w:ilvl="0" w:tplc="5936E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F02CC"/>
    <w:multiLevelType w:val="hybridMultilevel"/>
    <w:tmpl w:val="DF1A82DA"/>
    <w:lvl w:ilvl="0" w:tplc="0220C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B53F7"/>
    <w:multiLevelType w:val="hybridMultilevel"/>
    <w:tmpl w:val="C9266276"/>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DC1047"/>
    <w:multiLevelType w:val="hybridMultilevel"/>
    <w:tmpl w:val="1832B9D8"/>
    <w:lvl w:ilvl="0" w:tplc="3BF6D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A223A0"/>
    <w:multiLevelType w:val="hybridMultilevel"/>
    <w:tmpl w:val="986A992C"/>
    <w:lvl w:ilvl="0" w:tplc="3B3CF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692A15"/>
    <w:multiLevelType w:val="hybridMultilevel"/>
    <w:tmpl w:val="DEC82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C74C4"/>
    <w:multiLevelType w:val="hybridMultilevel"/>
    <w:tmpl w:val="2B98C0D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983AA6"/>
    <w:multiLevelType w:val="hybridMultilevel"/>
    <w:tmpl w:val="DC149C76"/>
    <w:lvl w:ilvl="0" w:tplc="E884B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D3B8F"/>
    <w:multiLevelType w:val="hybridMultilevel"/>
    <w:tmpl w:val="21E0F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965520"/>
    <w:multiLevelType w:val="hybridMultilevel"/>
    <w:tmpl w:val="C34E38E0"/>
    <w:lvl w:ilvl="0" w:tplc="F0907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415452"/>
    <w:multiLevelType w:val="hybridMultilevel"/>
    <w:tmpl w:val="91B8AFC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72D09"/>
    <w:multiLevelType w:val="hybridMultilevel"/>
    <w:tmpl w:val="91281852"/>
    <w:lvl w:ilvl="0" w:tplc="0EB8E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E15052"/>
    <w:multiLevelType w:val="multilevel"/>
    <w:tmpl w:val="45ECDE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66773D79"/>
    <w:multiLevelType w:val="hybridMultilevel"/>
    <w:tmpl w:val="C0808B68"/>
    <w:lvl w:ilvl="0" w:tplc="DF16C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4C65F8"/>
    <w:multiLevelType w:val="hybridMultilevel"/>
    <w:tmpl w:val="CAB07324"/>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3"/>
  </w:num>
  <w:num w:numId="4">
    <w:abstractNumId w:val="14"/>
  </w:num>
  <w:num w:numId="5">
    <w:abstractNumId w:val="12"/>
  </w:num>
  <w:num w:numId="6">
    <w:abstractNumId w:val="18"/>
  </w:num>
  <w:num w:numId="7">
    <w:abstractNumId w:val="7"/>
  </w:num>
  <w:num w:numId="8">
    <w:abstractNumId w:val="17"/>
  </w:num>
  <w:num w:numId="9">
    <w:abstractNumId w:val="4"/>
  </w:num>
  <w:num w:numId="10">
    <w:abstractNumId w:val="11"/>
  </w:num>
  <w:num w:numId="11">
    <w:abstractNumId w:val="1"/>
  </w:num>
  <w:num w:numId="12">
    <w:abstractNumId w:val="8"/>
  </w:num>
  <w:num w:numId="13">
    <w:abstractNumId w:val="15"/>
  </w:num>
  <w:num w:numId="14">
    <w:abstractNumId w:val="5"/>
  </w:num>
  <w:num w:numId="15">
    <w:abstractNumId w:val="3"/>
  </w:num>
  <w:num w:numId="16">
    <w:abstractNumId w:val="0"/>
  </w:num>
  <w:num w:numId="17">
    <w:abstractNumId w:val="2"/>
  </w:num>
  <w:num w:numId="18">
    <w:abstractNumId w:val="9"/>
  </w:num>
  <w:num w:numId="19">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42"/>
    <w:rsid w:val="00010DC8"/>
    <w:rsid w:val="00037BD6"/>
    <w:rsid w:val="00044C85"/>
    <w:rsid w:val="000812F4"/>
    <w:rsid w:val="000C097E"/>
    <w:rsid w:val="0010398B"/>
    <w:rsid w:val="00165F9F"/>
    <w:rsid w:val="00177D8A"/>
    <w:rsid w:val="00181BF3"/>
    <w:rsid w:val="001F0099"/>
    <w:rsid w:val="0023628F"/>
    <w:rsid w:val="00277584"/>
    <w:rsid w:val="00286190"/>
    <w:rsid w:val="002E6BCD"/>
    <w:rsid w:val="0031791D"/>
    <w:rsid w:val="00341F42"/>
    <w:rsid w:val="003420CF"/>
    <w:rsid w:val="003D2206"/>
    <w:rsid w:val="003F2DD9"/>
    <w:rsid w:val="00415D93"/>
    <w:rsid w:val="00444778"/>
    <w:rsid w:val="00496F7D"/>
    <w:rsid w:val="004974DF"/>
    <w:rsid w:val="004C7A45"/>
    <w:rsid w:val="005727E1"/>
    <w:rsid w:val="00573A1E"/>
    <w:rsid w:val="00577605"/>
    <w:rsid w:val="006635B4"/>
    <w:rsid w:val="0068326C"/>
    <w:rsid w:val="006A5523"/>
    <w:rsid w:val="006B7DD1"/>
    <w:rsid w:val="00725C98"/>
    <w:rsid w:val="00741604"/>
    <w:rsid w:val="007F75BA"/>
    <w:rsid w:val="00820E77"/>
    <w:rsid w:val="00887488"/>
    <w:rsid w:val="00895347"/>
    <w:rsid w:val="0089786F"/>
    <w:rsid w:val="008A5747"/>
    <w:rsid w:val="008F1398"/>
    <w:rsid w:val="00921148"/>
    <w:rsid w:val="00962ADB"/>
    <w:rsid w:val="009C6A5C"/>
    <w:rsid w:val="00A11C09"/>
    <w:rsid w:val="00A215E0"/>
    <w:rsid w:val="00A567BF"/>
    <w:rsid w:val="00A63F01"/>
    <w:rsid w:val="00A71290"/>
    <w:rsid w:val="00A82C4C"/>
    <w:rsid w:val="00AA1DD7"/>
    <w:rsid w:val="00AA4ED7"/>
    <w:rsid w:val="00B82369"/>
    <w:rsid w:val="00BA62F7"/>
    <w:rsid w:val="00C23CAD"/>
    <w:rsid w:val="00C44C41"/>
    <w:rsid w:val="00C45F37"/>
    <w:rsid w:val="00C5271C"/>
    <w:rsid w:val="00D2124B"/>
    <w:rsid w:val="00DE03A5"/>
    <w:rsid w:val="00DE09B3"/>
    <w:rsid w:val="00E02B00"/>
    <w:rsid w:val="00E07843"/>
    <w:rsid w:val="00E63989"/>
    <w:rsid w:val="00EB4ADA"/>
    <w:rsid w:val="00ED05FB"/>
    <w:rsid w:val="00ED11DA"/>
    <w:rsid w:val="00F16BC0"/>
    <w:rsid w:val="00FA2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DD61B0"/>
  <w15:chartTrackingRefBased/>
  <w15:docId w15:val="{D5EB5BC0-3A95-477E-9684-08C84202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41F42"/>
    <w:pPr>
      <w:spacing w:after="200" w:line="240" w:lineRule="auto"/>
    </w:pPr>
    <w:rPr>
      <w:i/>
      <w:iCs/>
      <w:color w:val="44546A" w:themeColor="text2"/>
      <w:sz w:val="18"/>
      <w:szCs w:val="18"/>
    </w:rPr>
  </w:style>
  <w:style w:type="paragraph" w:styleId="ListParagraph">
    <w:name w:val="List Paragraph"/>
    <w:basedOn w:val="Normal"/>
    <w:uiPriority w:val="34"/>
    <w:qFormat/>
    <w:rsid w:val="000812F4"/>
    <w:pPr>
      <w:ind w:left="720"/>
      <w:contextualSpacing/>
    </w:pPr>
  </w:style>
  <w:style w:type="character" w:styleId="Hyperlink">
    <w:name w:val="Hyperlink"/>
    <w:basedOn w:val="DefaultParagraphFont"/>
    <w:uiPriority w:val="99"/>
    <w:unhideWhenUsed/>
    <w:rsid w:val="000812F4"/>
    <w:rPr>
      <w:color w:val="0563C1" w:themeColor="hyperlink"/>
      <w:u w:val="single"/>
    </w:rPr>
  </w:style>
  <w:style w:type="character" w:styleId="FollowedHyperlink">
    <w:name w:val="FollowedHyperlink"/>
    <w:basedOn w:val="DefaultParagraphFont"/>
    <w:uiPriority w:val="99"/>
    <w:semiHidden/>
    <w:unhideWhenUsed/>
    <w:rsid w:val="000812F4"/>
    <w:rPr>
      <w:color w:val="954F72" w:themeColor="followedHyperlink"/>
      <w:u w:val="single"/>
    </w:rPr>
  </w:style>
  <w:style w:type="paragraph" w:styleId="FootnoteText">
    <w:name w:val="footnote text"/>
    <w:basedOn w:val="Normal"/>
    <w:link w:val="FootnoteTextChar"/>
    <w:uiPriority w:val="99"/>
    <w:semiHidden/>
    <w:unhideWhenUsed/>
    <w:rsid w:val="009211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148"/>
    <w:rPr>
      <w:sz w:val="20"/>
      <w:szCs w:val="20"/>
    </w:rPr>
  </w:style>
  <w:style w:type="character" w:styleId="FootnoteReference">
    <w:name w:val="footnote reference"/>
    <w:basedOn w:val="DefaultParagraphFont"/>
    <w:uiPriority w:val="99"/>
    <w:semiHidden/>
    <w:unhideWhenUsed/>
    <w:rsid w:val="00921148"/>
    <w:rPr>
      <w:vertAlign w:val="superscript"/>
    </w:rPr>
  </w:style>
  <w:style w:type="character" w:styleId="Strong">
    <w:name w:val="Strong"/>
    <w:basedOn w:val="DefaultParagraphFont"/>
    <w:uiPriority w:val="22"/>
    <w:qFormat/>
    <w:rsid w:val="0031791D"/>
    <w:rPr>
      <w:b/>
      <w:bCs/>
    </w:rPr>
  </w:style>
  <w:style w:type="character" w:customStyle="1" w:styleId="apple-converted-space">
    <w:name w:val="apple-converted-space"/>
    <w:basedOn w:val="DefaultParagraphFont"/>
    <w:rsid w:val="0031791D"/>
  </w:style>
  <w:style w:type="paragraph" w:styleId="Header">
    <w:name w:val="header"/>
    <w:basedOn w:val="Normal"/>
    <w:link w:val="HeaderChar"/>
    <w:uiPriority w:val="99"/>
    <w:unhideWhenUsed/>
    <w:rsid w:val="008F1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98"/>
  </w:style>
  <w:style w:type="paragraph" w:styleId="Footer">
    <w:name w:val="footer"/>
    <w:basedOn w:val="Normal"/>
    <w:link w:val="FooterChar"/>
    <w:uiPriority w:val="99"/>
    <w:unhideWhenUsed/>
    <w:rsid w:val="008F1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079117">
      <w:bodyDiv w:val="1"/>
      <w:marLeft w:val="0"/>
      <w:marRight w:val="0"/>
      <w:marTop w:val="0"/>
      <w:marBottom w:val="0"/>
      <w:divBdr>
        <w:top w:val="none" w:sz="0" w:space="0" w:color="auto"/>
        <w:left w:val="none" w:sz="0" w:space="0" w:color="auto"/>
        <w:bottom w:val="none" w:sz="0" w:space="0" w:color="auto"/>
        <w:right w:val="none" w:sz="0" w:space="0" w:color="auto"/>
      </w:divBdr>
    </w:div>
    <w:div w:id="1361663861">
      <w:bodyDiv w:val="1"/>
      <w:marLeft w:val="0"/>
      <w:marRight w:val="0"/>
      <w:marTop w:val="0"/>
      <w:marBottom w:val="0"/>
      <w:divBdr>
        <w:top w:val="none" w:sz="0" w:space="0" w:color="auto"/>
        <w:left w:val="none" w:sz="0" w:space="0" w:color="auto"/>
        <w:bottom w:val="none" w:sz="0" w:space="0" w:color="auto"/>
        <w:right w:val="none" w:sz="0" w:space="0" w:color="auto"/>
      </w:divBdr>
    </w:div>
    <w:div w:id="1637028108">
      <w:bodyDiv w:val="1"/>
      <w:marLeft w:val="0"/>
      <w:marRight w:val="0"/>
      <w:marTop w:val="0"/>
      <w:marBottom w:val="0"/>
      <w:divBdr>
        <w:top w:val="none" w:sz="0" w:space="0" w:color="auto"/>
        <w:left w:val="none" w:sz="0" w:space="0" w:color="auto"/>
        <w:bottom w:val="none" w:sz="0" w:space="0" w:color="auto"/>
        <w:right w:val="none" w:sz="0" w:space="0" w:color="auto"/>
      </w:divBdr>
    </w:div>
    <w:div w:id="189886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ercot.com/calendar/2015/11/11/77169-SAW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interchange.puc.state.tx.us/WebApp/Interchange/Documents/40000_667_868214.PDF" TargetMode="External"/><Relationship Id="rId14" Type="http://schemas.openxmlformats.org/officeDocument/2006/relationships/hyperlink" Target="http://www.ercot.com/content/wcm/key_documents_lists/77254/14._08132015_Analysis_of_PRC_Vs_ORDC.ppt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info/rtm/kd/Methodology%20for%20Implementing%20ORDC%20to%20Calculate%20Real-Time%20Re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ERC</b:Tag>
    <b:SourceType>Report</b:SourceType>
    <b:Guid>{7416B2CC-074D-47EB-9A3A-2EC131F23EE2}</b:Guid>
    <b:Title>Methodology for Implementing Operational Reserve Demand Curve</b:Title>
    <b:Author>
      <b:Author>
        <b:Corporate>ERCOT</b:Corporate>
      </b:Author>
    </b:Author>
    <b:RefOrder>1</b:RefOrder>
  </b:Source>
</b:Sources>
</file>

<file path=customXml/itemProps1.xml><?xml version="1.0" encoding="utf-8"?>
<ds:datastoreItem xmlns:ds="http://schemas.openxmlformats.org/officeDocument/2006/customXml" ds:itemID="{66F24370-74F6-4664-9681-DC55DB54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Whittle</dc:creator>
  <cp:keywords/>
  <dc:description/>
  <cp:lastModifiedBy>Odessa</cp:lastModifiedBy>
  <cp:revision>12</cp:revision>
  <cp:lastPrinted>2015-10-22T03:01:00Z</cp:lastPrinted>
  <dcterms:created xsi:type="dcterms:W3CDTF">2015-11-12T19:54:00Z</dcterms:created>
  <dcterms:modified xsi:type="dcterms:W3CDTF">2015-11-12T21:56:00Z</dcterms:modified>
</cp:coreProperties>
</file>