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8E" w:rsidRPr="0016088E" w:rsidRDefault="0016088E" w:rsidP="0016088E">
      <w:pPr>
        <w:spacing w:before="225" w:after="225" w:line="240" w:lineRule="auto"/>
        <w:rPr>
          <w:rFonts w:ascii="Verdana" w:eastAsia="Times New Roman" w:hAnsi="Verdana" w:cs="Times New Roman"/>
          <w:color w:val="3C342B"/>
          <w:sz w:val="18"/>
          <w:szCs w:val="18"/>
        </w:rPr>
      </w:pPr>
      <w:proofErr w:type="spellStart"/>
      <w:r w:rsidRPr="0016088E">
        <w:rPr>
          <w:rFonts w:ascii="Verdana" w:eastAsia="Times New Roman" w:hAnsi="Verdana" w:cs="Times New Roman"/>
          <w:b/>
          <w:bCs/>
          <w:color w:val="3C342B"/>
          <w:sz w:val="27"/>
          <w:szCs w:val="27"/>
        </w:rPr>
        <w:t>Misoperations</w:t>
      </w:r>
      <w:proofErr w:type="spellEnd"/>
      <w:r w:rsidRPr="0016088E">
        <w:rPr>
          <w:rFonts w:ascii="Verdana" w:eastAsia="Times New Roman" w:hAnsi="Verdana" w:cs="Times New Roman"/>
          <w:b/>
          <w:bCs/>
          <w:color w:val="3C342B"/>
          <w:sz w:val="27"/>
          <w:szCs w:val="27"/>
        </w:rPr>
        <w:t xml:space="preserve"> Reporting</w:t>
      </w:r>
    </w:p>
    <w:p w:rsidR="0016088E" w:rsidRPr="0016088E" w:rsidRDefault="0016088E" w:rsidP="0016088E">
      <w:pPr>
        <w:spacing w:before="225" w:after="225" w:line="240" w:lineRule="auto"/>
        <w:rPr>
          <w:rFonts w:ascii="Verdana" w:eastAsia="Times New Roman" w:hAnsi="Verdana" w:cs="Times New Roman"/>
          <w:color w:val="3C342B"/>
          <w:sz w:val="18"/>
          <w:szCs w:val="18"/>
        </w:rPr>
      </w:pPr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The North American Electric Reliability Corporation (NERC) ERO Reliability Assessment and Performance Analysis (ERO-RAPA) group has been reviewing protection and control system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misoperations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that are associated with a significant percentage of bulk electric system disturbances. Reducing the risk to reliability from relay and control system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misoperations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requires consistent collection of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information by Regional Entities along with systematic analysis and correction of the underlying causes of preventable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misoperations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. </w:t>
      </w:r>
    </w:p>
    <w:p w:rsidR="0016088E" w:rsidRPr="0016088E" w:rsidRDefault="0016088E" w:rsidP="0016088E">
      <w:pPr>
        <w:spacing w:before="225" w:after="225" w:line="240" w:lineRule="auto"/>
        <w:rPr>
          <w:rFonts w:ascii="Verdana" w:eastAsia="Times New Roman" w:hAnsi="Verdana" w:cs="Times New Roman"/>
          <w:color w:val="3C342B"/>
          <w:sz w:val="18"/>
          <w:szCs w:val="18"/>
        </w:rPr>
      </w:pPr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With the NERC Special Protection and Control Subcommittee’s technical guidance, the ERO-RAPA Group has agreed upon a set of specifications, including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categories, cause codes and a Regional Entity determined reporting template to use in processes to collect relay and control system </w:t>
      </w:r>
      <w:proofErr w:type="spellStart"/>
      <w:proofErr w:type="gram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misoperations</w:t>
      </w:r>
      <w:proofErr w:type="spellEnd"/>
      <w:proofErr w:type="gram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information from registered entities.</w:t>
      </w:r>
    </w:p>
    <w:p w:rsidR="0016088E" w:rsidRPr="0016088E" w:rsidRDefault="0016088E" w:rsidP="0016088E">
      <w:pPr>
        <w:spacing w:before="225" w:line="240" w:lineRule="auto"/>
        <w:rPr>
          <w:rFonts w:ascii="Verdana" w:eastAsia="Times New Roman" w:hAnsi="Verdana" w:cs="Times New Roman"/>
          <w:color w:val="3C342B"/>
          <w:sz w:val="18"/>
          <w:szCs w:val="18"/>
        </w:rPr>
      </w:pPr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According to recommendations by the ERO-RAPA Group, Generation Owners (GO), Transmission Owners (TO), and Distribution Providers (DP) that own transmission protection systems must submit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reports to Texas Reliability Entity, Inc. (Texas RE) according to the following schedule: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"/>
      </w:tblPr>
      <w:tblGrid>
        <w:gridCol w:w="6116"/>
        <w:gridCol w:w="3460"/>
      </w:tblGrid>
      <w:tr w:rsidR="0016088E" w:rsidRPr="0016088E" w:rsidTr="0016088E">
        <w:tc>
          <w:tcPr>
            <w:tcW w:w="0" w:type="auto"/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88E" w:rsidRPr="0016088E" w:rsidRDefault="0016088E" w:rsidP="0016088E">
            <w:pPr>
              <w:rPr>
                <w:rFonts w:ascii="Calibri" w:eastAsia="Times New Roman" w:hAnsi="Calibri" w:cs="Tahoma"/>
                <w:color w:val="FFFFFF"/>
              </w:rPr>
            </w:pPr>
            <w:r w:rsidRPr="0016088E">
              <w:rPr>
                <w:rFonts w:ascii="Calibri" w:eastAsia="Times New Roman" w:hAnsi="Calibri" w:cs="Tahoma"/>
                <w:b/>
                <w:bCs/>
                <w:color w:val="FFFFFF"/>
              </w:rPr>
              <w:t>Reporting Period</w:t>
            </w:r>
          </w:p>
        </w:tc>
        <w:tc>
          <w:tcPr>
            <w:tcW w:w="0" w:type="auto"/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88E" w:rsidRPr="0016088E" w:rsidRDefault="0016088E" w:rsidP="0016088E">
            <w:pPr>
              <w:rPr>
                <w:rFonts w:ascii="Calibri" w:eastAsia="Times New Roman" w:hAnsi="Calibri" w:cs="Tahoma"/>
                <w:color w:val="FFFFFF"/>
              </w:rPr>
            </w:pPr>
            <w:r w:rsidRPr="0016088E">
              <w:rPr>
                <w:rFonts w:ascii="Calibri" w:eastAsia="Times New Roman" w:hAnsi="Calibri" w:cs="Tahoma"/>
                <w:b/>
                <w:bCs/>
                <w:color w:val="FFFFFF"/>
              </w:rPr>
              <w:t>Due Date</w:t>
            </w:r>
          </w:p>
        </w:tc>
      </w:tr>
      <w:tr w:rsidR="0016088E" w:rsidRPr="0016088E" w:rsidTr="0016088E">
        <w:tc>
          <w:tcPr>
            <w:tcW w:w="0" w:type="auto"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>January 1 - March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 xml:space="preserve">May 31 </w:t>
            </w:r>
          </w:p>
        </w:tc>
      </w:tr>
      <w:tr w:rsidR="0016088E" w:rsidRPr="0016088E" w:rsidTr="0016088E">
        <w:tc>
          <w:tcPr>
            <w:tcW w:w="0" w:type="auto"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>April 1 - June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>August 31</w:t>
            </w:r>
          </w:p>
        </w:tc>
      </w:tr>
      <w:tr w:rsidR="0016088E" w:rsidRPr="0016088E" w:rsidTr="0016088E">
        <w:tc>
          <w:tcPr>
            <w:tcW w:w="0" w:type="auto"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>July 1 - September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>November 30</w:t>
            </w:r>
          </w:p>
        </w:tc>
      </w:tr>
      <w:tr w:rsidR="0016088E" w:rsidRPr="0016088E" w:rsidTr="0016088E">
        <w:tc>
          <w:tcPr>
            <w:tcW w:w="0" w:type="auto"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>October 1 - December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8E" w:rsidRPr="0016088E" w:rsidRDefault="0016088E" w:rsidP="0016088E">
            <w:pPr>
              <w:spacing w:after="0" w:line="240" w:lineRule="auto"/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</w:pPr>
            <w:r w:rsidRPr="0016088E">
              <w:rPr>
                <w:rFonts w:ascii="Verdana" w:eastAsia="Times New Roman" w:hAnsi="Verdana" w:cs="Tahoma"/>
                <w:color w:val="666666"/>
                <w:sz w:val="20"/>
                <w:szCs w:val="20"/>
              </w:rPr>
              <w:t>February 28</w:t>
            </w:r>
          </w:p>
        </w:tc>
      </w:tr>
    </w:tbl>
    <w:p w:rsidR="0016088E" w:rsidRPr="0016088E" w:rsidRDefault="0016088E" w:rsidP="0016088E">
      <w:pPr>
        <w:spacing w:before="225" w:after="225" w:line="240" w:lineRule="auto"/>
        <w:rPr>
          <w:rFonts w:ascii="Verdana" w:eastAsia="Times New Roman" w:hAnsi="Verdana" w:cs="Times New Roman"/>
          <w:color w:val="3C342B"/>
          <w:sz w:val="18"/>
          <w:szCs w:val="18"/>
        </w:rPr>
      </w:pPr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A reporting template has been agreed upon by registered entities and Texas RE and is posted below. For registered entities that endured no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misoperations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during a reporting period, please use the form below,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 Reporting Form, to indicate attestation or to report no </w:t>
      </w:r>
      <w:proofErr w:type="spellStart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misoperations</w:t>
      </w:r>
      <w:proofErr w:type="spellEnd"/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. All reports are to be submitted via </w:t>
      </w:r>
      <w:hyperlink r:id="rId5" w:tgtFrame="_blank" w:history="1">
        <w:r w:rsidRPr="0016088E">
          <w:rPr>
            <w:rFonts w:ascii="Verdana" w:eastAsia="Times New Roman" w:hAnsi="Verdana" w:cs="Times New Roman"/>
            <w:color w:val="26408F"/>
            <w:sz w:val="18"/>
            <w:szCs w:val="18"/>
          </w:rPr>
          <w:t>webCDMS</w:t>
        </w:r>
      </w:hyperlink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 </w:t>
      </w:r>
      <w:r>
        <w:rPr>
          <w:rFonts w:ascii="Verdana" w:eastAsia="Times New Roman" w:hAnsi="Verdana" w:cs="Times New Roman"/>
          <w:noProof/>
          <w:color w:val="3C342B"/>
          <w:sz w:val="18"/>
          <w:szCs w:val="18"/>
        </w:rPr>
        <w:drawing>
          <wp:inline distT="0" distB="0" distL="0" distR="0">
            <wp:extent cx="123825" cy="76200"/>
            <wp:effectExtent l="0" t="0" r="9525" b="0"/>
            <wp:docPr id="3" name="Picture 3" descr="External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Lin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. Please send questions to </w:t>
      </w:r>
      <w:hyperlink r:id="rId7" w:history="1">
        <w:r w:rsidRPr="0016088E">
          <w:rPr>
            <w:rFonts w:ascii="Verdana" w:eastAsia="Times New Roman" w:hAnsi="Verdana" w:cs="Times New Roman"/>
            <w:color w:val="26408F"/>
            <w:sz w:val="18"/>
            <w:szCs w:val="18"/>
          </w:rPr>
          <w:t>compliance@texasre.org</w:t>
        </w:r>
      </w:hyperlink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> </w:t>
      </w:r>
      <w:r>
        <w:rPr>
          <w:rFonts w:ascii="Verdana" w:eastAsia="Times New Roman" w:hAnsi="Verdana" w:cs="Times New Roman"/>
          <w:noProof/>
          <w:color w:val="3C342B"/>
          <w:sz w:val="18"/>
          <w:szCs w:val="18"/>
        </w:rPr>
        <w:drawing>
          <wp:inline distT="0" distB="0" distL="0" distR="0">
            <wp:extent cx="123825" cy="76200"/>
            <wp:effectExtent l="0" t="0" r="9525" b="0"/>
            <wp:docPr id="2" name="Picture 2" descr="External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Lin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088E">
        <w:rPr>
          <w:rFonts w:ascii="Verdana" w:eastAsia="Times New Roman" w:hAnsi="Verdana" w:cs="Times New Roman"/>
          <w:color w:val="3C342B"/>
          <w:sz w:val="18"/>
          <w:szCs w:val="18"/>
        </w:rPr>
        <w:t xml:space="preserve">. </w:t>
      </w:r>
    </w:p>
    <w:p w:rsidR="0016088E" w:rsidRPr="0016088E" w:rsidRDefault="0016088E" w:rsidP="0016088E">
      <w:pPr>
        <w:spacing w:after="0" w:line="240" w:lineRule="auto"/>
        <w:rPr>
          <w:rFonts w:ascii="Verdana" w:eastAsia="Times New Roman" w:hAnsi="Verdana" w:cs="Times New Roman"/>
          <w:color w:val="3C342B"/>
          <w:sz w:val="15"/>
          <w:szCs w:val="15"/>
        </w:rPr>
      </w:pPr>
      <w:r>
        <w:rPr>
          <w:rFonts w:ascii="Verdana" w:eastAsia="Times New Roman" w:hAnsi="Verdana" w:cs="Times New Roman"/>
          <w:noProof/>
          <w:color w:val="3C342B"/>
          <w:sz w:val="15"/>
          <w:szCs w:val="15"/>
        </w:rPr>
        <w:drawing>
          <wp:inline distT="0" distB="0" distL="0" distR="0">
            <wp:extent cx="1343025" cy="847725"/>
            <wp:effectExtent l="0" t="0" r="9525" b="9525"/>
            <wp:docPr id="1" name="Picture 1" descr="http://www.texasre.org/SiteCollectionImages/SectionImages/compli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xasre.org/SiteCollectionImages/SectionImages/complianc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88E" w:rsidRPr="0016088E" w:rsidRDefault="0016088E" w:rsidP="0016088E">
      <w:pPr>
        <w:spacing w:after="0" w:line="240" w:lineRule="auto"/>
        <w:rPr>
          <w:rFonts w:ascii="Verdana" w:eastAsia="Times New Roman" w:hAnsi="Verdana" w:cs="Times New Roman"/>
          <w:b/>
          <w:bCs/>
          <w:caps/>
          <w:color w:val="786B58"/>
          <w:sz w:val="17"/>
          <w:szCs w:val="17"/>
        </w:rPr>
      </w:pPr>
      <w:r w:rsidRPr="0016088E">
        <w:rPr>
          <w:rFonts w:ascii="Verdana" w:eastAsia="Times New Roman" w:hAnsi="Verdana" w:cs="Times New Roman"/>
          <w:b/>
          <w:bCs/>
          <w:caps/>
          <w:color w:val="786B58"/>
          <w:sz w:val="17"/>
          <w:szCs w:val="17"/>
        </w:rPr>
        <w:t xml:space="preserve">DOCUMENTS </w:t>
      </w:r>
    </w:p>
    <w:p w:rsidR="0016088E" w:rsidRPr="0016088E" w:rsidRDefault="00A027F7" w:rsidP="0016088E">
      <w:pPr>
        <w:spacing w:after="0" w:line="240" w:lineRule="auto"/>
        <w:rPr>
          <w:rFonts w:ascii="Verdana" w:eastAsia="Times New Roman" w:hAnsi="Verdana" w:cs="Times New Roman"/>
          <w:color w:val="786B58"/>
          <w:sz w:val="18"/>
          <w:szCs w:val="18"/>
        </w:rPr>
      </w:pPr>
      <w:hyperlink r:id="rId9" w:history="1">
        <w:proofErr w:type="spellStart"/>
        <w:r w:rsidR="0016088E" w:rsidRPr="0016088E">
          <w:rPr>
            <w:rFonts w:ascii="Verdana" w:eastAsia="Times New Roman" w:hAnsi="Verdana" w:cs="Times New Roman"/>
            <w:color w:val="26408F"/>
            <w:sz w:val="18"/>
            <w:szCs w:val="18"/>
          </w:rPr>
          <w:t>Misoperations</w:t>
        </w:r>
        <w:proofErr w:type="spellEnd"/>
        <w:r w:rsidR="0016088E" w:rsidRPr="0016088E">
          <w:rPr>
            <w:rFonts w:ascii="Verdana" w:eastAsia="Times New Roman" w:hAnsi="Verdana" w:cs="Times New Roman"/>
            <w:color w:val="26408F"/>
            <w:sz w:val="18"/>
            <w:szCs w:val="18"/>
          </w:rPr>
          <w:t xml:space="preserve"> Reporting Template</w:t>
        </w:r>
      </w:hyperlink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 </w:t>
      </w:r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br/>
        <w:t xml:space="preserve">Please </w:t>
      </w:r>
      <w:proofErr w:type="gramStart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>use</w:t>
      </w:r>
      <w:proofErr w:type="gramEnd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 this template for reporting quarterly </w:t>
      </w:r>
      <w:proofErr w:type="spellStart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>misoperations</w:t>
      </w:r>
      <w:proofErr w:type="spellEnd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. Submit completed form through </w:t>
      </w:r>
      <w:proofErr w:type="spellStart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>webCDMS</w:t>
      </w:r>
      <w:proofErr w:type="spellEnd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. </w:t>
      </w:r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br/>
        <w:t xml:space="preserve">(Mar 06, </w:t>
      </w:r>
      <w:proofErr w:type="gramStart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>2014 ,</w:t>
      </w:r>
      <w:proofErr w:type="gramEnd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 .</w:t>
      </w:r>
      <w:proofErr w:type="spellStart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>xls</w:t>
      </w:r>
      <w:proofErr w:type="spellEnd"/>
      <w:r w:rsidR="0016088E"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, 692 KB) </w:t>
      </w:r>
    </w:p>
    <w:p w:rsidR="0016088E" w:rsidRPr="0016088E" w:rsidRDefault="0016088E" w:rsidP="0016088E">
      <w:pPr>
        <w:spacing w:line="240" w:lineRule="auto"/>
        <w:rPr>
          <w:rFonts w:ascii="Verdana" w:eastAsia="Times New Roman" w:hAnsi="Verdana" w:cs="Times New Roman"/>
          <w:color w:val="786B58"/>
          <w:sz w:val="18"/>
          <w:szCs w:val="18"/>
        </w:rPr>
      </w:pPr>
      <w:r w:rsidRPr="0016088E">
        <w:rPr>
          <w:rFonts w:ascii="Verdana" w:eastAsia="Times New Roman" w:hAnsi="Verdana" w:cs="Times New Roman"/>
          <w:color w:val="786B58"/>
          <w:sz w:val="18"/>
          <w:szCs w:val="18"/>
        </w:rPr>
        <w:br/>
      </w:r>
      <w:hyperlink r:id="rId10" w:history="1">
        <w:r w:rsidRPr="0016088E">
          <w:rPr>
            <w:rFonts w:ascii="Verdana" w:eastAsia="Times New Roman" w:hAnsi="Verdana" w:cs="Times New Roman"/>
            <w:color w:val="26408F"/>
            <w:sz w:val="18"/>
            <w:szCs w:val="18"/>
          </w:rPr>
          <w:t xml:space="preserve">Protection System </w:t>
        </w:r>
        <w:proofErr w:type="spellStart"/>
        <w:r w:rsidRPr="0016088E">
          <w:rPr>
            <w:rFonts w:ascii="Verdana" w:eastAsia="Times New Roman" w:hAnsi="Verdana" w:cs="Times New Roman"/>
            <w:color w:val="26408F"/>
            <w:sz w:val="18"/>
            <w:szCs w:val="18"/>
          </w:rPr>
          <w:t>Misop</w:t>
        </w:r>
        <w:proofErr w:type="spellEnd"/>
        <w:r w:rsidRPr="0016088E">
          <w:rPr>
            <w:rFonts w:ascii="Verdana" w:eastAsia="Times New Roman" w:hAnsi="Verdana" w:cs="Times New Roman"/>
            <w:color w:val="26408F"/>
            <w:sz w:val="18"/>
            <w:szCs w:val="18"/>
          </w:rPr>
          <w:t xml:space="preserve"> PRC-004-2 Reporting Procedure 09012014.pdf</w:t>
        </w:r>
      </w:hyperlink>
      <w:r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 </w:t>
      </w:r>
      <w:r w:rsidRPr="0016088E">
        <w:rPr>
          <w:rFonts w:ascii="Verdana" w:eastAsia="Times New Roman" w:hAnsi="Verdana" w:cs="Times New Roman"/>
          <w:color w:val="786B58"/>
          <w:sz w:val="18"/>
          <w:szCs w:val="18"/>
        </w:rPr>
        <w:br/>
        <w:t xml:space="preserve">(Sep 09, </w:t>
      </w:r>
      <w:proofErr w:type="gramStart"/>
      <w:r w:rsidRPr="0016088E">
        <w:rPr>
          <w:rFonts w:ascii="Verdana" w:eastAsia="Times New Roman" w:hAnsi="Verdana" w:cs="Times New Roman"/>
          <w:color w:val="786B58"/>
          <w:sz w:val="18"/>
          <w:szCs w:val="18"/>
        </w:rPr>
        <w:t>2014 ,</w:t>
      </w:r>
      <w:proofErr w:type="gramEnd"/>
      <w:r w:rsidRPr="0016088E">
        <w:rPr>
          <w:rFonts w:ascii="Verdana" w:eastAsia="Times New Roman" w:hAnsi="Verdana" w:cs="Times New Roman"/>
          <w:color w:val="786B58"/>
          <w:sz w:val="18"/>
          <w:szCs w:val="18"/>
        </w:rPr>
        <w:t xml:space="preserve"> .pdf, 465 KB) </w:t>
      </w:r>
    </w:p>
    <w:p w:rsidR="00DC0A98" w:rsidRDefault="00DC0A98"/>
    <w:sectPr w:rsidR="00DC0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73"/>
    <w:rsid w:val="0016088E"/>
    <w:rsid w:val="002C6B2F"/>
    <w:rsid w:val="00535201"/>
    <w:rsid w:val="00763787"/>
    <w:rsid w:val="007D0173"/>
    <w:rsid w:val="00A027F7"/>
    <w:rsid w:val="00D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088E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6088E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08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088E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6088E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08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0770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51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136000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10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5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1325699">
              <w:marLeft w:val="75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3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55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27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compliance@texasre.or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s://www.cdms.oati.com/CDMS/sys-login.wml" TargetMode="External"/><Relationship Id="rId10" Type="http://schemas.openxmlformats.org/officeDocument/2006/relationships/hyperlink" Target="http://www.texasre.org/CPDL/Protection%20System%20Misop%20PRC-004-2%20Reporting%20Procedure%20090120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xasre.org/CPDL/Misoperations%20Reporting%20Template_Revised%20PRC-004-2.1a_Rev_03_01_2014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Energy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Clowe, Brian D</dc:creator>
  <cp:lastModifiedBy>Clowe, Brian D</cp:lastModifiedBy>
  <cp:revision>1</cp:revision>
  <dcterms:created xsi:type="dcterms:W3CDTF">2015-11-04T19:41:00Z</dcterms:created>
  <dcterms:modified xsi:type="dcterms:W3CDTF">2015-11-04T19:41:00Z</dcterms:modified>
</cp:coreProperties>
</file>