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73" w:rsidRDefault="007C2573" w:rsidP="007C2573">
      <w:r>
        <w:t>ERCOT Opinions:</w:t>
      </w:r>
      <w:bookmarkStart w:id="0" w:name="_GoBack"/>
      <w:bookmarkEnd w:id="0"/>
    </w:p>
    <w:p w:rsidR="007C2573" w:rsidRDefault="007C2573" w:rsidP="007C2573"/>
    <w:tbl>
      <w:tblPr>
        <w:tblW w:w="13640" w:type="dxa"/>
        <w:tblInd w:w="-23" w:type="dxa"/>
        <w:tblCellMar>
          <w:left w:w="0" w:type="dxa"/>
          <w:right w:w="0" w:type="dxa"/>
        </w:tblCellMar>
        <w:tblLook w:val="04A0" w:firstRow="1" w:lastRow="0" w:firstColumn="1" w:lastColumn="0" w:noHBand="0" w:noVBand="1"/>
      </w:tblPr>
      <w:tblGrid>
        <w:gridCol w:w="1414"/>
        <w:gridCol w:w="7273"/>
        <w:gridCol w:w="915"/>
        <w:gridCol w:w="1356"/>
        <w:gridCol w:w="2682"/>
      </w:tblGrid>
      <w:tr w:rsidR="007C2573" w:rsidTr="007C2573">
        <w:trPr>
          <w:trHeight w:val="510"/>
        </w:trPr>
        <w:tc>
          <w:tcPr>
            <w:tcW w:w="1420" w:type="dxa"/>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7C2573" w:rsidRDefault="007C2573">
            <w:pPr>
              <w:spacing w:line="276" w:lineRule="auto"/>
              <w:rPr>
                <w:b/>
                <w:bCs/>
                <w:color w:val="FFFFFF"/>
                <w:sz w:val="20"/>
                <w:szCs w:val="20"/>
              </w:rPr>
            </w:pPr>
            <w:r>
              <w:rPr>
                <w:b/>
                <w:bCs/>
                <w:color w:val="FFFFFF"/>
                <w:sz w:val="20"/>
                <w:szCs w:val="20"/>
              </w:rPr>
              <w:t>REV REQ NO.</w:t>
            </w:r>
          </w:p>
        </w:tc>
        <w:tc>
          <w:tcPr>
            <w:tcW w:w="736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7C2573" w:rsidRDefault="007C2573">
            <w:pPr>
              <w:spacing w:line="276" w:lineRule="auto"/>
              <w:rPr>
                <w:b/>
                <w:bCs/>
                <w:color w:val="FFFFFF"/>
                <w:sz w:val="20"/>
                <w:szCs w:val="20"/>
              </w:rPr>
            </w:pPr>
            <w:r>
              <w:rPr>
                <w:b/>
                <w:bCs/>
                <w:color w:val="FFFFFF"/>
                <w:sz w:val="20"/>
                <w:szCs w:val="20"/>
              </w:rPr>
              <w:t>DESCRIPTION</w:t>
            </w:r>
          </w:p>
        </w:tc>
        <w:tc>
          <w:tcPr>
            <w:tcW w:w="80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7C2573" w:rsidRDefault="007C2573">
            <w:pPr>
              <w:spacing w:line="276" w:lineRule="auto"/>
              <w:jc w:val="center"/>
              <w:rPr>
                <w:b/>
                <w:bCs/>
                <w:color w:val="FFFFFF"/>
                <w:sz w:val="20"/>
                <w:szCs w:val="20"/>
              </w:rPr>
            </w:pPr>
            <w:r>
              <w:rPr>
                <w:b/>
                <w:bCs/>
                <w:color w:val="FFFFFF"/>
                <w:sz w:val="20"/>
                <w:szCs w:val="20"/>
              </w:rPr>
              <w:t>URGENT</w:t>
            </w:r>
          </w:p>
        </w:tc>
        <w:tc>
          <w:tcPr>
            <w:tcW w:w="136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7C2573" w:rsidRDefault="007C2573">
            <w:pPr>
              <w:spacing w:line="276" w:lineRule="auto"/>
              <w:rPr>
                <w:b/>
                <w:bCs/>
                <w:color w:val="FFFFFF"/>
                <w:sz w:val="20"/>
                <w:szCs w:val="20"/>
              </w:rPr>
            </w:pPr>
            <w:r>
              <w:rPr>
                <w:b/>
                <w:bCs/>
                <w:color w:val="FFFFFF"/>
                <w:sz w:val="20"/>
                <w:szCs w:val="20"/>
              </w:rPr>
              <w:t>MARKET RULES</w:t>
            </w:r>
          </w:p>
        </w:tc>
        <w:tc>
          <w:tcPr>
            <w:tcW w:w="2700" w:type="dxa"/>
            <w:tcBorders>
              <w:top w:val="single" w:sz="8" w:space="0" w:color="auto"/>
              <w:left w:val="nil"/>
              <w:bottom w:val="single" w:sz="8" w:space="0" w:color="auto"/>
              <w:right w:val="single" w:sz="8" w:space="0" w:color="auto"/>
            </w:tcBorders>
            <w:shd w:val="clear" w:color="auto" w:fill="1F497D"/>
            <w:tcMar>
              <w:top w:w="0" w:type="dxa"/>
              <w:left w:w="108" w:type="dxa"/>
              <w:bottom w:w="0" w:type="dxa"/>
              <w:right w:w="108" w:type="dxa"/>
            </w:tcMar>
            <w:hideMark/>
          </w:tcPr>
          <w:p w:rsidR="007C2573" w:rsidRDefault="007C2573">
            <w:pPr>
              <w:spacing w:line="276" w:lineRule="auto"/>
              <w:rPr>
                <w:b/>
                <w:bCs/>
                <w:color w:val="FFFFFF"/>
                <w:sz w:val="20"/>
                <w:szCs w:val="20"/>
              </w:rPr>
            </w:pPr>
            <w:r>
              <w:rPr>
                <w:b/>
                <w:bCs/>
                <w:color w:val="FFFFFF"/>
                <w:sz w:val="20"/>
                <w:szCs w:val="20"/>
              </w:rPr>
              <w:t>ERCOT Opinion</w:t>
            </w:r>
          </w:p>
        </w:tc>
      </w:tr>
      <w:tr w:rsidR="007C2573" w:rsidTr="007C2573">
        <w:trPr>
          <w:trHeight w:val="998"/>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b/>
                <w:bCs/>
                <w:color w:val="000000"/>
                <w:sz w:val="20"/>
                <w:szCs w:val="20"/>
              </w:rPr>
            </w:pPr>
            <w:r>
              <w:rPr>
                <w:b/>
                <w:bCs/>
                <w:color w:val="000000"/>
                <w:sz w:val="20"/>
                <w:szCs w:val="20"/>
              </w:rPr>
              <w:t>702NPRR</w:t>
            </w:r>
          </w:p>
        </w:tc>
        <w:tc>
          <w:tcPr>
            <w:tcW w:w="736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b/>
                <w:bCs/>
                <w:color w:val="000000"/>
                <w:sz w:val="20"/>
                <w:szCs w:val="20"/>
              </w:rPr>
            </w:pPr>
            <w:r>
              <w:rPr>
                <w:b/>
                <w:bCs/>
                <w:color w:val="000000"/>
                <w:sz w:val="20"/>
                <w:szCs w:val="20"/>
              </w:rPr>
              <w:t xml:space="preserve">Flexible Accounts, Payment of Invoices, and Disposition of Interest on Cash Collateral. </w:t>
            </w:r>
            <w:r>
              <w:rPr>
                <w:color w:val="000000"/>
                <w:sz w:val="20"/>
                <w:szCs w:val="20"/>
              </w:rPr>
              <w:t>This Nodal Protocol Revision Request (NPRR) provides rules and procedures for Flexible Accounts, which may be used by a Counter-Party to make payments to and/or receive payments from ERCOT. This NPRR also addresses payment of Invoices and provides for annual disposition of interest on Cash Collateral. [ERCOT]</w:t>
            </w:r>
          </w:p>
        </w:tc>
        <w:tc>
          <w:tcPr>
            <w:tcW w:w="80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jc w:val="center"/>
              <w:rPr>
                <w:color w:val="000000"/>
                <w:sz w:val="20"/>
                <w:szCs w:val="20"/>
              </w:rPr>
            </w:pPr>
            <w:r>
              <w:rPr>
                <w:color w:val="000000"/>
                <w:sz w:val="20"/>
                <w:szCs w:val="20"/>
              </w:rPr>
              <w:t>N</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color w:val="000000"/>
                <w:sz w:val="20"/>
                <w:szCs w:val="20"/>
              </w:rPr>
            </w:pPr>
            <w:r>
              <w:rPr>
                <w:color w:val="000000"/>
                <w:sz w:val="20"/>
                <w:szCs w:val="20"/>
              </w:rPr>
              <w:t>Phillips</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color w:val="000000"/>
                <w:sz w:val="20"/>
                <w:szCs w:val="20"/>
              </w:rPr>
            </w:pPr>
            <w:r>
              <w:rPr>
                <w:color w:val="000000"/>
                <w:sz w:val="20"/>
                <w:szCs w:val="20"/>
              </w:rPr>
              <w:t xml:space="preserve">ERCOT supports approval of NPRR702 </w:t>
            </w:r>
          </w:p>
        </w:tc>
      </w:tr>
      <w:tr w:rsidR="007C2573" w:rsidTr="007C2573">
        <w:trPr>
          <w:trHeight w:val="2195"/>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b/>
                <w:bCs/>
                <w:color w:val="000000"/>
                <w:sz w:val="20"/>
                <w:szCs w:val="20"/>
              </w:rPr>
            </w:pPr>
            <w:r>
              <w:rPr>
                <w:b/>
                <w:bCs/>
                <w:color w:val="000000"/>
                <w:sz w:val="20"/>
                <w:szCs w:val="20"/>
              </w:rPr>
              <w:t>708NPRR</w:t>
            </w:r>
          </w:p>
        </w:tc>
        <w:tc>
          <w:tcPr>
            <w:tcW w:w="736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b/>
                <w:bCs/>
                <w:color w:val="000000"/>
                <w:sz w:val="20"/>
                <w:szCs w:val="20"/>
              </w:rPr>
            </w:pPr>
            <w:r>
              <w:rPr>
                <w:b/>
                <w:bCs/>
                <w:color w:val="000000"/>
                <w:sz w:val="20"/>
                <w:szCs w:val="20"/>
              </w:rPr>
              <w:t xml:space="preserve">Clarifying ERCOT Actions During Energy Emergency Alerts. </w:t>
            </w:r>
            <w:r>
              <w:rPr>
                <w:color w:val="000000"/>
                <w:sz w:val="20"/>
                <w:szCs w:val="20"/>
              </w:rPr>
              <w:t>This Nodal Protocol Revision Request (NPRR) revises the Energy Emergency steps to include concepts discussed during the 4/2/15 Energy Emergency Alert (EEA) workshop # 3 which will improve the management of EEA. Specifically, this NPRR explicitly adds the ability for operators to consider whether sufficient Resources are available to recover reserves within an acceptable timeframe following a disturbance before declaring an EEA; separates and clarifies the triggers for entering each step of the EEA plan from the operational goals while operating within each level of EEA; and formalizes an amount of Physical Responsive Capacity (PRC) for operators to target when determining Load shed amounts in EEA Level 3. [ERCOT]</w:t>
            </w:r>
          </w:p>
        </w:tc>
        <w:tc>
          <w:tcPr>
            <w:tcW w:w="80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jc w:val="center"/>
              <w:rPr>
                <w:color w:val="000000"/>
                <w:sz w:val="20"/>
                <w:szCs w:val="20"/>
              </w:rPr>
            </w:pPr>
            <w:r>
              <w:rPr>
                <w:color w:val="000000"/>
                <w:sz w:val="20"/>
                <w:szCs w:val="20"/>
              </w:rPr>
              <w:t>N</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color w:val="000000"/>
                <w:sz w:val="20"/>
                <w:szCs w:val="20"/>
              </w:rPr>
            </w:pPr>
            <w:r>
              <w:rPr>
                <w:color w:val="000000"/>
                <w:sz w:val="20"/>
                <w:szCs w:val="20"/>
              </w:rPr>
              <w:t>Manning</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color w:val="000000"/>
                <w:sz w:val="20"/>
                <w:szCs w:val="20"/>
              </w:rPr>
            </w:pPr>
            <w:r>
              <w:rPr>
                <w:color w:val="000000"/>
                <w:sz w:val="20"/>
                <w:szCs w:val="20"/>
              </w:rPr>
              <w:t xml:space="preserve">ERCOT supports approval of NPRR708 </w:t>
            </w:r>
          </w:p>
        </w:tc>
      </w:tr>
      <w:tr w:rsidR="007C2573" w:rsidTr="007C2573">
        <w:trPr>
          <w:trHeight w:val="917"/>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b/>
                <w:bCs/>
                <w:sz w:val="20"/>
                <w:szCs w:val="20"/>
              </w:rPr>
            </w:pPr>
            <w:r>
              <w:rPr>
                <w:b/>
                <w:bCs/>
                <w:sz w:val="20"/>
                <w:szCs w:val="20"/>
              </w:rPr>
              <w:t>715NPRR</w:t>
            </w:r>
          </w:p>
        </w:tc>
        <w:tc>
          <w:tcPr>
            <w:tcW w:w="736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b/>
                <w:bCs/>
                <w:sz w:val="20"/>
                <w:szCs w:val="20"/>
              </w:rPr>
            </w:pPr>
            <w:r>
              <w:rPr>
                <w:b/>
                <w:bCs/>
                <w:sz w:val="20"/>
                <w:szCs w:val="20"/>
              </w:rPr>
              <w:t xml:space="preserve">Clarification of Generator Modeling in the Market System. </w:t>
            </w:r>
            <w:r>
              <w:rPr>
                <w:sz w:val="20"/>
                <w:szCs w:val="20"/>
              </w:rPr>
              <w:t>This Nodal Protocol Revision Request (NPRR) clarifies the modeling of Resources and brings the Protocols into better alignment with the current market systems by creating a new defined term, Resource Connectivity Node, and specifying that energy injection is at that node. [ERCOT]</w:t>
            </w:r>
          </w:p>
        </w:tc>
        <w:tc>
          <w:tcPr>
            <w:tcW w:w="80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jc w:val="center"/>
              <w:rPr>
                <w:sz w:val="20"/>
                <w:szCs w:val="20"/>
              </w:rPr>
            </w:pPr>
            <w:r>
              <w:rPr>
                <w:sz w:val="20"/>
                <w:szCs w:val="20"/>
              </w:rPr>
              <w:t>N</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sz w:val="20"/>
                <w:szCs w:val="20"/>
              </w:rPr>
            </w:pPr>
            <w:r>
              <w:rPr>
                <w:sz w:val="20"/>
                <w:szCs w:val="20"/>
              </w:rPr>
              <w:t>Phillips</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color w:val="000000"/>
                <w:sz w:val="20"/>
                <w:szCs w:val="20"/>
              </w:rPr>
            </w:pPr>
            <w:r>
              <w:rPr>
                <w:color w:val="000000"/>
                <w:sz w:val="20"/>
                <w:szCs w:val="20"/>
              </w:rPr>
              <w:t xml:space="preserve">ERCOT supports approval of NPRR715 </w:t>
            </w:r>
          </w:p>
        </w:tc>
      </w:tr>
      <w:tr w:rsidR="007C2573" w:rsidTr="007C2573">
        <w:trPr>
          <w:trHeight w:val="1020"/>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b/>
                <w:bCs/>
                <w:sz w:val="20"/>
                <w:szCs w:val="20"/>
              </w:rPr>
            </w:pPr>
            <w:r>
              <w:rPr>
                <w:b/>
                <w:bCs/>
                <w:sz w:val="20"/>
                <w:szCs w:val="20"/>
              </w:rPr>
              <w:t>716NPRR</w:t>
            </w:r>
          </w:p>
        </w:tc>
        <w:tc>
          <w:tcPr>
            <w:tcW w:w="736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b/>
                <w:bCs/>
                <w:sz w:val="20"/>
                <w:szCs w:val="20"/>
              </w:rPr>
            </w:pPr>
            <w:r>
              <w:rPr>
                <w:b/>
                <w:bCs/>
                <w:sz w:val="20"/>
                <w:szCs w:val="20"/>
              </w:rPr>
              <w:t xml:space="preserve">Corrections to Aggregated Load and Participant Specific Generation Data Requirements. </w:t>
            </w:r>
            <w:r>
              <w:rPr>
                <w:sz w:val="20"/>
                <w:szCs w:val="20"/>
              </w:rPr>
              <w:t>This Nodal Protocol Revision Request (NPRR) removes duplicative Protocol language and aligns Load and generation data posting requirements with current operating practice. [ERCOT]</w:t>
            </w:r>
          </w:p>
        </w:tc>
        <w:tc>
          <w:tcPr>
            <w:tcW w:w="80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jc w:val="center"/>
              <w:rPr>
                <w:sz w:val="20"/>
                <w:szCs w:val="20"/>
              </w:rPr>
            </w:pPr>
            <w:r>
              <w:rPr>
                <w:sz w:val="20"/>
                <w:szCs w:val="20"/>
              </w:rPr>
              <w:t>N</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sz w:val="20"/>
                <w:szCs w:val="20"/>
              </w:rPr>
            </w:pPr>
            <w:r>
              <w:rPr>
                <w:sz w:val="20"/>
                <w:szCs w:val="20"/>
              </w:rPr>
              <w:t>Butterfield</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color w:val="000000"/>
                <w:sz w:val="20"/>
                <w:szCs w:val="20"/>
              </w:rPr>
            </w:pPr>
            <w:r>
              <w:rPr>
                <w:color w:val="000000"/>
                <w:sz w:val="20"/>
                <w:szCs w:val="20"/>
              </w:rPr>
              <w:t xml:space="preserve">ERCOT supports approval of NPRR716 </w:t>
            </w:r>
          </w:p>
        </w:tc>
      </w:tr>
      <w:tr w:rsidR="007C2573" w:rsidTr="007C2573">
        <w:trPr>
          <w:trHeight w:val="1020"/>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b/>
                <w:bCs/>
                <w:sz w:val="20"/>
                <w:szCs w:val="20"/>
              </w:rPr>
            </w:pPr>
            <w:r>
              <w:rPr>
                <w:b/>
                <w:bCs/>
                <w:sz w:val="20"/>
                <w:szCs w:val="20"/>
              </w:rPr>
              <w:t>726NPRR</w:t>
            </w:r>
          </w:p>
        </w:tc>
        <w:tc>
          <w:tcPr>
            <w:tcW w:w="736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b/>
                <w:bCs/>
                <w:sz w:val="20"/>
                <w:szCs w:val="20"/>
              </w:rPr>
            </w:pPr>
            <w:r>
              <w:rPr>
                <w:b/>
                <w:bCs/>
                <w:sz w:val="20"/>
                <w:szCs w:val="20"/>
              </w:rPr>
              <w:t xml:space="preserve">Daily Network Operations Model PSS/E File Posting Modification. </w:t>
            </w:r>
            <w:r>
              <w:rPr>
                <w:sz w:val="20"/>
                <w:szCs w:val="20"/>
              </w:rPr>
              <w:t>This Nodal Protocol Revision Request (NPRR) removes an ERCOT requirement to set ratings for series devices not secured in the Day-Ahead Market (DAM) to zero in the daily Power System Simulator for Engineering (PSS/E) Network Operations Model files. [ERCOT]</w:t>
            </w:r>
          </w:p>
        </w:tc>
        <w:tc>
          <w:tcPr>
            <w:tcW w:w="80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jc w:val="center"/>
              <w:rPr>
                <w:sz w:val="20"/>
                <w:szCs w:val="20"/>
              </w:rPr>
            </w:pPr>
            <w:r>
              <w:rPr>
                <w:sz w:val="20"/>
                <w:szCs w:val="20"/>
              </w:rPr>
              <w:t>N</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sz w:val="20"/>
                <w:szCs w:val="20"/>
              </w:rPr>
            </w:pPr>
            <w:r>
              <w:rPr>
                <w:sz w:val="20"/>
                <w:szCs w:val="20"/>
              </w:rPr>
              <w:t>Phillips</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color w:val="000000"/>
                <w:sz w:val="20"/>
                <w:szCs w:val="20"/>
              </w:rPr>
            </w:pPr>
            <w:r>
              <w:rPr>
                <w:color w:val="000000"/>
                <w:sz w:val="20"/>
                <w:szCs w:val="20"/>
              </w:rPr>
              <w:t xml:space="preserve">ERCOT supports approval of NPRR726 </w:t>
            </w:r>
          </w:p>
        </w:tc>
      </w:tr>
      <w:tr w:rsidR="007C2573" w:rsidTr="007C2573">
        <w:trPr>
          <w:trHeight w:val="1790"/>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b/>
                <w:bCs/>
                <w:sz w:val="20"/>
                <w:szCs w:val="20"/>
              </w:rPr>
            </w:pPr>
            <w:r>
              <w:rPr>
                <w:b/>
                <w:bCs/>
                <w:sz w:val="20"/>
                <w:szCs w:val="20"/>
              </w:rPr>
              <w:lastRenderedPageBreak/>
              <w:t>728NPRR</w:t>
            </w:r>
          </w:p>
        </w:tc>
        <w:tc>
          <w:tcPr>
            <w:tcW w:w="736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b/>
                <w:bCs/>
                <w:sz w:val="20"/>
                <w:szCs w:val="20"/>
              </w:rPr>
            </w:pPr>
            <w:r>
              <w:rPr>
                <w:b/>
                <w:bCs/>
                <w:sz w:val="20"/>
                <w:szCs w:val="20"/>
              </w:rPr>
              <w:t xml:space="preserve">Removal of Language Related to NPRR484, Revisions to Congestion Revenue Rights Credit Calculations and Payments, and NPRR554, Clarification of Future Credit Exposure Calculation. </w:t>
            </w:r>
            <w:r>
              <w:rPr>
                <w:sz w:val="20"/>
                <w:szCs w:val="20"/>
              </w:rPr>
              <w:t>This Nodal Protocol Revision Request (NPRR) removes portions of Protocol language introduced by NPRR484 related to Congestion Revenue Rights (CRR) Auction processes, payments and credit calculations, and portions of NPRR554 related to the calculation of Future Credit Exposure (FCE).  This NPRR also removes the report posting requirement for Counter-Party FCE for Point-to-Point (PTP) Options and PTP Obligations. [</w:t>
            </w:r>
            <w:proofErr w:type="spellStart"/>
            <w:r>
              <w:rPr>
                <w:sz w:val="20"/>
                <w:szCs w:val="20"/>
              </w:rPr>
              <w:t>Luminant</w:t>
            </w:r>
            <w:proofErr w:type="spellEnd"/>
            <w:r>
              <w:rPr>
                <w:sz w:val="20"/>
                <w:szCs w:val="20"/>
              </w:rPr>
              <w:t>]</w:t>
            </w:r>
          </w:p>
        </w:tc>
        <w:tc>
          <w:tcPr>
            <w:tcW w:w="80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jc w:val="center"/>
              <w:rPr>
                <w:sz w:val="20"/>
                <w:szCs w:val="20"/>
              </w:rPr>
            </w:pPr>
            <w:r>
              <w:rPr>
                <w:sz w:val="20"/>
                <w:szCs w:val="20"/>
              </w:rPr>
              <w:t>N</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sz w:val="20"/>
                <w:szCs w:val="20"/>
              </w:rPr>
            </w:pPr>
            <w:r>
              <w:rPr>
                <w:sz w:val="20"/>
                <w:szCs w:val="20"/>
              </w:rPr>
              <w:t>Landry</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sz w:val="20"/>
                <w:szCs w:val="20"/>
              </w:rPr>
            </w:pPr>
            <w:r>
              <w:rPr>
                <w:color w:val="000000"/>
                <w:sz w:val="20"/>
                <w:szCs w:val="20"/>
              </w:rPr>
              <w:t xml:space="preserve">ERCOT agrees with the Market’s assessment that implementation of remaining gray boxed language of NPRR484 and NPRR554 </w:t>
            </w:r>
            <w:r>
              <w:rPr>
                <w:rStyle w:val="CommentReference"/>
                <w:sz w:val="16"/>
                <w:szCs w:val="16"/>
              </w:rPr>
              <w:t> </w:t>
            </w:r>
            <w:r>
              <w:rPr>
                <w:color w:val="000000"/>
                <w:sz w:val="20"/>
                <w:szCs w:val="20"/>
              </w:rPr>
              <w:t>is not cost effective</w:t>
            </w:r>
          </w:p>
        </w:tc>
      </w:tr>
      <w:tr w:rsidR="007C2573" w:rsidTr="007C2573">
        <w:trPr>
          <w:trHeight w:val="765"/>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b/>
                <w:bCs/>
                <w:sz w:val="20"/>
                <w:szCs w:val="20"/>
              </w:rPr>
            </w:pPr>
            <w:r>
              <w:rPr>
                <w:b/>
                <w:bCs/>
                <w:sz w:val="20"/>
                <w:szCs w:val="20"/>
              </w:rPr>
              <w:t>729NPRR</w:t>
            </w:r>
          </w:p>
        </w:tc>
        <w:tc>
          <w:tcPr>
            <w:tcW w:w="736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b/>
                <w:bCs/>
                <w:sz w:val="20"/>
                <w:szCs w:val="20"/>
              </w:rPr>
            </w:pPr>
            <w:r>
              <w:rPr>
                <w:b/>
                <w:bCs/>
                <w:sz w:val="20"/>
                <w:szCs w:val="20"/>
              </w:rPr>
              <w:t xml:space="preserve">Clarification of Metering Requirements for Resources. </w:t>
            </w:r>
            <w:r>
              <w:rPr>
                <w:sz w:val="20"/>
                <w:szCs w:val="20"/>
              </w:rPr>
              <w:t>This Nodal Protocol Revision Request (NPRR) clarifies the metering requirements for Resources, specifically Interval Data Recorder (IDR) Meters versus IDRs. [ERCOT]</w:t>
            </w:r>
          </w:p>
        </w:tc>
        <w:tc>
          <w:tcPr>
            <w:tcW w:w="80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jc w:val="center"/>
              <w:rPr>
                <w:sz w:val="20"/>
                <w:szCs w:val="20"/>
              </w:rPr>
            </w:pPr>
            <w:r>
              <w:rPr>
                <w:sz w:val="20"/>
                <w:szCs w:val="20"/>
              </w:rPr>
              <w:t>N</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sz w:val="20"/>
                <w:szCs w:val="20"/>
              </w:rPr>
            </w:pPr>
            <w:r>
              <w:rPr>
                <w:sz w:val="20"/>
                <w:szCs w:val="20"/>
              </w:rPr>
              <w:t>Phillips</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color w:val="000000"/>
                <w:sz w:val="20"/>
                <w:szCs w:val="20"/>
              </w:rPr>
            </w:pPr>
            <w:r>
              <w:rPr>
                <w:color w:val="000000"/>
                <w:sz w:val="20"/>
                <w:szCs w:val="20"/>
              </w:rPr>
              <w:t xml:space="preserve">ERCOT supports approval of NPRR729 </w:t>
            </w:r>
          </w:p>
        </w:tc>
      </w:tr>
      <w:tr w:rsidR="007C2573" w:rsidTr="007C2573">
        <w:trPr>
          <w:trHeight w:val="1275"/>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b/>
                <w:bCs/>
                <w:sz w:val="20"/>
                <w:szCs w:val="20"/>
              </w:rPr>
            </w:pPr>
            <w:r>
              <w:rPr>
                <w:b/>
                <w:bCs/>
                <w:sz w:val="20"/>
                <w:szCs w:val="20"/>
              </w:rPr>
              <w:t>731NPRR</w:t>
            </w:r>
          </w:p>
        </w:tc>
        <w:tc>
          <w:tcPr>
            <w:tcW w:w="736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b/>
                <w:bCs/>
                <w:sz w:val="20"/>
                <w:szCs w:val="20"/>
              </w:rPr>
            </w:pPr>
            <w:r>
              <w:rPr>
                <w:b/>
                <w:bCs/>
                <w:sz w:val="20"/>
                <w:szCs w:val="20"/>
              </w:rPr>
              <w:t xml:space="preserve">Changes to Annual Reporting Requirements for RUC </w:t>
            </w:r>
            <w:proofErr w:type="spellStart"/>
            <w:r>
              <w:rPr>
                <w:b/>
                <w:bCs/>
                <w:sz w:val="20"/>
                <w:szCs w:val="20"/>
              </w:rPr>
              <w:t>Decommitment</w:t>
            </w:r>
            <w:proofErr w:type="spellEnd"/>
            <w:r>
              <w:rPr>
                <w:b/>
                <w:bCs/>
                <w:sz w:val="20"/>
                <w:szCs w:val="20"/>
              </w:rPr>
              <w:t xml:space="preserve"> Payment Amounts.  </w:t>
            </w:r>
            <w:r>
              <w:rPr>
                <w:sz w:val="20"/>
                <w:szCs w:val="20"/>
              </w:rPr>
              <w:t xml:space="preserve">This Nodal Protocol Revision Request (NPRR) modifies a reporting requirement for Reliability Unit Commitment </w:t>
            </w:r>
            <w:proofErr w:type="spellStart"/>
            <w:r>
              <w:rPr>
                <w:sz w:val="20"/>
                <w:szCs w:val="20"/>
              </w:rPr>
              <w:t>Decommitment</w:t>
            </w:r>
            <w:proofErr w:type="spellEnd"/>
            <w:r>
              <w:rPr>
                <w:sz w:val="20"/>
                <w:szCs w:val="20"/>
              </w:rPr>
              <w:t xml:space="preserve"> (RUC) Payment Amounts to state the report is only required where there is data to report, otherwise no report is posted.  [ERCOT]</w:t>
            </w:r>
          </w:p>
        </w:tc>
        <w:tc>
          <w:tcPr>
            <w:tcW w:w="80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jc w:val="center"/>
              <w:rPr>
                <w:sz w:val="20"/>
                <w:szCs w:val="20"/>
              </w:rPr>
            </w:pPr>
            <w:r>
              <w:rPr>
                <w:sz w:val="20"/>
                <w:szCs w:val="20"/>
              </w:rPr>
              <w:t>N</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sz w:val="20"/>
                <w:szCs w:val="20"/>
              </w:rPr>
            </w:pPr>
            <w:r>
              <w:rPr>
                <w:sz w:val="20"/>
                <w:szCs w:val="20"/>
              </w:rPr>
              <w:t>Butterfield</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color w:val="000000"/>
                <w:sz w:val="20"/>
                <w:szCs w:val="20"/>
              </w:rPr>
            </w:pPr>
            <w:r>
              <w:rPr>
                <w:color w:val="000000"/>
                <w:sz w:val="20"/>
                <w:szCs w:val="20"/>
              </w:rPr>
              <w:t xml:space="preserve">ERCOT supports approval of NPRR731 </w:t>
            </w:r>
          </w:p>
        </w:tc>
      </w:tr>
      <w:tr w:rsidR="007C2573" w:rsidTr="007C2573">
        <w:trPr>
          <w:trHeight w:val="1020"/>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b/>
                <w:bCs/>
                <w:sz w:val="20"/>
                <w:szCs w:val="20"/>
              </w:rPr>
            </w:pPr>
            <w:r>
              <w:rPr>
                <w:b/>
                <w:bCs/>
                <w:sz w:val="20"/>
                <w:szCs w:val="20"/>
              </w:rPr>
              <w:t>732NPRR</w:t>
            </w:r>
          </w:p>
        </w:tc>
        <w:tc>
          <w:tcPr>
            <w:tcW w:w="736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b/>
                <w:bCs/>
                <w:sz w:val="20"/>
                <w:szCs w:val="20"/>
              </w:rPr>
            </w:pPr>
            <w:r>
              <w:rPr>
                <w:b/>
                <w:bCs/>
                <w:sz w:val="20"/>
                <w:szCs w:val="20"/>
              </w:rPr>
              <w:t xml:space="preserve">Alignment of Verifiable Cost Language within Protocols. </w:t>
            </w:r>
            <w:r>
              <w:rPr>
                <w:sz w:val="20"/>
                <w:szCs w:val="20"/>
              </w:rPr>
              <w:t>This Nodal Protocol Revision Request (NPRR) better aligns Protocols language concerning verifiable cost recovery related to Reliability Unit Commitment (RUC) with approved language within the Verifiable Cost Manual. [ERCOT]</w:t>
            </w:r>
          </w:p>
        </w:tc>
        <w:tc>
          <w:tcPr>
            <w:tcW w:w="80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jc w:val="center"/>
              <w:rPr>
                <w:sz w:val="20"/>
                <w:szCs w:val="20"/>
              </w:rPr>
            </w:pPr>
            <w:r>
              <w:rPr>
                <w:sz w:val="20"/>
                <w:szCs w:val="20"/>
              </w:rPr>
              <w:t>N</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sz w:val="20"/>
                <w:szCs w:val="20"/>
              </w:rPr>
            </w:pPr>
            <w:r>
              <w:rPr>
                <w:sz w:val="20"/>
                <w:szCs w:val="20"/>
              </w:rPr>
              <w:t>Landry</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color w:val="000000"/>
                <w:sz w:val="20"/>
                <w:szCs w:val="20"/>
              </w:rPr>
            </w:pPr>
            <w:r>
              <w:rPr>
                <w:color w:val="000000"/>
                <w:sz w:val="20"/>
                <w:szCs w:val="20"/>
              </w:rPr>
              <w:t xml:space="preserve">ERCOT supports approval of NPRR732 </w:t>
            </w:r>
          </w:p>
        </w:tc>
      </w:tr>
      <w:tr w:rsidR="007C2573" w:rsidTr="007C2573">
        <w:trPr>
          <w:trHeight w:val="1592"/>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b/>
                <w:bCs/>
                <w:sz w:val="20"/>
                <w:szCs w:val="20"/>
              </w:rPr>
            </w:pPr>
            <w:r>
              <w:rPr>
                <w:b/>
                <w:bCs/>
                <w:sz w:val="20"/>
                <w:szCs w:val="20"/>
              </w:rPr>
              <w:t>733NPRR</w:t>
            </w:r>
          </w:p>
        </w:tc>
        <w:tc>
          <w:tcPr>
            <w:tcW w:w="736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b/>
                <w:bCs/>
                <w:sz w:val="20"/>
                <w:szCs w:val="20"/>
              </w:rPr>
            </w:pPr>
            <w:r>
              <w:rPr>
                <w:b/>
                <w:bCs/>
                <w:sz w:val="20"/>
                <w:szCs w:val="20"/>
              </w:rPr>
              <w:t xml:space="preserve">Delete Expiration of Customer Load Data Protected Information Status.  </w:t>
            </w:r>
            <w:r>
              <w:rPr>
                <w:sz w:val="20"/>
                <w:szCs w:val="20"/>
              </w:rPr>
              <w:t>This Nodal Protocol Revision Request (NPRR) removes the 180-day expiration of Protected Information status for raw and Adjusted Metered Load (AML) data (demand and energy) identifiable to a Customer or ESI ID.  The Protected Information status of raw and AML data (demand and energy) identifiable to a specific Qualified Scheduling Entity (QSE) or Load Serving Entity (LSE) shall continue to expire 180 days after the applicable Operating Day. [ERCOT]</w:t>
            </w:r>
          </w:p>
        </w:tc>
        <w:tc>
          <w:tcPr>
            <w:tcW w:w="80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jc w:val="center"/>
              <w:rPr>
                <w:sz w:val="20"/>
                <w:szCs w:val="20"/>
              </w:rPr>
            </w:pPr>
            <w:r>
              <w:rPr>
                <w:sz w:val="20"/>
                <w:szCs w:val="20"/>
              </w:rPr>
              <w:t>N</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sz w:val="20"/>
                <w:szCs w:val="20"/>
              </w:rPr>
            </w:pPr>
            <w:r>
              <w:rPr>
                <w:sz w:val="20"/>
                <w:szCs w:val="20"/>
              </w:rPr>
              <w:t>Phillips</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7C2573" w:rsidRDefault="007C2573">
            <w:pPr>
              <w:spacing w:line="276" w:lineRule="auto"/>
              <w:rPr>
                <w:color w:val="000000"/>
                <w:sz w:val="20"/>
                <w:szCs w:val="20"/>
              </w:rPr>
            </w:pPr>
            <w:r>
              <w:rPr>
                <w:color w:val="000000"/>
                <w:sz w:val="20"/>
                <w:szCs w:val="20"/>
              </w:rPr>
              <w:t xml:space="preserve">ERCOT supports approval of NPRR733 </w:t>
            </w:r>
          </w:p>
        </w:tc>
      </w:tr>
    </w:tbl>
    <w:p w:rsidR="00BA690B" w:rsidRDefault="00BA690B"/>
    <w:sectPr w:rsidR="00BA690B" w:rsidSect="007C257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73"/>
    <w:rsid w:val="003C4AF0"/>
    <w:rsid w:val="00450F64"/>
    <w:rsid w:val="007C2573"/>
    <w:rsid w:val="00BA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C2573"/>
    <w:rPr>
      <w:sz w:val="20"/>
      <w:szCs w:val="20"/>
    </w:rPr>
  </w:style>
  <w:style w:type="character" w:customStyle="1" w:styleId="CommentTextChar">
    <w:name w:val="Comment Text Char"/>
    <w:basedOn w:val="DefaultParagraphFont"/>
    <w:link w:val="CommentText"/>
    <w:uiPriority w:val="99"/>
    <w:semiHidden/>
    <w:rsid w:val="007C2573"/>
    <w:rPr>
      <w:rFonts w:ascii="Calibri" w:hAnsi="Calibri" w:cs="Times New Roman"/>
      <w:sz w:val="20"/>
      <w:szCs w:val="20"/>
    </w:rPr>
  </w:style>
  <w:style w:type="character" w:styleId="CommentReference">
    <w:name w:val="annotation reference"/>
    <w:basedOn w:val="DefaultParagraphFont"/>
    <w:uiPriority w:val="99"/>
    <w:semiHidden/>
    <w:unhideWhenUsed/>
    <w:rsid w:val="007C2573"/>
  </w:style>
  <w:style w:type="paragraph" w:styleId="BalloonText">
    <w:name w:val="Balloon Text"/>
    <w:basedOn w:val="Normal"/>
    <w:link w:val="BalloonTextChar"/>
    <w:uiPriority w:val="99"/>
    <w:semiHidden/>
    <w:unhideWhenUsed/>
    <w:rsid w:val="007C2573"/>
    <w:rPr>
      <w:rFonts w:ascii="Tahoma" w:hAnsi="Tahoma" w:cs="Tahoma"/>
      <w:sz w:val="16"/>
      <w:szCs w:val="16"/>
    </w:rPr>
  </w:style>
  <w:style w:type="character" w:customStyle="1" w:styleId="BalloonTextChar">
    <w:name w:val="Balloon Text Char"/>
    <w:basedOn w:val="DefaultParagraphFont"/>
    <w:link w:val="BalloonText"/>
    <w:uiPriority w:val="99"/>
    <w:semiHidden/>
    <w:rsid w:val="007C2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C2573"/>
    <w:rPr>
      <w:sz w:val="20"/>
      <w:szCs w:val="20"/>
    </w:rPr>
  </w:style>
  <w:style w:type="character" w:customStyle="1" w:styleId="CommentTextChar">
    <w:name w:val="Comment Text Char"/>
    <w:basedOn w:val="DefaultParagraphFont"/>
    <w:link w:val="CommentText"/>
    <w:uiPriority w:val="99"/>
    <w:semiHidden/>
    <w:rsid w:val="007C2573"/>
    <w:rPr>
      <w:rFonts w:ascii="Calibri" w:hAnsi="Calibri" w:cs="Times New Roman"/>
      <w:sz w:val="20"/>
      <w:szCs w:val="20"/>
    </w:rPr>
  </w:style>
  <w:style w:type="character" w:styleId="CommentReference">
    <w:name w:val="annotation reference"/>
    <w:basedOn w:val="DefaultParagraphFont"/>
    <w:uiPriority w:val="99"/>
    <w:semiHidden/>
    <w:unhideWhenUsed/>
    <w:rsid w:val="007C2573"/>
  </w:style>
  <w:style w:type="paragraph" w:styleId="BalloonText">
    <w:name w:val="Balloon Text"/>
    <w:basedOn w:val="Normal"/>
    <w:link w:val="BalloonTextChar"/>
    <w:uiPriority w:val="99"/>
    <w:semiHidden/>
    <w:unhideWhenUsed/>
    <w:rsid w:val="007C2573"/>
    <w:rPr>
      <w:rFonts w:ascii="Tahoma" w:hAnsi="Tahoma" w:cs="Tahoma"/>
      <w:sz w:val="16"/>
      <w:szCs w:val="16"/>
    </w:rPr>
  </w:style>
  <w:style w:type="character" w:customStyle="1" w:styleId="BalloonTextChar">
    <w:name w:val="Balloon Text Char"/>
    <w:basedOn w:val="DefaultParagraphFont"/>
    <w:link w:val="BalloonText"/>
    <w:uiPriority w:val="99"/>
    <w:semiHidden/>
    <w:rsid w:val="007C2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Albracht, Brittney</dc:creator>
  <cp:lastModifiedBy>Albracht, Brittney</cp:lastModifiedBy>
  <cp:revision>1</cp:revision>
  <dcterms:created xsi:type="dcterms:W3CDTF">2015-10-29T13:15:00Z</dcterms:created>
  <dcterms:modified xsi:type="dcterms:W3CDTF">2015-10-29T13:18:00Z</dcterms:modified>
</cp:coreProperties>
</file>