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DE53E8" w:rsidRPr="00DE53E8" w:rsidTr="00876EA9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E8" w:rsidRPr="00DE53E8" w:rsidRDefault="00DE53E8" w:rsidP="00DE53E8">
            <w:pPr>
              <w:tabs>
                <w:tab w:val="center" w:pos="4320"/>
                <w:tab w:val="right" w:pos="8640"/>
              </w:tabs>
              <w:spacing w:before="0"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E53E8">
              <w:rPr>
                <w:rFonts w:ascii="Arial" w:hAnsi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E8" w:rsidRPr="00DE53E8" w:rsidRDefault="00A208CB" w:rsidP="00DE53E8">
            <w:pPr>
              <w:spacing w:before="0"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28</w:t>
            </w:r>
            <w:bookmarkStart w:id="0" w:name="_GoBack"/>
            <w:bookmarkEnd w:id="0"/>
            <w:r w:rsidR="00DE53E8" w:rsidRPr="00DE53E8">
              <w:rPr>
                <w:rFonts w:ascii="Arial" w:hAnsi="Arial"/>
                <w:sz w:val="24"/>
                <w:szCs w:val="24"/>
              </w:rPr>
              <w:t>, 2015</w:t>
            </w:r>
          </w:p>
        </w:tc>
      </w:tr>
      <w:tr w:rsidR="00DE53E8" w:rsidRPr="00DE53E8" w:rsidTr="00876EA9">
        <w:trPr>
          <w:trHeight w:val="467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E53E8" w:rsidRPr="00DE53E8" w:rsidRDefault="00DE53E8" w:rsidP="00DE53E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DE53E8" w:rsidRPr="00DE53E8" w:rsidRDefault="00DE53E8" w:rsidP="00DE53E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3E8" w:rsidRPr="00DE53E8" w:rsidTr="00876EA9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53E8" w:rsidRPr="00DE53E8" w:rsidRDefault="00DE53E8" w:rsidP="00DE53E8">
            <w:pPr>
              <w:tabs>
                <w:tab w:val="center" w:pos="4320"/>
                <w:tab w:val="right" w:pos="8640"/>
              </w:tabs>
              <w:spacing w:before="0"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E53E8">
              <w:rPr>
                <w:rFonts w:ascii="Arial" w:hAnsi="Arial"/>
                <w:b/>
                <w:bCs/>
                <w:sz w:val="24"/>
                <w:szCs w:val="24"/>
              </w:rPr>
              <w:t>Submitter’s Information</w:t>
            </w:r>
          </w:p>
        </w:tc>
      </w:tr>
      <w:tr w:rsidR="00DE53E8" w:rsidRPr="00DE53E8" w:rsidTr="00876EA9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:rsidR="00DE53E8" w:rsidRPr="00DE53E8" w:rsidRDefault="00DE53E8" w:rsidP="00DE53E8">
            <w:pPr>
              <w:tabs>
                <w:tab w:val="center" w:pos="4320"/>
                <w:tab w:val="right" w:pos="8640"/>
              </w:tabs>
              <w:spacing w:before="0"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E53E8">
              <w:rPr>
                <w:rFonts w:ascii="Arial" w:hAnsi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560" w:type="dxa"/>
            <w:vAlign w:val="center"/>
          </w:tcPr>
          <w:p w:rsidR="00DE53E8" w:rsidRPr="00DE53E8" w:rsidRDefault="007003A0" w:rsidP="00DE53E8">
            <w:pPr>
              <w:spacing w:before="0"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Wes Woitt</w:t>
            </w:r>
          </w:p>
        </w:tc>
      </w:tr>
      <w:tr w:rsidR="00DE53E8" w:rsidRPr="00DE53E8" w:rsidTr="00876EA9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:rsidR="00DE53E8" w:rsidRPr="00DE53E8" w:rsidRDefault="00DE53E8" w:rsidP="00DE53E8">
            <w:pPr>
              <w:tabs>
                <w:tab w:val="center" w:pos="4320"/>
                <w:tab w:val="right" w:pos="8640"/>
              </w:tabs>
              <w:spacing w:before="0"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E53E8">
              <w:rPr>
                <w:rFonts w:ascii="Arial" w:hAnsi="Arial"/>
                <w:b/>
                <w:bCs/>
                <w:sz w:val="24"/>
                <w:szCs w:val="24"/>
              </w:rPr>
              <w:t>E-mail Address</w:t>
            </w:r>
          </w:p>
        </w:tc>
        <w:tc>
          <w:tcPr>
            <w:tcW w:w="7560" w:type="dxa"/>
            <w:vAlign w:val="center"/>
          </w:tcPr>
          <w:p w:rsidR="00DE53E8" w:rsidRPr="00DE53E8" w:rsidRDefault="007003A0" w:rsidP="00DE53E8">
            <w:pPr>
              <w:spacing w:before="0"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wesley.woitt@centerpointenergy.com</w:t>
            </w:r>
          </w:p>
        </w:tc>
      </w:tr>
      <w:tr w:rsidR="00DE53E8" w:rsidRPr="00DE53E8" w:rsidTr="00876EA9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:rsidR="00DE53E8" w:rsidRPr="00DE53E8" w:rsidRDefault="00DE53E8" w:rsidP="00DE53E8">
            <w:pPr>
              <w:tabs>
                <w:tab w:val="center" w:pos="4320"/>
                <w:tab w:val="right" w:pos="8640"/>
              </w:tabs>
              <w:spacing w:before="0"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E53E8">
              <w:rPr>
                <w:rFonts w:ascii="Arial" w:hAnsi="Arial"/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7560" w:type="dxa"/>
            <w:vAlign w:val="center"/>
          </w:tcPr>
          <w:p w:rsidR="00DE53E8" w:rsidRPr="00DE53E8" w:rsidRDefault="00DE53E8" w:rsidP="00DE53E8">
            <w:pPr>
              <w:spacing w:before="0" w:after="0" w:line="240" w:lineRule="auto"/>
              <w:rPr>
                <w:rFonts w:ascii="Arial" w:hAnsi="Arial"/>
                <w:sz w:val="24"/>
                <w:szCs w:val="24"/>
              </w:rPr>
            </w:pPr>
            <w:r w:rsidRPr="00DE53E8">
              <w:rPr>
                <w:rFonts w:ascii="Arial" w:hAnsi="Arial"/>
                <w:sz w:val="24"/>
                <w:szCs w:val="24"/>
              </w:rPr>
              <w:t>CenterPoint Energy</w:t>
            </w:r>
          </w:p>
        </w:tc>
      </w:tr>
      <w:tr w:rsidR="00DE53E8" w:rsidRPr="00DE53E8" w:rsidTr="00876EA9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53E8" w:rsidRPr="00DE53E8" w:rsidRDefault="00DE53E8" w:rsidP="00DE53E8">
            <w:pPr>
              <w:tabs>
                <w:tab w:val="center" w:pos="4320"/>
                <w:tab w:val="right" w:pos="8640"/>
              </w:tabs>
              <w:spacing w:before="0"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E53E8">
              <w:rPr>
                <w:rFonts w:ascii="Arial" w:hAnsi="Arial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:rsidR="00DE53E8" w:rsidRPr="00DE53E8" w:rsidRDefault="007003A0" w:rsidP="00DE53E8">
            <w:pPr>
              <w:spacing w:before="0"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713-207-2760</w:t>
            </w:r>
          </w:p>
        </w:tc>
      </w:tr>
      <w:tr w:rsidR="00DE53E8" w:rsidRPr="00DE53E8" w:rsidTr="00876EA9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:rsidR="00DE53E8" w:rsidRPr="00DE53E8" w:rsidRDefault="00DE53E8" w:rsidP="00DE53E8">
            <w:pPr>
              <w:tabs>
                <w:tab w:val="center" w:pos="4320"/>
                <w:tab w:val="right" w:pos="8640"/>
              </w:tabs>
              <w:spacing w:before="0"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E53E8">
              <w:rPr>
                <w:rFonts w:ascii="Arial" w:hAnsi="Arial"/>
                <w:b/>
                <w:bCs/>
                <w:sz w:val="24"/>
                <w:szCs w:val="24"/>
              </w:rPr>
              <w:t>Cell Number</w:t>
            </w:r>
          </w:p>
        </w:tc>
        <w:tc>
          <w:tcPr>
            <w:tcW w:w="7560" w:type="dxa"/>
            <w:vAlign w:val="center"/>
          </w:tcPr>
          <w:p w:rsidR="00DE53E8" w:rsidRPr="00DE53E8" w:rsidRDefault="00DE53E8" w:rsidP="00DE53E8">
            <w:pPr>
              <w:spacing w:before="0"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DE53E8" w:rsidRPr="00DE53E8" w:rsidTr="00876EA9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:rsidR="00DE53E8" w:rsidRPr="00DE53E8" w:rsidDel="00075A94" w:rsidRDefault="00DE53E8" w:rsidP="00DE53E8">
            <w:pPr>
              <w:tabs>
                <w:tab w:val="center" w:pos="4320"/>
                <w:tab w:val="right" w:pos="8640"/>
              </w:tabs>
              <w:spacing w:before="0"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E53E8">
              <w:rPr>
                <w:rFonts w:ascii="Arial" w:hAnsi="Arial"/>
                <w:b/>
                <w:bCs/>
                <w:sz w:val="24"/>
                <w:szCs w:val="24"/>
              </w:rPr>
              <w:t>Market Segment</w:t>
            </w:r>
          </w:p>
        </w:tc>
        <w:tc>
          <w:tcPr>
            <w:tcW w:w="7560" w:type="dxa"/>
            <w:vAlign w:val="center"/>
          </w:tcPr>
          <w:p w:rsidR="00DE53E8" w:rsidRPr="00DE53E8" w:rsidRDefault="00291F12" w:rsidP="00DE53E8">
            <w:pPr>
              <w:spacing w:before="0" w:after="0" w:line="240" w:lineRule="auto"/>
              <w:rPr>
                <w:rFonts w:ascii="Arial" w:hAnsi="Arial"/>
                <w:sz w:val="24"/>
                <w:szCs w:val="24"/>
              </w:rPr>
            </w:pPr>
            <w:r w:rsidRPr="00291F12">
              <w:rPr>
                <w:rFonts w:ascii="Arial" w:hAnsi="Arial"/>
                <w:sz w:val="24"/>
                <w:szCs w:val="24"/>
              </w:rPr>
              <w:t>Investor Owned Utility (</w:t>
            </w:r>
            <w:r w:rsidR="00DE53E8">
              <w:rPr>
                <w:rFonts w:ascii="Arial" w:hAnsi="Arial"/>
                <w:sz w:val="24"/>
                <w:szCs w:val="24"/>
              </w:rPr>
              <w:t>IOU</w:t>
            </w:r>
            <w:r>
              <w:rPr>
                <w:rFonts w:ascii="Arial" w:hAnsi="Arial"/>
                <w:sz w:val="24"/>
                <w:szCs w:val="24"/>
              </w:rPr>
              <w:t>)</w:t>
            </w:r>
          </w:p>
        </w:tc>
      </w:tr>
      <w:tr w:rsidR="00DE53E8" w:rsidRPr="00DE53E8" w:rsidTr="00876EA9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53E8" w:rsidRPr="00DE53E8" w:rsidRDefault="00DE53E8" w:rsidP="00DE53E8">
            <w:pPr>
              <w:tabs>
                <w:tab w:val="center" w:pos="4320"/>
                <w:tab w:val="right" w:pos="8640"/>
              </w:tabs>
              <w:spacing w:before="0"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:rsidR="00DE53E8" w:rsidRPr="00DE53E8" w:rsidRDefault="00DE53E8" w:rsidP="00DE53E8">
            <w:pPr>
              <w:spacing w:before="0"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DE53E8" w:rsidRPr="00DE53E8" w:rsidRDefault="00DE53E8" w:rsidP="00DE53E8">
      <w:pPr>
        <w:spacing w:before="0" w:after="0" w:line="240" w:lineRule="auto"/>
        <w:rPr>
          <w:rFonts w:ascii="Arial" w:hAnsi="Arial"/>
          <w:sz w:val="24"/>
          <w:szCs w:val="24"/>
        </w:rPr>
      </w:pPr>
    </w:p>
    <w:p w:rsidR="00DE53E8" w:rsidRPr="00DE53E8" w:rsidRDefault="00DE53E8" w:rsidP="00DE53E8">
      <w:pPr>
        <w:spacing w:before="0" w:after="0" w:line="240" w:lineRule="auto"/>
        <w:rPr>
          <w:rFonts w:ascii="Arial" w:hAnsi="Arial"/>
          <w:sz w:val="24"/>
          <w:szCs w:val="24"/>
        </w:rPr>
      </w:pPr>
    </w:p>
    <w:tbl>
      <w:tblPr>
        <w:tblW w:w="104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DE53E8" w:rsidRPr="00DE53E8" w:rsidTr="00876EA9">
        <w:trPr>
          <w:trHeight w:val="422"/>
          <w:jc w:val="center"/>
        </w:trPr>
        <w:tc>
          <w:tcPr>
            <w:tcW w:w="10440" w:type="dxa"/>
            <w:vAlign w:val="center"/>
          </w:tcPr>
          <w:p w:rsidR="00DE53E8" w:rsidRPr="00DE53E8" w:rsidRDefault="00DE53E8" w:rsidP="00DE53E8">
            <w:pPr>
              <w:tabs>
                <w:tab w:val="center" w:pos="4320"/>
                <w:tab w:val="right" w:pos="8640"/>
              </w:tabs>
              <w:spacing w:before="0"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E53E8">
              <w:rPr>
                <w:rFonts w:ascii="Arial" w:hAnsi="Arial"/>
                <w:b/>
                <w:bCs/>
                <w:sz w:val="24"/>
                <w:szCs w:val="24"/>
              </w:rPr>
              <w:t>Comments</w:t>
            </w:r>
          </w:p>
        </w:tc>
      </w:tr>
    </w:tbl>
    <w:p w:rsidR="00DE53E8" w:rsidRPr="00DE53E8" w:rsidRDefault="00DE53E8" w:rsidP="00DE53E8">
      <w:pPr>
        <w:spacing w:before="0" w:after="0" w:line="240" w:lineRule="auto"/>
        <w:rPr>
          <w:rFonts w:ascii="Arial" w:hAnsi="Arial"/>
          <w:sz w:val="24"/>
          <w:szCs w:val="24"/>
        </w:rPr>
      </w:pPr>
    </w:p>
    <w:p w:rsidR="001A253F" w:rsidRDefault="001A253F" w:rsidP="001A253F">
      <w:pPr>
        <w:spacing w:line="480" w:lineRule="auto"/>
        <w:ind w:hanging="720"/>
        <w:contextualSpacing/>
        <w:rPr>
          <w:rFonts w:eastAsia="Calibri"/>
          <w:color w:val="FF0000"/>
          <w:sz w:val="22"/>
          <w:szCs w:val="22"/>
        </w:rPr>
      </w:pPr>
    </w:p>
    <w:p w:rsidR="000D0529" w:rsidRPr="001A253F" w:rsidRDefault="000D0529" w:rsidP="00BE5E20">
      <w:pPr>
        <w:spacing w:line="240" w:lineRule="auto"/>
        <w:contextualSpacing/>
        <w:rPr>
          <w:rFonts w:eastAsia="Calibri"/>
          <w:sz w:val="22"/>
          <w:szCs w:val="22"/>
        </w:rPr>
      </w:pPr>
      <w:r w:rsidRPr="001A253F">
        <w:rPr>
          <w:rFonts w:eastAsia="Calibri"/>
          <w:sz w:val="22"/>
          <w:szCs w:val="22"/>
        </w:rPr>
        <w:t xml:space="preserve">CenterPoint </w:t>
      </w:r>
      <w:r w:rsidR="000C3588">
        <w:rPr>
          <w:rFonts w:eastAsia="Calibri"/>
          <w:sz w:val="22"/>
          <w:szCs w:val="22"/>
        </w:rPr>
        <w:t>Energy has participated in the meetings of the OCITF and recognizes the effort of the various market participants in developing the report.  These proposed changes to the Outage Coordination process</w:t>
      </w:r>
      <w:r w:rsidR="00BE5E20">
        <w:rPr>
          <w:rFonts w:eastAsia="Calibri"/>
          <w:sz w:val="22"/>
          <w:szCs w:val="22"/>
        </w:rPr>
        <w:t xml:space="preserve"> could have a significant impact on Transmission Service Providers’ outage coordination and transmission construction efforts.  Therefore, </w:t>
      </w:r>
      <w:r w:rsidR="00BE5E20" w:rsidRPr="00BE5E20">
        <w:rPr>
          <w:rFonts w:eastAsia="Calibri"/>
          <w:sz w:val="22"/>
          <w:szCs w:val="22"/>
        </w:rPr>
        <w:t>CenterPoint Energy</w:t>
      </w:r>
      <w:r w:rsidR="00BE5E20">
        <w:rPr>
          <w:rFonts w:eastAsia="Calibri"/>
          <w:sz w:val="22"/>
          <w:szCs w:val="22"/>
        </w:rPr>
        <w:t xml:space="preserve"> </w:t>
      </w:r>
      <w:r w:rsidR="000C3588">
        <w:rPr>
          <w:rFonts w:eastAsia="Calibri"/>
          <w:sz w:val="22"/>
          <w:szCs w:val="22"/>
        </w:rPr>
        <w:t xml:space="preserve">offers the following comments </w:t>
      </w:r>
      <w:r w:rsidR="00BE5E20">
        <w:rPr>
          <w:rFonts w:eastAsia="Calibri"/>
          <w:sz w:val="22"/>
          <w:szCs w:val="22"/>
        </w:rPr>
        <w:t>on the proposed changes.</w:t>
      </w:r>
    </w:p>
    <w:p w:rsidR="00BE5E20" w:rsidRDefault="00BE5E20" w:rsidP="00BE5E20">
      <w:pPr>
        <w:spacing w:line="240" w:lineRule="auto"/>
        <w:contextualSpacing/>
        <w:rPr>
          <w:rFonts w:eastAsia="Calibri"/>
          <w:b/>
          <w:sz w:val="22"/>
          <w:szCs w:val="22"/>
        </w:rPr>
      </w:pPr>
    </w:p>
    <w:p w:rsidR="00E1055E" w:rsidRDefault="00E1055E" w:rsidP="00E1055E">
      <w:pPr>
        <w:spacing w:line="480" w:lineRule="auto"/>
        <w:contextualSpacing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Proposal</w:t>
      </w:r>
      <w:r w:rsidRPr="00A73887">
        <w:rPr>
          <w:rFonts w:eastAsia="Calibri"/>
          <w:b/>
          <w:sz w:val="22"/>
          <w:szCs w:val="22"/>
        </w:rPr>
        <w:t xml:space="preserve"> 1)</w:t>
      </w:r>
      <w:r>
        <w:rPr>
          <w:rFonts w:eastAsia="Calibri"/>
          <w:sz w:val="22"/>
          <w:szCs w:val="22"/>
        </w:rPr>
        <w:t xml:space="preserve"> – </w:t>
      </w:r>
      <w:r w:rsidRPr="00A73887">
        <w:rPr>
          <w:rFonts w:eastAsia="Calibri"/>
          <w:sz w:val="22"/>
          <w:szCs w:val="22"/>
        </w:rPr>
        <w:t>Identification of High Impact Outages (HIOs)</w:t>
      </w:r>
    </w:p>
    <w:p w:rsidR="00E1055E" w:rsidRPr="00DE1A51" w:rsidRDefault="003F4A28" w:rsidP="00723698">
      <w:pPr>
        <w:spacing w:line="240" w:lineRule="auto"/>
        <w:contextualSpacing/>
        <w:rPr>
          <w:rFonts w:eastAsia="Calibri"/>
          <w:sz w:val="22"/>
          <w:szCs w:val="22"/>
        </w:rPr>
      </w:pPr>
      <w:r w:rsidRPr="003F4A28">
        <w:rPr>
          <w:rFonts w:eastAsia="Calibri"/>
          <w:sz w:val="22"/>
          <w:szCs w:val="22"/>
        </w:rPr>
        <w:t>CenterPoint Energy</w:t>
      </w:r>
      <w:r w:rsidR="00E1055E" w:rsidRPr="00DE1A51">
        <w:rPr>
          <w:rFonts w:eastAsia="Calibri"/>
          <w:sz w:val="22"/>
          <w:szCs w:val="22"/>
        </w:rPr>
        <w:t xml:space="preserve"> comments: CenterPoint Energy supports Proposal 1.  The current process ERCOT uses for determining HIOs is not </w:t>
      </w:r>
      <w:r w:rsidR="000E54C5">
        <w:rPr>
          <w:rFonts w:eastAsia="Calibri"/>
          <w:sz w:val="22"/>
          <w:szCs w:val="22"/>
        </w:rPr>
        <w:t>transparent</w:t>
      </w:r>
      <w:r w:rsidR="00E1055E" w:rsidRPr="00DE1A51">
        <w:rPr>
          <w:rFonts w:eastAsia="Calibri"/>
          <w:sz w:val="22"/>
          <w:szCs w:val="22"/>
        </w:rPr>
        <w:t>, nor is a list of HIOs available for any market participant to review.</w:t>
      </w:r>
      <w:r w:rsidR="00723698" w:rsidRPr="00DE1A51">
        <w:rPr>
          <w:rFonts w:eastAsia="Calibri"/>
          <w:sz w:val="22"/>
          <w:szCs w:val="22"/>
        </w:rPr>
        <w:t xml:space="preserve">  Likewise, the rate of success of ERCOT in predicting HIOs </w:t>
      </w:r>
      <w:r w:rsidR="000E54C5">
        <w:rPr>
          <w:rFonts w:eastAsia="Calibri"/>
          <w:sz w:val="22"/>
          <w:szCs w:val="22"/>
        </w:rPr>
        <w:t>using their</w:t>
      </w:r>
      <w:r w:rsidR="00723698" w:rsidRPr="00DE1A51">
        <w:rPr>
          <w:rFonts w:eastAsia="Calibri"/>
          <w:sz w:val="22"/>
          <w:szCs w:val="22"/>
        </w:rPr>
        <w:t xml:space="preserve"> current process </w:t>
      </w:r>
      <w:r w:rsidR="00DE1A51">
        <w:rPr>
          <w:rFonts w:eastAsia="Calibri"/>
          <w:sz w:val="22"/>
          <w:szCs w:val="22"/>
        </w:rPr>
        <w:t xml:space="preserve">was shown in 2014 to have been </w:t>
      </w:r>
      <w:r w:rsidR="000E54C5">
        <w:rPr>
          <w:rFonts w:eastAsia="Calibri"/>
          <w:sz w:val="22"/>
          <w:szCs w:val="22"/>
        </w:rPr>
        <w:t>less than desirable</w:t>
      </w:r>
      <w:r w:rsidR="00723698" w:rsidRPr="00DE1A51">
        <w:rPr>
          <w:rFonts w:eastAsia="Calibri"/>
          <w:sz w:val="22"/>
          <w:szCs w:val="22"/>
        </w:rPr>
        <w:t>.  All of these reasons demonstrate the need for improving the identification of HIOs.</w:t>
      </w:r>
      <w:r w:rsidR="00DE1A51">
        <w:rPr>
          <w:rFonts w:eastAsia="Calibri"/>
          <w:sz w:val="22"/>
          <w:szCs w:val="22"/>
        </w:rPr>
        <w:t xml:space="preserve">  Significant work still has to be done, by an as yet to be identified working group, to establish the criteria for identifying HIOs.</w:t>
      </w:r>
    </w:p>
    <w:p w:rsidR="001575D8" w:rsidRDefault="001575D8" w:rsidP="00E77909">
      <w:pPr>
        <w:spacing w:after="0" w:line="240" w:lineRule="auto"/>
        <w:rPr>
          <w:rFonts w:eastAsia="Calibri"/>
          <w:b/>
          <w:sz w:val="22"/>
          <w:szCs w:val="22"/>
        </w:rPr>
      </w:pPr>
    </w:p>
    <w:p w:rsidR="00E1055E" w:rsidRDefault="00E1055E" w:rsidP="00E1055E">
      <w:pPr>
        <w:spacing w:after="0"/>
      </w:pPr>
      <w:r w:rsidRPr="00D03C6E">
        <w:rPr>
          <w:rFonts w:eastAsia="Calibri"/>
          <w:b/>
          <w:sz w:val="22"/>
          <w:szCs w:val="22"/>
        </w:rPr>
        <w:t>Proposal 2)</w:t>
      </w:r>
      <w:r w:rsidRPr="00A73887">
        <w:rPr>
          <w:rFonts w:eastAsia="Calibri"/>
          <w:sz w:val="22"/>
          <w:szCs w:val="22"/>
        </w:rPr>
        <w:t xml:space="preserve"> – </w:t>
      </w:r>
      <w:r w:rsidRPr="00E77909">
        <w:rPr>
          <w:sz w:val="22"/>
          <w:szCs w:val="22"/>
        </w:rPr>
        <w:t>Providing Advanced Feedback for Planned Transmission Outages</w:t>
      </w:r>
    </w:p>
    <w:p w:rsidR="00E1055E" w:rsidRPr="006C4DAF" w:rsidRDefault="00E1055E" w:rsidP="00E1055E">
      <w:pPr>
        <w:numPr>
          <w:ilvl w:val="1"/>
          <w:numId w:val="1"/>
        </w:numPr>
        <w:spacing w:before="0" w:line="240" w:lineRule="auto"/>
        <w:contextualSpacing/>
        <w:rPr>
          <w:rFonts w:eastAsia="Calibri"/>
          <w:sz w:val="22"/>
          <w:szCs w:val="22"/>
        </w:rPr>
      </w:pPr>
      <w:r w:rsidRPr="006C4DAF">
        <w:rPr>
          <w:rFonts w:eastAsia="Calibri"/>
          <w:sz w:val="22"/>
          <w:szCs w:val="22"/>
        </w:rPr>
        <w:t>Option A</w:t>
      </w:r>
    </w:p>
    <w:p w:rsidR="00E1055E" w:rsidRDefault="00E1055E" w:rsidP="00E1055E">
      <w:pPr>
        <w:numPr>
          <w:ilvl w:val="1"/>
          <w:numId w:val="1"/>
        </w:numPr>
        <w:spacing w:before="0" w:line="240" w:lineRule="auto"/>
        <w:contextualSpacing/>
        <w:rPr>
          <w:rFonts w:eastAsia="Calibri"/>
          <w:sz w:val="22"/>
          <w:szCs w:val="22"/>
        </w:rPr>
      </w:pPr>
      <w:r w:rsidRPr="006C4DAF">
        <w:rPr>
          <w:rFonts w:eastAsia="Calibri"/>
          <w:sz w:val="22"/>
          <w:szCs w:val="22"/>
        </w:rPr>
        <w:t>Option B</w:t>
      </w:r>
    </w:p>
    <w:p w:rsidR="001575D8" w:rsidRDefault="001575D8" w:rsidP="00723698">
      <w:pPr>
        <w:spacing w:before="0" w:line="240" w:lineRule="auto"/>
        <w:contextualSpacing/>
        <w:rPr>
          <w:rFonts w:eastAsia="Calibri"/>
          <w:color w:val="FF0000"/>
          <w:sz w:val="22"/>
          <w:szCs w:val="22"/>
        </w:rPr>
      </w:pPr>
    </w:p>
    <w:p w:rsidR="006F2770" w:rsidRPr="00E77909" w:rsidRDefault="00723698" w:rsidP="00723698">
      <w:pPr>
        <w:spacing w:before="0" w:line="240" w:lineRule="auto"/>
        <w:contextualSpacing/>
        <w:rPr>
          <w:rFonts w:eastAsia="Calibri"/>
          <w:sz w:val="22"/>
          <w:szCs w:val="22"/>
        </w:rPr>
      </w:pPr>
      <w:r w:rsidRPr="00E77909">
        <w:rPr>
          <w:rFonts w:eastAsia="Calibri"/>
          <w:sz w:val="22"/>
          <w:szCs w:val="22"/>
        </w:rPr>
        <w:t>C</w:t>
      </w:r>
      <w:r w:rsidR="003F4A28">
        <w:rPr>
          <w:rFonts w:eastAsia="Calibri"/>
          <w:sz w:val="22"/>
          <w:szCs w:val="22"/>
        </w:rPr>
        <w:t>enterPoint Energy</w:t>
      </w:r>
      <w:r w:rsidRPr="00E77909">
        <w:rPr>
          <w:rFonts w:eastAsia="Calibri"/>
          <w:sz w:val="22"/>
          <w:szCs w:val="22"/>
        </w:rPr>
        <w:t xml:space="preserve"> comments:  Of the two choices, Option A is likely the better choice</w:t>
      </w:r>
      <w:r w:rsidR="006F2770" w:rsidRPr="00E77909">
        <w:rPr>
          <w:rFonts w:eastAsia="Calibri"/>
          <w:sz w:val="22"/>
          <w:szCs w:val="22"/>
        </w:rPr>
        <w:t xml:space="preserve">.  However, without protection of planned transmission outages from generation outages within the 90 </w:t>
      </w:r>
      <w:r w:rsidR="000E54C5">
        <w:rPr>
          <w:rFonts w:eastAsia="Calibri"/>
          <w:sz w:val="22"/>
          <w:szCs w:val="22"/>
        </w:rPr>
        <w:t xml:space="preserve">day </w:t>
      </w:r>
      <w:r w:rsidR="006F2770" w:rsidRPr="00E77909">
        <w:rPr>
          <w:rFonts w:eastAsia="Calibri"/>
          <w:sz w:val="22"/>
          <w:szCs w:val="22"/>
        </w:rPr>
        <w:t xml:space="preserve">window (Proposal 4) and better documentation of original submittal dates (Proposal 5), it is CenterPoint Energy’s view that Proposal 2 will do little to improve some of the issues related to outages </w:t>
      </w:r>
      <w:r w:rsidR="000E54C5">
        <w:rPr>
          <w:rFonts w:eastAsia="Calibri"/>
          <w:sz w:val="22"/>
          <w:szCs w:val="22"/>
        </w:rPr>
        <w:t>that are</w:t>
      </w:r>
      <w:r w:rsidR="000E54C5" w:rsidRPr="00E77909">
        <w:rPr>
          <w:rFonts w:eastAsia="Calibri"/>
          <w:sz w:val="22"/>
          <w:szCs w:val="22"/>
        </w:rPr>
        <w:t xml:space="preserve"> </w:t>
      </w:r>
      <w:r w:rsidR="006F2770" w:rsidRPr="00E77909">
        <w:rPr>
          <w:rFonts w:eastAsia="Calibri"/>
          <w:sz w:val="22"/>
          <w:szCs w:val="22"/>
        </w:rPr>
        <w:t>submitted less than 90 days in advance.</w:t>
      </w:r>
      <w:r w:rsidR="00E77909">
        <w:rPr>
          <w:rFonts w:eastAsia="Calibri"/>
          <w:sz w:val="22"/>
          <w:szCs w:val="22"/>
        </w:rPr>
        <w:t xml:space="preserve">  </w:t>
      </w:r>
      <w:r w:rsidR="00E77909" w:rsidRPr="00E77909">
        <w:rPr>
          <w:rFonts w:eastAsia="Calibri"/>
          <w:sz w:val="22"/>
          <w:szCs w:val="22"/>
        </w:rPr>
        <w:t>CenterPoint Energy</w:t>
      </w:r>
      <w:r w:rsidR="00E77909">
        <w:rPr>
          <w:rFonts w:eastAsia="Calibri"/>
          <w:sz w:val="22"/>
          <w:szCs w:val="22"/>
        </w:rPr>
        <w:t xml:space="preserve"> would recommend moving forward with Proposals 1, 4, and 5 in some order before pursuing Proposal 2.</w:t>
      </w:r>
    </w:p>
    <w:p w:rsidR="001575D8" w:rsidRDefault="001575D8" w:rsidP="00E1055E">
      <w:pPr>
        <w:spacing w:before="0" w:line="240" w:lineRule="auto"/>
        <w:contextualSpacing/>
        <w:rPr>
          <w:rFonts w:eastAsia="Calibri"/>
          <w:b/>
          <w:sz w:val="22"/>
          <w:szCs w:val="22"/>
        </w:rPr>
      </w:pPr>
    </w:p>
    <w:p w:rsidR="00E1055E" w:rsidRDefault="00E1055E" w:rsidP="00E1055E">
      <w:pPr>
        <w:spacing w:before="0" w:line="240" w:lineRule="auto"/>
        <w:contextualSpacing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lastRenderedPageBreak/>
        <w:t>Proposal</w:t>
      </w:r>
      <w:r w:rsidRPr="00A73887">
        <w:rPr>
          <w:rFonts w:eastAsia="Calibri"/>
          <w:b/>
          <w:sz w:val="22"/>
          <w:szCs w:val="22"/>
        </w:rPr>
        <w:t xml:space="preserve"> 3)</w:t>
      </w:r>
      <w:r w:rsidRPr="00A73887">
        <w:rPr>
          <w:rFonts w:eastAsia="Calibri"/>
          <w:sz w:val="22"/>
          <w:szCs w:val="22"/>
        </w:rPr>
        <w:t xml:space="preserve"> – Use of the High Impact Outage List as a screening tool in the &lt;90-day processes</w:t>
      </w:r>
    </w:p>
    <w:p w:rsidR="00E1055E" w:rsidRDefault="00E1055E" w:rsidP="00E1055E">
      <w:pPr>
        <w:numPr>
          <w:ilvl w:val="1"/>
          <w:numId w:val="1"/>
        </w:numPr>
        <w:spacing w:before="0" w:line="240" w:lineRule="auto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Option A</w:t>
      </w:r>
    </w:p>
    <w:p w:rsidR="00E1055E" w:rsidRDefault="00E1055E" w:rsidP="00E1055E">
      <w:pPr>
        <w:numPr>
          <w:ilvl w:val="1"/>
          <w:numId w:val="1"/>
        </w:numPr>
        <w:spacing w:before="0" w:line="240" w:lineRule="auto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Option B</w:t>
      </w:r>
    </w:p>
    <w:p w:rsidR="00E1055E" w:rsidRDefault="00E1055E" w:rsidP="00E1055E">
      <w:pPr>
        <w:numPr>
          <w:ilvl w:val="1"/>
          <w:numId w:val="1"/>
        </w:numPr>
        <w:spacing w:before="0" w:line="240" w:lineRule="auto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Option C</w:t>
      </w:r>
    </w:p>
    <w:p w:rsidR="00E1055E" w:rsidRDefault="00E1055E" w:rsidP="00E1055E">
      <w:pPr>
        <w:numPr>
          <w:ilvl w:val="1"/>
          <w:numId w:val="1"/>
        </w:numPr>
        <w:spacing w:before="0" w:line="240" w:lineRule="auto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Option D</w:t>
      </w:r>
    </w:p>
    <w:p w:rsidR="001575D8" w:rsidRDefault="001575D8" w:rsidP="00E1055E">
      <w:pPr>
        <w:spacing w:before="0" w:line="240" w:lineRule="auto"/>
        <w:contextualSpacing/>
        <w:rPr>
          <w:rFonts w:eastAsia="Calibri"/>
          <w:color w:val="FF0000"/>
          <w:sz w:val="22"/>
          <w:szCs w:val="22"/>
        </w:rPr>
      </w:pPr>
    </w:p>
    <w:p w:rsidR="00E1055E" w:rsidRPr="00E77909" w:rsidRDefault="003F4A28" w:rsidP="00E1055E">
      <w:pPr>
        <w:spacing w:before="0" w:line="240" w:lineRule="auto"/>
        <w:contextualSpacing/>
        <w:rPr>
          <w:rFonts w:eastAsia="Calibri"/>
          <w:sz w:val="22"/>
          <w:szCs w:val="22"/>
        </w:rPr>
      </w:pPr>
      <w:r w:rsidRPr="003F4A28">
        <w:rPr>
          <w:rFonts w:eastAsia="Calibri"/>
          <w:sz w:val="22"/>
          <w:szCs w:val="22"/>
        </w:rPr>
        <w:t>CenterPoint Energy</w:t>
      </w:r>
      <w:r w:rsidR="006F2770" w:rsidRPr="00E77909">
        <w:rPr>
          <w:rFonts w:eastAsia="Calibri"/>
          <w:sz w:val="22"/>
          <w:szCs w:val="22"/>
        </w:rPr>
        <w:t xml:space="preserve"> comments:  CenterPoint Energy recommends </w:t>
      </w:r>
      <w:r w:rsidR="00DE53E8">
        <w:rPr>
          <w:rFonts w:eastAsia="Calibri"/>
          <w:sz w:val="22"/>
          <w:szCs w:val="22"/>
        </w:rPr>
        <w:t xml:space="preserve">either </w:t>
      </w:r>
      <w:r w:rsidR="006F2770" w:rsidRPr="00E77909">
        <w:rPr>
          <w:rFonts w:eastAsia="Calibri"/>
          <w:sz w:val="22"/>
          <w:szCs w:val="22"/>
        </w:rPr>
        <w:t xml:space="preserve">Option A </w:t>
      </w:r>
      <w:r w:rsidR="00DE53E8">
        <w:rPr>
          <w:rFonts w:eastAsia="Calibri"/>
          <w:sz w:val="22"/>
          <w:szCs w:val="22"/>
        </w:rPr>
        <w:t xml:space="preserve">or B </w:t>
      </w:r>
      <w:r w:rsidR="006F2770" w:rsidRPr="00E77909">
        <w:rPr>
          <w:rFonts w:eastAsia="Calibri"/>
          <w:sz w:val="22"/>
          <w:szCs w:val="22"/>
        </w:rPr>
        <w:t>as a first step towards using the newly created HIO list (Proposal 1) to improve the length of time HIOs are scheduled.</w:t>
      </w:r>
      <w:r w:rsidR="00857E04" w:rsidRPr="00E77909">
        <w:rPr>
          <w:rFonts w:eastAsia="Calibri"/>
          <w:sz w:val="22"/>
          <w:szCs w:val="22"/>
        </w:rPr>
        <w:t xml:space="preserve">  </w:t>
      </w:r>
      <w:r w:rsidR="00032978" w:rsidRPr="00E77909">
        <w:rPr>
          <w:rFonts w:eastAsia="Calibri"/>
          <w:sz w:val="22"/>
          <w:szCs w:val="22"/>
        </w:rPr>
        <w:t xml:space="preserve">CenterPoint Energy is opposed to Options C and D as they could </w:t>
      </w:r>
      <w:r w:rsidR="00811080">
        <w:rPr>
          <w:rFonts w:eastAsia="Calibri"/>
          <w:sz w:val="22"/>
          <w:szCs w:val="22"/>
        </w:rPr>
        <w:t xml:space="preserve">reject </w:t>
      </w:r>
      <w:r w:rsidR="00032978" w:rsidRPr="00E77909">
        <w:rPr>
          <w:rFonts w:eastAsia="Calibri"/>
          <w:sz w:val="22"/>
          <w:szCs w:val="22"/>
        </w:rPr>
        <w:t xml:space="preserve">outages needed </w:t>
      </w:r>
      <w:r w:rsidR="00811080">
        <w:rPr>
          <w:rFonts w:eastAsia="Calibri"/>
          <w:sz w:val="22"/>
          <w:szCs w:val="22"/>
        </w:rPr>
        <w:t>for necessary</w:t>
      </w:r>
      <w:r w:rsidR="00811080" w:rsidRPr="00E77909">
        <w:rPr>
          <w:rFonts w:eastAsia="Calibri"/>
          <w:sz w:val="22"/>
          <w:szCs w:val="22"/>
        </w:rPr>
        <w:t xml:space="preserve"> </w:t>
      </w:r>
      <w:r w:rsidR="00032978" w:rsidRPr="00E77909">
        <w:rPr>
          <w:rFonts w:eastAsia="Calibri"/>
          <w:sz w:val="22"/>
          <w:szCs w:val="22"/>
        </w:rPr>
        <w:t>upgrade</w:t>
      </w:r>
      <w:r w:rsidR="00811080">
        <w:rPr>
          <w:rFonts w:eastAsia="Calibri"/>
          <w:sz w:val="22"/>
          <w:szCs w:val="22"/>
        </w:rPr>
        <w:t>s to</w:t>
      </w:r>
      <w:r w:rsidR="00032978" w:rsidRPr="00E77909">
        <w:rPr>
          <w:rFonts w:eastAsia="Calibri"/>
          <w:sz w:val="22"/>
          <w:szCs w:val="22"/>
        </w:rPr>
        <w:t xml:space="preserve"> the transmission system.  There are </w:t>
      </w:r>
      <w:r w:rsidR="00811080">
        <w:rPr>
          <w:rFonts w:eastAsia="Calibri"/>
          <w:sz w:val="22"/>
          <w:szCs w:val="22"/>
        </w:rPr>
        <w:t>legitimate</w:t>
      </w:r>
      <w:r w:rsidR="00811080" w:rsidRPr="00E77909">
        <w:rPr>
          <w:rFonts w:eastAsia="Calibri"/>
          <w:sz w:val="22"/>
          <w:szCs w:val="22"/>
        </w:rPr>
        <w:t xml:space="preserve"> </w:t>
      </w:r>
      <w:r w:rsidR="00032978" w:rsidRPr="00E77909">
        <w:rPr>
          <w:rFonts w:eastAsia="Calibri"/>
          <w:sz w:val="22"/>
          <w:szCs w:val="22"/>
        </w:rPr>
        <w:t xml:space="preserve">reasons why a planned outage </w:t>
      </w:r>
      <w:r w:rsidR="00811080">
        <w:rPr>
          <w:rFonts w:eastAsia="Calibri"/>
          <w:sz w:val="22"/>
          <w:szCs w:val="22"/>
        </w:rPr>
        <w:t>may be</w:t>
      </w:r>
      <w:r w:rsidR="00811080" w:rsidRPr="00E77909">
        <w:rPr>
          <w:rFonts w:eastAsia="Calibri"/>
          <w:sz w:val="22"/>
          <w:szCs w:val="22"/>
        </w:rPr>
        <w:t xml:space="preserve"> </w:t>
      </w:r>
      <w:r w:rsidR="00032978" w:rsidRPr="00E77909">
        <w:rPr>
          <w:rFonts w:eastAsia="Calibri"/>
          <w:sz w:val="22"/>
          <w:szCs w:val="22"/>
        </w:rPr>
        <w:t>submitted within the 90 day window; for example, revisions in a construction plan or finalization of the construction schedule of a complex, multi-facility project.  Implementation of Options C or D could result in rejection of a needed outage</w:t>
      </w:r>
      <w:r w:rsidR="004E739B" w:rsidRPr="00E77909">
        <w:rPr>
          <w:rFonts w:eastAsia="Calibri"/>
          <w:sz w:val="22"/>
          <w:szCs w:val="22"/>
        </w:rPr>
        <w:t>, likely for a reliability upgrade,</w:t>
      </w:r>
      <w:r w:rsidR="00032978" w:rsidRPr="00E77909">
        <w:rPr>
          <w:rFonts w:eastAsia="Calibri"/>
          <w:sz w:val="22"/>
          <w:szCs w:val="22"/>
        </w:rPr>
        <w:t xml:space="preserve"> for a non-reliability reason.</w:t>
      </w:r>
      <w:r w:rsidR="004E739B" w:rsidRPr="00E77909">
        <w:rPr>
          <w:rFonts w:eastAsia="Calibri"/>
          <w:sz w:val="22"/>
          <w:szCs w:val="22"/>
        </w:rPr>
        <w:t xml:space="preserve">  </w:t>
      </w:r>
    </w:p>
    <w:p w:rsidR="001575D8" w:rsidRDefault="001575D8" w:rsidP="00E1055E">
      <w:pPr>
        <w:spacing w:line="240" w:lineRule="auto"/>
        <w:contextualSpacing/>
        <w:rPr>
          <w:rFonts w:eastAsia="Calibri"/>
          <w:b/>
          <w:sz w:val="22"/>
          <w:szCs w:val="22"/>
        </w:rPr>
      </w:pPr>
    </w:p>
    <w:p w:rsidR="00E1055E" w:rsidRDefault="00E1055E" w:rsidP="00E1055E">
      <w:pPr>
        <w:spacing w:line="240" w:lineRule="auto"/>
        <w:contextualSpacing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Proposal</w:t>
      </w:r>
      <w:r w:rsidRPr="00A73887">
        <w:rPr>
          <w:rFonts w:eastAsia="Calibri"/>
          <w:b/>
          <w:sz w:val="22"/>
          <w:szCs w:val="22"/>
        </w:rPr>
        <w:t xml:space="preserve"> 4)</w:t>
      </w:r>
      <w:r>
        <w:rPr>
          <w:rFonts w:eastAsia="Calibri"/>
          <w:sz w:val="22"/>
          <w:szCs w:val="22"/>
        </w:rPr>
        <w:t xml:space="preserve"> – </w:t>
      </w:r>
      <w:r w:rsidRPr="00A73887">
        <w:rPr>
          <w:rFonts w:eastAsia="Calibri"/>
          <w:sz w:val="22"/>
          <w:szCs w:val="22"/>
        </w:rPr>
        <w:t>Protection of Planned Outages (or subset of HIOs) submitted with more than 90-days’ notice</w:t>
      </w:r>
    </w:p>
    <w:p w:rsidR="00E1055E" w:rsidRDefault="00E1055E" w:rsidP="00E1055E">
      <w:pPr>
        <w:numPr>
          <w:ilvl w:val="1"/>
          <w:numId w:val="2"/>
        </w:numPr>
        <w:spacing w:before="0" w:line="240" w:lineRule="auto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Option A</w:t>
      </w:r>
    </w:p>
    <w:p w:rsidR="00E1055E" w:rsidRDefault="00E1055E" w:rsidP="00E1055E">
      <w:pPr>
        <w:numPr>
          <w:ilvl w:val="1"/>
          <w:numId w:val="2"/>
        </w:numPr>
        <w:spacing w:before="0" w:line="240" w:lineRule="auto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Option B</w:t>
      </w:r>
    </w:p>
    <w:p w:rsidR="001575D8" w:rsidRDefault="001575D8" w:rsidP="00E1055E">
      <w:pPr>
        <w:spacing w:line="240" w:lineRule="auto"/>
        <w:contextualSpacing/>
        <w:rPr>
          <w:rFonts w:eastAsia="Calibri"/>
          <w:color w:val="FF0000"/>
          <w:sz w:val="22"/>
          <w:szCs w:val="22"/>
        </w:rPr>
      </w:pPr>
    </w:p>
    <w:p w:rsidR="00E1055E" w:rsidRDefault="003F4A28" w:rsidP="00E1055E">
      <w:pPr>
        <w:spacing w:line="240" w:lineRule="auto"/>
        <w:contextualSpacing/>
        <w:rPr>
          <w:rFonts w:eastAsia="Calibri"/>
          <w:sz w:val="22"/>
          <w:szCs w:val="22"/>
        </w:rPr>
      </w:pPr>
      <w:r w:rsidRPr="003F4A28">
        <w:rPr>
          <w:rFonts w:eastAsia="Calibri"/>
          <w:sz w:val="22"/>
          <w:szCs w:val="22"/>
        </w:rPr>
        <w:t>CenterPoint Energy</w:t>
      </w:r>
      <w:r w:rsidR="004E739B" w:rsidRPr="00E64B8B">
        <w:rPr>
          <w:rFonts w:eastAsia="Calibri"/>
          <w:sz w:val="22"/>
          <w:szCs w:val="22"/>
        </w:rPr>
        <w:t xml:space="preserve"> comments: CenterPoint Energy recommends implementing either Option A or Option B of Proposal 4.  Securing and protecting a</w:t>
      </w:r>
      <w:r w:rsidR="00811080">
        <w:rPr>
          <w:rFonts w:eastAsia="Calibri"/>
          <w:sz w:val="22"/>
          <w:szCs w:val="22"/>
        </w:rPr>
        <w:t>n approved</w:t>
      </w:r>
      <w:r w:rsidR="004E739B" w:rsidRPr="00E64B8B">
        <w:rPr>
          <w:rFonts w:eastAsia="Calibri"/>
          <w:sz w:val="22"/>
          <w:szCs w:val="22"/>
        </w:rPr>
        <w:t xml:space="preserve"> TSP Planned Outage from being bumped by a generator outage </w:t>
      </w:r>
      <w:r w:rsidR="00E64B8B">
        <w:rPr>
          <w:rFonts w:eastAsia="Calibri"/>
          <w:sz w:val="22"/>
          <w:szCs w:val="22"/>
        </w:rPr>
        <w:t>submitted within the 90 day window</w:t>
      </w:r>
      <w:r w:rsidR="004E739B" w:rsidRPr="00E64B8B">
        <w:rPr>
          <w:rFonts w:eastAsia="Calibri"/>
          <w:sz w:val="22"/>
          <w:szCs w:val="22"/>
        </w:rPr>
        <w:t xml:space="preserve"> would be the most important improvement identified by the OCITF.  This is one of the reasons why </w:t>
      </w:r>
      <w:r w:rsidR="00811080">
        <w:rPr>
          <w:rFonts w:eastAsia="Calibri"/>
          <w:sz w:val="22"/>
          <w:szCs w:val="22"/>
        </w:rPr>
        <w:t xml:space="preserve">so many </w:t>
      </w:r>
      <w:r w:rsidR="00E64B8B">
        <w:rPr>
          <w:rFonts w:eastAsia="Calibri"/>
          <w:sz w:val="22"/>
          <w:szCs w:val="22"/>
        </w:rPr>
        <w:t xml:space="preserve">TSP </w:t>
      </w:r>
      <w:r w:rsidR="004E739B" w:rsidRPr="00E64B8B">
        <w:rPr>
          <w:rFonts w:eastAsia="Calibri"/>
          <w:sz w:val="22"/>
          <w:szCs w:val="22"/>
        </w:rPr>
        <w:t>planned outages have to be moved around</w:t>
      </w:r>
      <w:r w:rsidR="001575D8" w:rsidRPr="00E64B8B">
        <w:rPr>
          <w:rFonts w:eastAsia="Calibri"/>
          <w:sz w:val="22"/>
          <w:szCs w:val="22"/>
        </w:rPr>
        <w:t xml:space="preserve"> with little notice.</w:t>
      </w:r>
    </w:p>
    <w:p w:rsidR="001575D8" w:rsidRDefault="001575D8" w:rsidP="00E1055E">
      <w:pPr>
        <w:rPr>
          <w:rFonts w:eastAsia="Calibri"/>
          <w:b/>
          <w:sz w:val="22"/>
          <w:szCs w:val="22"/>
        </w:rPr>
      </w:pPr>
    </w:p>
    <w:p w:rsidR="00467BE9" w:rsidRDefault="00E1055E" w:rsidP="00E1055E">
      <w:pPr>
        <w:rPr>
          <w:sz w:val="22"/>
        </w:rPr>
      </w:pPr>
      <w:r>
        <w:rPr>
          <w:rFonts w:eastAsia="Calibri"/>
          <w:b/>
          <w:sz w:val="22"/>
          <w:szCs w:val="22"/>
        </w:rPr>
        <w:t xml:space="preserve">Proposal 5) </w:t>
      </w:r>
      <w:r>
        <w:rPr>
          <w:rFonts w:eastAsia="Calibri"/>
          <w:sz w:val="22"/>
          <w:szCs w:val="22"/>
        </w:rPr>
        <w:t xml:space="preserve">– </w:t>
      </w:r>
      <w:r>
        <w:rPr>
          <w:sz w:val="22"/>
        </w:rPr>
        <w:t>Introduction of Rescheduled Outage Type</w:t>
      </w:r>
    </w:p>
    <w:p w:rsidR="001575D8" w:rsidRDefault="003F4A28" w:rsidP="00E1055E">
      <w:r w:rsidRPr="003F4A28">
        <w:rPr>
          <w:rFonts w:eastAsia="Calibri"/>
          <w:sz w:val="22"/>
          <w:szCs w:val="22"/>
        </w:rPr>
        <w:t>CenterPoint Energy</w:t>
      </w:r>
      <w:r w:rsidR="001575D8" w:rsidRPr="00E64B8B">
        <w:rPr>
          <w:rFonts w:eastAsia="Calibri"/>
          <w:sz w:val="22"/>
          <w:szCs w:val="22"/>
        </w:rPr>
        <w:t xml:space="preserve"> comments:  CenterPoint Energy recommends implementing Proposal 5.  Currently the ERCOT Outage Scheduler requires TSPs to </w:t>
      </w:r>
      <w:r w:rsidR="00811080">
        <w:rPr>
          <w:rFonts w:eastAsia="Calibri"/>
          <w:sz w:val="22"/>
          <w:szCs w:val="22"/>
        </w:rPr>
        <w:t>cancel</w:t>
      </w:r>
      <w:r w:rsidR="00811080" w:rsidRPr="00E64B8B">
        <w:rPr>
          <w:rFonts w:eastAsia="Calibri"/>
          <w:sz w:val="22"/>
          <w:szCs w:val="22"/>
        </w:rPr>
        <w:t xml:space="preserve"> </w:t>
      </w:r>
      <w:r w:rsidR="001575D8" w:rsidRPr="00E64B8B">
        <w:rPr>
          <w:rFonts w:eastAsia="Calibri"/>
          <w:sz w:val="22"/>
          <w:szCs w:val="22"/>
        </w:rPr>
        <w:t xml:space="preserve">a planned outage and </w:t>
      </w:r>
      <w:r w:rsidR="00811080">
        <w:rPr>
          <w:rFonts w:eastAsia="Calibri"/>
          <w:sz w:val="22"/>
          <w:szCs w:val="22"/>
        </w:rPr>
        <w:t>request</w:t>
      </w:r>
      <w:r w:rsidR="00811080" w:rsidRPr="00E64B8B">
        <w:rPr>
          <w:rFonts w:eastAsia="Calibri"/>
          <w:sz w:val="22"/>
          <w:szCs w:val="22"/>
        </w:rPr>
        <w:t xml:space="preserve"> </w:t>
      </w:r>
      <w:r w:rsidR="001575D8" w:rsidRPr="00E64B8B">
        <w:rPr>
          <w:rFonts w:eastAsia="Calibri"/>
          <w:sz w:val="22"/>
          <w:szCs w:val="22"/>
        </w:rPr>
        <w:t xml:space="preserve">a new one, but this </w:t>
      </w:r>
      <w:r w:rsidR="00811080">
        <w:rPr>
          <w:rFonts w:eastAsia="Calibri"/>
          <w:sz w:val="22"/>
          <w:szCs w:val="22"/>
        </w:rPr>
        <w:t>new request</w:t>
      </w:r>
      <w:r w:rsidR="00811080" w:rsidRPr="00E64B8B">
        <w:rPr>
          <w:rFonts w:eastAsia="Calibri"/>
          <w:sz w:val="22"/>
          <w:szCs w:val="22"/>
        </w:rPr>
        <w:t xml:space="preserve"> </w:t>
      </w:r>
      <w:r w:rsidR="001575D8" w:rsidRPr="00E64B8B">
        <w:rPr>
          <w:rFonts w:eastAsia="Calibri"/>
          <w:sz w:val="22"/>
          <w:szCs w:val="22"/>
        </w:rPr>
        <w:t>does not retain the original submittal</w:t>
      </w:r>
      <w:r w:rsidR="00811080">
        <w:rPr>
          <w:rFonts w:eastAsia="Calibri"/>
          <w:sz w:val="22"/>
          <w:szCs w:val="22"/>
        </w:rPr>
        <w:t xml:space="preserve"> date</w:t>
      </w:r>
      <w:r w:rsidR="001575D8" w:rsidRPr="00E64B8B">
        <w:rPr>
          <w:rFonts w:eastAsia="Calibri"/>
          <w:sz w:val="22"/>
          <w:szCs w:val="22"/>
        </w:rPr>
        <w:t xml:space="preserve">.  This is one of the primary reasons why the metrics for TSP planned outages show a poor number of outages scheduled more than 90 days in advance.  The planned outage was submitted </w:t>
      </w:r>
      <w:r w:rsidR="00E64B8B">
        <w:rPr>
          <w:rFonts w:eastAsia="Calibri"/>
          <w:sz w:val="22"/>
          <w:szCs w:val="22"/>
        </w:rPr>
        <w:t>more than</w:t>
      </w:r>
      <w:r w:rsidR="001575D8" w:rsidRPr="00E64B8B">
        <w:rPr>
          <w:rFonts w:eastAsia="Calibri"/>
          <w:sz w:val="22"/>
          <w:szCs w:val="22"/>
        </w:rPr>
        <w:t xml:space="preserve"> 90 days</w:t>
      </w:r>
      <w:r w:rsidR="00E64B8B">
        <w:rPr>
          <w:rFonts w:eastAsia="Calibri"/>
          <w:sz w:val="22"/>
          <w:szCs w:val="22"/>
        </w:rPr>
        <w:t xml:space="preserve"> out</w:t>
      </w:r>
      <w:r w:rsidR="001575D8" w:rsidRPr="00E64B8B">
        <w:rPr>
          <w:rFonts w:eastAsia="Calibri"/>
          <w:sz w:val="22"/>
          <w:szCs w:val="22"/>
        </w:rPr>
        <w:t xml:space="preserve">, but any movement of that outage loses this information.  Proposal 5 attempts to remedy that situation and reclassify the outage when it has to be moved, yet retains the original submittal date. </w:t>
      </w:r>
      <w:r w:rsidR="001575D8">
        <w:rPr>
          <w:rFonts w:eastAsia="Calibri"/>
          <w:color w:val="FF0000"/>
          <w:sz w:val="22"/>
          <w:szCs w:val="22"/>
        </w:rPr>
        <w:t xml:space="preserve"> </w:t>
      </w:r>
    </w:p>
    <w:sectPr w:rsidR="001575D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815" w:rsidRDefault="00796815" w:rsidP="00291F12">
      <w:pPr>
        <w:spacing w:before="0" w:after="0" w:line="240" w:lineRule="auto"/>
      </w:pPr>
      <w:r>
        <w:separator/>
      </w:r>
    </w:p>
  </w:endnote>
  <w:endnote w:type="continuationSeparator" w:id="0">
    <w:p w:rsidR="00796815" w:rsidRDefault="00796815" w:rsidP="00291F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F12" w:rsidRDefault="00291F12" w:rsidP="00291F12">
    <w:pPr>
      <w:pStyle w:val="Footer"/>
      <w:rPr>
        <w:rFonts w:ascii="Arial" w:hAnsi="Arial"/>
        <w:sz w:val="18"/>
      </w:rPr>
    </w:pPr>
    <w:r>
      <w:rPr>
        <w:rFonts w:ascii="Arial" w:hAnsi="Arial"/>
        <w:sz w:val="18"/>
      </w:rPr>
      <w:t>CenterPoint Energy OCITF Whitepaper Comments 08</w:t>
    </w:r>
    <w:r w:rsidR="00902A38">
      <w:rPr>
        <w:rFonts w:ascii="Arial" w:hAnsi="Arial"/>
        <w:sz w:val="18"/>
      </w:rPr>
      <w:t>28</w:t>
    </w:r>
    <w:r>
      <w:rPr>
        <w:rFonts w:ascii="Arial" w:hAnsi="Arial"/>
        <w:sz w:val="18"/>
      </w:rPr>
      <w:t>15</w:t>
    </w:r>
    <w:r>
      <w:rPr>
        <w:rFonts w:ascii="Arial" w:hAnsi="Arial"/>
        <w:sz w:val="18"/>
      </w:rPr>
      <w:tab/>
      <w:t xml:space="preserve">Page </w:t>
    </w:r>
    <w:r w:rsidRPr="00291F12">
      <w:rPr>
        <w:rFonts w:ascii="Arial" w:hAnsi="Arial"/>
        <w:sz w:val="18"/>
      </w:rPr>
      <w:fldChar w:fldCharType="begin"/>
    </w:r>
    <w:r w:rsidRPr="00291F12">
      <w:rPr>
        <w:rFonts w:ascii="Arial" w:hAnsi="Arial"/>
        <w:sz w:val="18"/>
      </w:rPr>
      <w:instrText xml:space="preserve"> PAGE   \* MERGEFORMAT </w:instrText>
    </w:r>
    <w:r w:rsidRPr="00291F12">
      <w:rPr>
        <w:rFonts w:ascii="Arial" w:hAnsi="Arial"/>
        <w:sz w:val="18"/>
      </w:rPr>
      <w:fldChar w:fldCharType="separate"/>
    </w:r>
    <w:r w:rsidR="00A208CB">
      <w:rPr>
        <w:rFonts w:ascii="Arial" w:hAnsi="Arial"/>
        <w:noProof/>
        <w:sz w:val="18"/>
      </w:rPr>
      <w:t>1</w:t>
    </w:r>
    <w:r w:rsidRPr="00291F12">
      <w:rPr>
        <w:rFonts w:ascii="Arial" w:hAnsi="Arial"/>
        <w:noProof/>
        <w:sz w:val="18"/>
      </w:rPr>
      <w:fldChar w:fldCharType="end"/>
    </w:r>
    <w:r>
      <w:rPr>
        <w:rFonts w:ascii="Arial" w:hAnsi="Arial"/>
        <w:noProof/>
        <w:sz w:val="18"/>
      </w:rPr>
      <w:t xml:space="preserve"> of 2</w:t>
    </w:r>
  </w:p>
  <w:p w:rsidR="00291F12" w:rsidRDefault="00291F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815" w:rsidRDefault="00796815" w:rsidP="00291F12">
      <w:pPr>
        <w:spacing w:before="0" w:after="0" w:line="240" w:lineRule="auto"/>
      </w:pPr>
      <w:r>
        <w:separator/>
      </w:r>
    </w:p>
  </w:footnote>
  <w:footnote w:type="continuationSeparator" w:id="0">
    <w:p w:rsidR="00796815" w:rsidRDefault="00796815" w:rsidP="00291F1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4531A"/>
    <w:multiLevelType w:val="hybridMultilevel"/>
    <w:tmpl w:val="C578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7630F"/>
    <w:multiLevelType w:val="hybridMultilevel"/>
    <w:tmpl w:val="16228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5E"/>
    <w:rsid w:val="00032978"/>
    <w:rsid w:val="000C3588"/>
    <w:rsid w:val="000D0529"/>
    <w:rsid w:val="000E54C5"/>
    <w:rsid w:val="001575D8"/>
    <w:rsid w:val="001A253F"/>
    <w:rsid w:val="001D6633"/>
    <w:rsid w:val="00291F12"/>
    <w:rsid w:val="003F4A28"/>
    <w:rsid w:val="00467BE9"/>
    <w:rsid w:val="004E739B"/>
    <w:rsid w:val="006F2770"/>
    <w:rsid w:val="007003A0"/>
    <w:rsid w:val="00723698"/>
    <w:rsid w:val="00796815"/>
    <w:rsid w:val="00811080"/>
    <w:rsid w:val="00857E04"/>
    <w:rsid w:val="00902A38"/>
    <w:rsid w:val="00A208CB"/>
    <w:rsid w:val="00B63BE2"/>
    <w:rsid w:val="00BE5E20"/>
    <w:rsid w:val="00DE1A51"/>
    <w:rsid w:val="00DE53E8"/>
    <w:rsid w:val="00E1055E"/>
    <w:rsid w:val="00E16BB2"/>
    <w:rsid w:val="00E64B8B"/>
    <w:rsid w:val="00E7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55E"/>
    <w:pPr>
      <w:spacing w:before="200"/>
    </w:pPr>
    <w:rPr>
      <w:rFonts w:ascii="Calibri" w:eastAsia="Times New Roman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53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53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1F1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F12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91F1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F12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55E"/>
    <w:pPr>
      <w:spacing w:before="200"/>
    </w:pPr>
    <w:rPr>
      <w:rFonts w:ascii="Calibri" w:eastAsia="Times New Roman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53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53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1F1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F12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91F1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F12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CenterPoint Energy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00023528</dc:creator>
  <cp:lastModifiedBy>00023528</cp:lastModifiedBy>
  <cp:revision>2</cp:revision>
  <cp:lastPrinted>2015-07-30T16:40:00Z</cp:lastPrinted>
  <dcterms:created xsi:type="dcterms:W3CDTF">2015-08-28T13:26:00Z</dcterms:created>
  <dcterms:modified xsi:type="dcterms:W3CDTF">2015-08-28T13:26:00Z</dcterms:modified>
</cp:coreProperties>
</file>