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77" w:rsidRDefault="00513FBF" w:rsidP="00B347EB">
      <w:pPr>
        <w:pStyle w:val="Title"/>
        <w:tabs>
          <w:tab w:val="left" w:pos="1863"/>
        </w:tabs>
      </w:pPr>
      <w:bookmarkStart w:id="0" w:name="_GoBack"/>
      <w:bookmarkEnd w:id="0"/>
      <w:r>
        <w:t xml:space="preserve">Panhandle </w:t>
      </w:r>
      <w:r w:rsidR="003C0840">
        <w:t>Transfer Capability Analysis Scope</w:t>
      </w:r>
      <w:r w:rsidR="00EF55C4">
        <w:t xml:space="preserve"> (Revised</w:t>
      </w:r>
      <w:r w:rsidR="004A29BE">
        <w:t>_2</w:t>
      </w:r>
      <w:r w:rsidR="00EF55C4">
        <w:t>)</w:t>
      </w:r>
      <w:r w:rsidR="003C0840">
        <w:t xml:space="preserve"> </w:t>
      </w:r>
      <w:r w:rsidR="007E3A88">
        <w:t xml:space="preserve"> </w:t>
      </w:r>
    </w:p>
    <w:p w:rsidR="00513FBF" w:rsidRPr="00A47A77" w:rsidRDefault="004D3716" w:rsidP="00A47A77">
      <w:pPr>
        <w:pStyle w:val="Titl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Prepared by ERCOT, </w:t>
      </w:r>
      <w:r w:rsidR="004A29BE">
        <w:rPr>
          <w:sz w:val="18"/>
          <w:szCs w:val="18"/>
        </w:rPr>
        <w:t>July</w:t>
      </w:r>
      <w:r w:rsidR="003C0840">
        <w:rPr>
          <w:sz w:val="18"/>
          <w:szCs w:val="18"/>
        </w:rPr>
        <w:t xml:space="preserve"> </w:t>
      </w:r>
      <w:r w:rsidR="004A29BE">
        <w:rPr>
          <w:sz w:val="18"/>
          <w:szCs w:val="18"/>
        </w:rPr>
        <w:t>17</w:t>
      </w:r>
      <w:r w:rsidR="003C0840">
        <w:rPr>
          <w:sz w:val="18"/>
          <w:szCs w:val="18"/>
        </w:rPr>
        <w:t>, 2015</w:t>
      </w:r>
      <w:r w:rsidR="00790788" w:rsidRPr="00A47A77">
        <w:rPr>
          <w:sz w:val="18"/>
          <w:szCs w:val="18"/>
        </w:rPr>
        <w:t xml:space="preserve"> </w:t>
      </w:r>
    </w:p>
    <w:p w:rsidR="00513FBF" w:rsidRDefault="003C0840" w:rsidP="00FC0C0F">
      <w:pPr>
        <w:pStyle w:val="Heading1"/>
        <w:numPr>
          <w:ilvl w:val="0"/>
          <w:numId w:val="6"/>
        </w:numPr>
        <w:ind w:left="360"/>
      </w:pPr>
      <w:r>
        <w:t>Background</w:t>
      </w:r>
    </w:p>
    <w:p w:rsidR="005B4C55" w:rsidRDefault="003C0840" w:rsidP="004D3716">
      <w:pPr>
        <w:jc w:val="both"/>
      </w:pPr>
      <w:r>
        <w:t xml:space="preserve">In response to the </w:t>
      </w:r>
      <w:r w:rsidR="00644888">
        <w:t xml:space="preserve">Public Utility </w:t>
      </w:r>
      <w:r>
        <w:t>Commission</w:t>
      </w:r>
      <w:r w:rsidR="00644888">
        <w:t xml:space="preserve"> of Texas</w:t>
      </w:r>
      <w:r>
        <w:t>’</w:t>
      </w:r>
      <w:r w:rsidR="00644888">
        <w:t xml:space="preserve"> (Commission)</w:t>
      </w:r>
      <w:r>
        <w:t xml:space="preserve"> </w:t>
      </w:r>
      <w:r w:rsidR="000C6C9A">
        <w:t xml:space="preserve">April 17, 2015 </w:t>
      </w:r>
      <w:r w:rsidR="00644888">
        <w:t xml:space="preserve">Open Meeting </w:t>
      </w:r>
      <w:r>
        <w:t>request</w:t>
      </w:r>
      <w:r w:rsidR="000C6C9A">
        <w:t>,</w:t>
      </w:r>
      <w:r>
        <w:t xml:space="preserve"> </w:t>
      </w:r>
      <w:r w:rsidR="004E4B84">
        <w:t>Electric Reliability Council of Texas, Inc. (</w:t>
      </w:r>
      <w:r>
        <w:t>ERCOT</w:t>
      </w:r>
      <w:r w:rsidR="004E4B84">
        <w:t>)</w:t>
      </w:r>
      <w:r>
        <w:t xml:space="preserve"> </w:t>
      </w:r>
      <w:r w:rsidR="000C6C9A">
        <w:t xml:space="preserve">will </w:t>
      </w:r>
      <w:r>
        <w:t xml:space="preserve">evaluate transmission solutions (including reactive equipment) to increase transfer capability in the </w:t>
      </w:r>
      <w:r w:rsidR="00644888">
        <w:t xml:space="preserve">Texas </w:t>
      </w:r>
      <w:r>
        <w:t>Panhandle</w:t>
      </w:r>
      <w:r w:rsidR="00644888">
        <w:t xml:space="preserve"> (Panhandle)</w:t>
      </w:r>
      <w:r>
        <w:t xml:space="preserve"> using the cost-effectiveness standard under the </w:t>
      </w:r>
      <w:r w:rsidR="004E4B84">
        <w:t>Competitive Renewable Energy Zones (</w:t>
      </w:r>
      <w:r>
        <w:t>CREZ</w:t>
      </w:r>
      <w:r w:rsidR="004E4B84">
        <w:t>)</w:t>
      </w:r>
      <w:r>
        <w:t xml:space="preserve"> </w:t>
      </w:r>
      <w:r w:rsidR="004E4B84">
        <w:t>O</w:t>
      </w:r>
      <w:r>
        <w:t>rder</w:t>
      </w:r>
      <w:r w:rsidR="00191B88">
        <w:t xml:space="preserve"> (Tri</w:t>
      </w:r>
      <w:r w:rsidR="004A29BE">
        <w:t>a</w:t>
      </w:r>
      <w:r w:rsidR="00191B88">
        <w:t>l 1)</w:t>
      </w:r>
      <w:r w:rsidR="0011532B">
        <w:t xml:space="preserve"> and the current </w:t>
      </w:r>
      <w:r w:rsidR="00EF3587">
        <w:t xml:space="preserve">reliability and economic </w:t>
      </w:r>
      <w:r w:rsidR="0011532B">
        <w:t>planning criteria</w:t>
      </w:r>
      <w:r w:rsidR="004E4B84">
        <w:t xml:space="preserve"> in ERCOT Protocol Section 3.11.2</w:t>
      </w:r>
      <w:r w:rsidR="00191B88">
        <w:t xml:space="preserve"> (Tri</w:t>
      </w:r>
      <w:r w:rsidR="004A29BE">
        <w:t>a</w:t>
      </w:r>
      <w:r w:rsidR="00191B88">
        <w:t>l 2)</w:t>
      </w:r>
      <w:r w:rsidR="00E96EAA">
        <w:t xml:space="preserve">. </w:t>
      </w:r>
      <w:r w:rsidR="00901AC1">
        <w:t>T</w:t>
      </w:r>
      <w:r w:rsidR="005C656F">
        <w:t>he study approaches, assumptions</w:t>
      </w:r>
      <w:r w:rsidR="00901AC1">
        <w:t>, and anticipated delivery for the Panhandle</w:t>
      </w:r>
      <w:r w:rsidR="005C656F">
        <w:t xml:space="preserve"> analysis </w:t>
      </w:r>
      <w:r w:rsidR="00901AC1">
        <w:t xml:space="preserve">are described </w:t>
      </w:r>
      <w:r w:rsidR="00644888">
        <w:t>below</w:t>
      </w:r>
      <w:r w:rsidR="00901AC1">
        <w:t xml:space="preserve">. </w:t>
      </w:r>
    </w:p>
    <w:p w:rsidR="00DE5EEF" w:rsidRDefault="005B4C55" w:rsidP="005B4C55">
      <w:pPr>
        <w:pStyle w:val="Heading1"/>
        <w:numPr>
          <w:ilvl w:val="0"/>
          <w:numId w:val="6"/>
        </w:numPr>
        <w:ind w:left="360"/>
      </w:pPr>
      <w:r>
        <w:t xml:space="preserve"> </w:t>
      </w:r>
      <w:r w:rsidR="00DE5EEF">
        <w:t xml:space="preserve">Study </w:t>
      </w:r>
      <w:r>
        <w:t>Approach</w:t>
      </w:r>
      <w:r w:rsidR="00E9517E">
        <w:t>es and Assumptions</w:t>
      </w:r>
    </w:p>
    <w:p w:rsidR="005F5053" w:rsidRDefault="00E9517E" w:rsidP="005F5053">
      <w:pPr>
        <w:pStyle w:val="Heading2"/>
      </w:pPr>
      <w:r>
        <w:t>2</w:t>
      </w:r>
      <w:r w:rsidR="005F5053">
        <w:t xml:space="preserve">.1 </w:t>
      </w:r>
      <w:r>
        <w:t>Panhandle Wind Generation Capacity</w:t>
      </w:r>
    </w:p>
    <w:p w:rsidR="00E9517E" w:rsidRDefault="00E9517E" w:rsidP="004D3716">
      <w:pPr>
        <w:jc w:val="both"/>
      </w:pPr>
      <w:r>
        <w:t xml:space="preserve">Based on the </w:t>
      </w:r>
      <w:r w:rsidR="00644888">
        <w:t xml:space="preserve">ERCOT </w:t>
      </w:r>
      <w:r>
        <w:t>comment filed on April 14, 2015</w:t>
      </w:r>
      <w:r w:rsidR="00644888" w:rsidRPr="00644888">
        <w:t xml:space="preserve"> </w:t>
      </w:r>
      <w:r w:rsidR="00644888">
        <w:t>in PUC Project No. 42647</w:t>
      </w:r>
      <w:r>
        <w:t>,</w:t>
      </w:r>
      <w:r w:rsidR="004E4B84">
        <w:rPr>
          <w:rStyle w:val="FootnoteReference"/>
        </w:rPr>
        <w:footnoteReference w:id="1"/>
      </w:r>
      <w:r>
        <w:t xml:space="preserve"> </w:t>
      </w:r>
      <w:r w:rsidR="009B307E">
        <w:t xml:space="preserve">the </w:t>
      </w:r>
      <w:r>
        <w:t>study will include 3,604 MW of wind generation in the Panhandle that meet</w:t>
      </w:r>
      <w:r w:rsidR="004E5336">
        <w:t>s</w:t>
      </w:r>
      <w:r>
        <w:t xml:space="preserve"> </w:t>
      </w:r>
      <w:r w:rsidR="009B307E">
        <w:t xml:space="preserve">the </w:t>
      </w:r>
      <w:r>
        <w:t xml:space="preserve">requirements </w:t>
      </w:r>
      <w:r w:rsidR="009B307E">
        <w:t xml:space="preserve">of </w:t>
      </w:r>
      <w:r>
        <w:t>ERCOT Planning Guide Section 6.9</w:t>
      </w:r>
      <w:r w:rsidR="004E4B84">
        <w:t xml:space="preserve">, </w:t>
      </w:r>
      <w:r w:rsidR="004E4B84" w:rsidRPr="004D3716">
        <w:rPr>
          <w:i/>
        </w:rPr>
        <w:t>Addition of Proposed Generation Resources to the Planning Models</w:t>
      </w:r>
      <w:r w:rsidR="00E96EAA">
        <w:t xml:space="preserve">. </w:t>
      </w:r>
      <w:r w:rsidR="003C3D1E">
        <w:t xml:space="preserve"> </w:t>
      </w:r>
      <w:r w:rsidR="00191B88">
        <w:t>The ERCOT comment noted that a</w:t>
      </w:r>
      <w:r>
        <w:t xml:space="preserve">s of April 2015, there was 1,061 MW of wind generation in operation in the Panhandle and 2,543 MW </w:t>
      </w:r>
      <w:r w:rsidR="00EF3587">
        <w:t xml:space="preserve">of additional proposed wind generation </w:t>
      </w:r>
      <w:r>
        <w:t>that meet</w:t>
      </w:r>
      <w:r w:rsidR="003C3D1E">
        <w:t>s</w:t>
      </w:r>
      <w:r>
        <w:t xml:space="preserve"> </w:t>
      </w:r>
      <w:r w:rsidR="004E5336">
        <w:t xml:space="preserve">the </w:t>
      </w:r>
      <w:r>
        <w:t xml:space="preserve">requirements </w:t>
      </w:r>
      <w:r w:rsidR="004E5336">
        <w:t xml:space="preserve">of </w:t>
      </w:r>
      <w:r>
        <w:t>Planning Guide Section 6.9</w:t>
      </w:r>
      <w:r w:rsidR="00E96EAA">
        <w:t xml:space="preserve">. </w:t>
      </w:r>
      <w:r w:rsidR="00EF55C4">
        <w:t xml:space="preserve"> </w:t>
      </w:r>
      <w:r w:rsidR="00EF55C4" w:rsidRPr="00DB46D4">
        <w:t>At the May 19, 2015, RPG</w:t>
      </w:r>
      <w:r w:rsidR="00047E6F">
        <w:t xml:space="preserve"> meeting</w:t>
      </w:r>
      <w:r w:rsidR="00EF55C4" w:rsidRPr="00DB46D4">
        <w:t xml:space="preserve"> several stakeholders requested sensitivity analyses addressing the potential for</w:t>
      </w:r>
      <w:r w:rsidR="00047E6F">
        <w:t xml:space="preserve"> additional generation in the Panhandle based on</w:t>
      </w:r>
      <w:r w:rsidR="00EF55C4" w:rsidRPr="00DB46D4">
        <w:t xml:space="preserve"> active wind generation </w:t>
      </w:r>
      <w:r w:rsidR="00047E6F">
        <w:t>projects currently</w:t>
      </w:r>
      <w:r w:rsidR="00047E6F" w:rsidRPr="00DB46D4">
        <w:t xml:space="preserve"> </w:t>
      </w:r>
      <w:r w:rsidR="00EF55C4" w:rsidRPr="00DB46D4">
        <w:t>in the interconnection process.</w:t>
      </w:r>
    </w:p>
    <w:p w:rsidR="00E9517E" w:rsidRPr="00E9517E" w:rsidRDefault="00E9517E" w:rsidP="00E9517E">
      <w:pPr>
        <w:pStyle w:val="Heading2"/>
      </w:pPr>
      <w:r>
        <w:t>2</w:t>
      </w:r>
      <w:r w:rsidR="00E93978">
        <w:t>.2</w:t>
      </w:r>
      <w:r>
        <w:t xml:space="preserve"> Base Case</w:t>
      </w:r>
    </w:p>
    <w:p w:rsidR="00DE5EEF" w:rsidRDefault="00AF4A21" w:rsidP="004D3716">
      <w:pPr>
        <w:jc w:val="both"/>
      </w:pPr>
      <w:r>
        <w:t xml:space="preserve">The </w:t>
      </w:r>
      <w:r w:rsidR="00E9517E">
        <w:t>DWG</w:t>
      </w:r>
      <w:r w:rsidR="003D7C7F">
        <w:t xml:space="preserve"> 2016 H</w:t>
      </w:r>
      <w:r w:rsidR="003C3D1E">
        <w:t xml:space="preserve">igh </w:t>
      </w:r>
      <w:r w:rsidR="003D7C7F">
        <w:t>W</w:t>
      </w:r>
      <w:r w:rsidR="003C3D1E">
        <w:t xml:space="preserve">ind </w:t>
      </w:r>
      <w:r w:rsidR="003D7C7F">
        <w:t>L</w:t>
      </w:r>
      <w:r w:rsidR="003C3D1E">
        <w:t xml:space="preserve">ow </w:t>
      </w:r>
      <w:r w:rsidR="003D7C7F">
        <w:t>L</w:t>
      </w:r>
      <w:r w:rsidR="003C3D1E">
        <w:t>oad (HWLL)</w:t>
      </w:r>
      <w:r w:rsidR="009F0317">
        <w:t xml:space="preserve"> case will be the starting base case</w:t>
      </w:r>
      <w:r w:rsidR="00E9517E">
        <w:t xml:space="preserve"> for the reliability analysis to identify the transfer capability in the Panhandle</w:t>
      </w:r>
      <w:r w:rsidR="00E96EAA">
        <w:t xml:space="preserve">. </w:t>
      </w:r>
      <w:r w:rsidR="005B6577">
        <w:t>The l</w:t>
      </w:r>
      <w:r w:rsidR="00E9517E">
        <w:t>atest topology updates will be included for the Panhandle</w:t>
      </w:r>
      <w:r w:rsidR="005B6577">
        <w:t>, if needed</w:t>
      </w:r>
      <w:r w:rsidR="00E96EAA">
        <w:t xml:space="preserve">. </w:t>
      </w:r>
      <w:r w:rsidR="00B770F0">
        <w:t>ERCOT will include the</w:t>
      </w:r>
      <w:r w:rsidR="009F0317">
        <w:t xml:space="preserve"> collector systems</w:t>
      </w:r>
      <w:r w:rsidR="00E9517E">
        <w:t xml:space="preserve"> and dynamic models provided by the Resource Entities through Resource Asset Registration Form</w:t>
      </w:r>
      <w:r w:rsidR="00901AC1">
        <w:t>s</w:t>
      </w:r>
      <w:r w:rsidR="00E9517E">
        <w:t xml:space="preserve"> (RARF</w:t>
      </w:r>
      <w:r w:rsidR="00901AC1">
        <w:t>s</w:t>
      </w:r>
      <w:r w:rsidR="00E9517E">
        <w:t>) or Full Interconnection Study (FIS) stability reports</w:t>
      </w:r>
      <w:r w:rsidR="00E96EAA">
        <w:t xml:space="preserve">. </w:t>
      </w:r>
      <w:r w:rsidR="00E9517E">
        <w:t xml:space="preserve">The 2017 UPLAN case from </w:t>
      </w:r>
      <w:r w:rsidR="005B6577">
        <w:t xml:space="preserve">the </w:t>
      </w:r>
      <w:r w:rsidR="00E9517E">
        <w:t>2014</w:t>
      </w:r>
      <w:r w:rsidR="00FC0C0F">
        <w:t xml:space="preserve"> </w:t>
      </w:r>
      <w:r w:rsidR="00E9517E">
        <w:t xml:space="preserve">Regional </w:t>
      </w:r>
      <w:r w:rsidR="00FC0C0F">
        <w:t xml:space="preserve">Transmission Plan </w:t>
      </w:r>
      <w:r w:rsidR="00355815">
        <w:t xml:space="preserve">will be the starting base case </w:t>
      </w:r>
      <w:r w:rsidR="00FC0C0F">
        <w:t xml:space="preserve">for </w:t>
      </w:r>
      <w:r w:rsidR="005B6577">
        <w:t xml:space="preserve">the </w:t>
      </w:r>
      <w:r w:rsidR="00FC0C0F">
        <w:t xml:space="preserve">economic analysis to </w:t>
      </w:r>
      <w:r w:rsidR="00E9517E">
        <w:t>identify the curtailment of Panhandle annual generation</w:t>
      </w:r>
      <w:r w:rsidR="00901AC1">
        <w:t xml:space="preserve"> and annual production cost</w:t>
      </w:r>
      <w:r w:rsidR="005B6577">
        <w:t>s</w:t>
      </w:r>
      <w:r w:rsidR="00901AC1">
        <w:t xml:space="preserve"> for the entire ERCOT </w:t>
      </w:r>
      <w:r w:rsidR="00644888">
        <w:t>R</w:t>
      </w:r>
      <w:r w:rsidR="00901AC1">
        <w:t>egion</w:t>
      </w:r>
      <w:r w:rsidR="00FC0C0F">
        <w:t>.</w:t>
      </w:r>
    </w:p>
    <w:p w:rsidR="00E93978" w:rsidRPr="00E9517E" w:rsidRDefault="00E93978" w:rsidP="00E93978">
      <w:pPr>
        <w:pStyle w:val="Heading2"/>
      </w:pPr>
      <w:r>
        <w:t>2.3 Study Criteria</w:t>
      </w:r>
    </w:p>
    <w:p w:rsidR="00E93978" w:rsidRDefault="00901AC1" w:rsidP="00E47975">
      <w:r>
        <w:t>Reliability c</w:t>
      </w:r>
      <w:r w:rsidR="00E93978">
        <w:t>riteria</w:t>
      </w:r>
      <w:r>
        <w:t xml:space="preserve"> used in the study include</w:t>
      </w:r>
      <w:r w:rsidR="00D07637">
        <w:t>s</w:t>
      </w:r>
      <w:r w:rsidR="00E93978">
        <w:t>: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t>ERCOT Planning Guide</w:t>
      </w:r>
      <w:r w:rsidR="00901AC1">
        <w:t>;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lastRenderedPageBreak/>
        <w:t xml:space="preserve">NERC </w:t>
      </w:r>
      <w:r w:rsidR="00901AC1">
        <w:t xml:space="preserve">Standard </w:t>
      </w:r>
      <w:r>
        <w:t>TPL-001-4</w:t>
      </w:r>
      <w:r w:rsidR="00901AC1">
        <w:t>; and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t>Panhandle System Strength, based on Weighted Short Circuit Ratio (WSCR), is equal to or above 1.5</w:t>
      </w:r>
      <w:r w:rsidR="00901AC1">
        <w:t>.</w:t>
      </w:r>
    </w:p>
    <w:p w:rsidR="00E93978" w:rsidRDefault="00E93978" w:rsidP="00E93978">
      <w:r>
        <w:t xml:space="preserve">Economic </w:t>
      </w:r>
      <w:r w:rsidR="00E50FD3">
        <w:t>c</w:t>
      </w:r>
      <w:r>
        <w:t>riterion</w:t>
      </w:r>
      <w:r w:rsidR="00F85CB1">
        <w:t xml:space="preserve"> for </w:t>
      </w:r>
      <w:r w:rsidR="00AA140C">
        <w:t>Trial</w:t>
      </w:r>
      <w:r w:rsidR="00F85CB1">
        <w:t xml:space="preserve"> 1</w:t>
      </w:r>
      <w:r w:rsidR="00901AC1">
        <w:t xml:space="preserve"> used in the study includes</w:t>
      </w:r>
      <w:r>
        <w:t>:</w:t>
      </w:r>
    </w:p>
    <w:p w:rsidR="003C3D1E" w:rsidRDefault="002238B6" w:rsidP="00E93978">
      <w:pPr>
        <w:pStyle w:val="ListParagraph"/>
        <w:numPr>
          <w:ilvl w:val="0"/>
          <w:numId w:val="9"/>
        </w:numPr>
      </w:pPr>
      <w:r>
        <w:t>Determination of the transmission solution that will cost-effectively increase Panhandle transfer capability to a specified MW level, with c</w:t>
      </w:r>
      <w:r w:rsidR="00E93978">
        <w:t xml:space="preserve">urtailment </w:t>
      </w:r>
      <w:r w:rsidR="004A29BE">
        <w:t xml:space="preserve">due to transmission constraints </w:t>
      </w:r>
      <w:r w:rsidR="00E93978">
        <w:t>of Panhandle annual generation  equal to or less than 2%</w:t>
      </w:r>
      <w:r w:rsidR="003C3D1E">
        <w:t>.</w:t>
      </w:r>
    </w:p>
    <w:p w:rsidR="003C3D1E" w:rsidRPr="003C3D1E" w:rsidRDefault="003C3D1E" w:rsidP="003C3D1E">
      <w:pPr>
        <w:ind w:left="41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Curtailment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=100×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- 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wit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 xml:space="preserve">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</m:den>
          </m:f>
        </m:oMath>
      </m:oMathPara>
    </w:p>
    <w:p w:rsidR="003C3D1E" w:rsidRPr="003C3D1E" w:rsidRDefault="003C3D1E" w:rsidP="003C3D1E">
      <w:pPr>
        <w:ind w:left="41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where: </m:t>
          </m:r>
        </m:oMath>
      </m:oMathPara>
    </w:p>
    <w:p w:rsidR="003C3D1E" w:rsidRPr="003C3D1E" w:rsidRDefault="003C3D1E" w:rsidP="003C3D1E">
      <w:pPr>
        <w:ind w:left="414"/>
        <w:rPr>
          <w:rFonts w:eastAsiaTheme="minorEastAsia"/>
        </w:rPr>
      </w:pPr>
      <m:oMath>
        <m:r>
          <w:rPr>
            <w:rFonts w:ascii="Cambria Math" w:hAnsi="Cambria Math"/>
          </w:rPr>
          <m:t xml:space="preserve">Energy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no_tl</m:t>
            </m:r>
          </m:e>
        </m:d>
      </m:oMath>
      <w:r w:rsidRPr="003C3D1E">
        <w:rPr>
          <w:rFonts w:eastAsiaTheme="minorEastAsia"/>
        </w:rPr>
        <w:t>: Panhandle annual energy without Panhandle transfer limit</w:t>
      </w:r>
    </w:p>
    <w:p w:rsidR="003C3D1E" w:rsidRPr="003C3D1E" w:rsidRDefault="003C3D1E" w:rsidP="003C3D1E">
      <w:pPr>
        <w:ind w:left="414"/>
        <w:rPr>
          <w:rFonts w:eastAsiaTheme="minorEastAsia"/>
        </w:rPr>
      </w:pPr>
      <m:oMath>
        <m:r>
          <w:rPr>
            <w:rFonts w:ascii="Cambria Math" w:hAnsi="Cambria Math"/>
          </w:rPr>
          <m:t xml:space="preserve">Energy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with_tl</m:t>
            </m:r>
          </m:e>
        </m:d>
        <m:r>
          <w:rPr>
            <w:rFonts w:ascii="Cambria Math" w:hAnsi="Cambria Math"/>
          </w:rPr>
          <m:t>:</m:t>
        </m:r>
      </m:oMath>
      <w:r w:rsidRPr="003C3D1E">
        <w:rPr>
          <w:rFonts w:eastAsiaTheme="minorEastAsia"/>
        </w:rPr>
        <w:t xml:space="preserve"> Panhandle annual energy with Panhandle transfer limit</w:t>
      </w:r>
    </w:p>
    <w:p w:rsidR="00F85CB1" w:rsidRDefault="00F85CB1" w:rsidP="00F85CB1">
      <w:r>
        <w:t xml:space="preserve">Economic </w:t>
      </w:r>
      <w:r w:rsidR="003F7B16">
        <w:t>c</w:t>
      </w:r>
      <w:r>
        <w:t xml:space="preserve">riterion for </w:t>
      </w:r>
      <w:r w:rsidR="00AA140C">
        <w:t>Trial</w:t>
      </w:r>
      <w:r>
        <w:t xml:space="preserve"> 2 used in the study includes:</w:t>
      </w:r>
    </w:p>
    <w:p w:rsidR="00E93978" w:rsidRDefault="002238B6" w:rsidP="004D3716">
      <w:pPr>
        <w:pStyle w:val="ListParagraph"/>
        <w:numPr>
          <w:ilvl w:val="0"/>
          <w:numId w:val="9"/>
        </w:numPr>
        <w:jc w:val="both"/>
      </w:pPr>
      <w:r>
        <w:t>Determination of whether t</w:t>
      </w:r>
      <w:r w:rsidR="00F85CB1">
        <w:t xml:space="preserve">he annual production cost savings of a transmission project </w:t>
      </w:r>
      <w:r>
        <w:t>are</w:t>
      </w:r>
      <w:r w:rsidR="00F85CB1">
        <w:t xml:space="preserve"> greater than or equal to the first year annual revenue requirement for the transmission project.  The first year annual revenue requirement for a transmission project will</w:t>
      </w:r>
      <w:r>
        <w:t xml:space="preserve"> be</w:t>
      </w:r>
      <w:r w:rsidR="00F85CB1">
        <w:t xml:space="preserve"> assumed to be 15% of the estimated capital cost of the project.</w:t>
      </w:r>
    </w:p>
    <w:p w:rsidR="006537EE" w:rsidRPr="00E9517E" w:rsidRDefault="006537EE" w:rsidP="006537EE">
      <w:pPr>
        <w:pStyle w:val="Heading2"/>
      </w:pPr>
      <w:r>
        <w:t>2.4 Assumptions</w:t>
      </w:r>
    </w:p>
    <w:p w:rsidR="006537EE" w:rsidRDefault="00011AA0" w:rsidP="006537EE">
      <w:r>
        <w:t>S</w:t>
      </w:r>
      <w:r w:rsidR="006537EE">
        <w:t xml:space="preserve">tudy assumptions </w:t>
      </w:r>
      <w:r w:rsidR="00EF3587">
        <w:t>are as follows</w:t>
      </w:r>
      <w:r w:rsidR="006537EE">
        <w:t>:</w:t>
      </w:r>
    </w:p>
    <w:p w:rsidR="006537EE" w:rsidRPr="00DB46D4" w:rsidRDefault="003C2D9B" w:rsidP="004D3716">
      <w:pPr>
        <w:pStyle w:val="ListParagraph"/>
        <w:numPr>
          <w:ilvl w:val="0"/>
          <w:numId w:val="10"/>
        </w:numPr>
        <w:jc w:val="both"/>
      </w:pPr>
      <w:r w:rsidRPr="00DB46D4">
        <w:t>Panhandle w</w:t>
      </w:r>
      <w:r w:rsidR="00EF55C4" w:rsidRPr="00DB46D4">
        <w:t xml:space="preserve">ind generation </w:t>
      </w:r>
      <w:r w:rsidRPr="00DB46D4">
        <w:t>output is proportional</w:t>
      </w:r>
      <w:r w:rsidR="002238B6">
        <w:t>ly</w:t>
      </w:r>
      <w:r w:rsidRPr="00DB46D4">
        <w:t xml:space="preserve"> dispatched with respect to its capacity</w:t>
      </w:r>
      <w:r w:rsidR="008A5110" w:rsidRPr="00DB46D4">
        <w:t xml:space="preserve"> to meet the </w:t>
      </w:r>
      <w:r w:rsidR="003844D9" w:rsidRPr="00DB46D4">
        <w:t>reliability criteria</w:t>
      </w:r>
      <w:r w:rsidR="00011AA0" w:rsidRPr="00DB46D4">
        <w:t>;</w:t>
      </w:r>
    </w:p>
    <w:p w:rsidR="006537EE" w:rsidRDefault="00011AA0" w:rsidP="00EB60B1">
      <w:pPr>
        <w:pStyle w:val="ListParagraph"/>
        <w:numPr>
          <w:ilvl w:val="0"/>
          <w:numId w:val="10"/>
        </w:numPr>
        <w:jc w:val="both"/>
      </w:pPr>
      <w:r>
        <w:t xml:space="preserve">Apply </w:t>
      </w:r>
      <w:r w:rsidR="002C49EB">
        <w:t xml:space="preserve">90% of the identified transfer capability in the Panhandle </w:t>
      </w:r>
      <w:r>
        <w:t>in the economic analysis</w:t>
      </w:r>
      <w:r w:rsidR="00047E6F">
        <w:t xml:space="preserve"> to account for operational application of the limit</w:t>
      </w:r>
      <w:r>
        <w:t>; and</w:t>
      </w:r>
    </w:p>
    <w:p w:rsidR="00F32F66" w:rsidRPr="002F100E" w:rsidRDefault="00011AA0" w:rsidP="004D3716">
      <w:pPr>
        <w:pStyle w:val="ListParagraph"/>
        <w:numPr>
          <w:ilvl w:val="0"/>
          <w:numId w:val="10"/>
        </w:numPr>
        <w:jc w:val="both"/>
      </w:pPr>
      <w:r>
        <w:t>Have all s</w:t>
      </w:r>
      <w:r w:rsidR="00F32F66">
        <w:t>eries capacitors</w:t>
      </w:r>
      <w:r w:rsidR="002751F9">
        <w:t xml:space="preserve">, except </w:t>
      </w:r>
      <w:r w:rsidR="008967FF">
        <w:t xml:space="preserve">for </w:t>
      </w:r>
      <w:r w:rsidR="002751F9">
        <w:t>Rocky Mound series capacitors</w:t>
      </w:r>
      <w:r w:rsidR="004C29F4">
        <w:rPr>
          <w:rStyle w:val="FootnoteReference"/>
        </w:rPr>
        <w:footnoteReference w:id="2"/>
      </w:r>
      <w:r w:rsidR="002751F9">
        <w:t>,</w:t>
      </w:r>
      <w:r w:rsidR="00F32F66">
        <w:t xml:space="preserve"> </w:t>
      </w:r>
      <w:r>
        <w:t xml:space="preserve">in </w:t>
      </w:r>
      <w:r w:rsidR="00F32F66">
        <w:t>service</w:t>
      </w:r>
      <w:r>
        <w:t xml:space="preserve"> in the study</w:t>
      </w:r>
      <w:r w:rsidR="00F32F66">
        <w:t>.</w:t>
      </w:r>
    </w:p>
    <w:p w:rsidR="006B777B" w:rsidRDefault="006B777B" w:rsidP="006B777B">
      <w:pPr>
        <w:pStyle w:val="Heading1"/>
        <w:numPr>
          <w:ilvl w:val="0"/>
          <w:numId w:val="6"/>
        </w:numPr>
        <w:ind w:left="360"/>
      </w:pPr>
      <w:r>
        <w:t>Study Scenarios</w:t>
      </w:r>
    </w:p>
    <w:p w:rsidR="006B777B" w:rsidRDefault="006B777B" w:rsidP="004D3716">
      <w:pPr>
        <w:jc w:val="both"/>
      </w:pPr>
      <w:r>
        <w:t>The solutions described in the April 2014 PREZ Study Report will serve as a reference for the consideration of transmission solutions to increase the transfer capability in the Panhandle</w:t>
      </w:r>
      <w:r w:rsidR="00E96EAA">
        <w:t xml:space="preserve">. </w:t>
      </w:r>
      <w:r>
        <w:t xml:space="preserve">The study scenarios listed in </w:t>
      </w:r>
      <w:r w:rsidR="002238B6">
        <w:t>T</w:t>
      </w:r>
      <w:r w:rsidR="00901AC1">
        <w:t>able</w:t>
      </w:r>
      <w:r w:rsidR="00031A45">
        <w:t xml:space="preserve"> 1</w:t>
      </w:r>
      <w:r w:rsidR="00901AC1">
        <w:t xml:space="preserve"> include the transmission solution options to be analyzed in the study</w:t>
      </w:r>
      <w:r w:rsidR="00E96EAA">
        <w:t xml:space="preserve">. </w:t>
      </w:r>
    </w:p>
    <w:p w:rsidR="00DB46D4" w:rsidRDefault="004A29BE" w:rsidP="004D3716">
      <w:pPr>
        <w:jc w:val="both"/>
      </w:pPr>
      <w:r>
        <w:lastRenderedPageBreak/>
        <w:t xml:space="preserve">ERCOT will analyze and document the transmission improvements that meet the economic criteria for each of Trial 1 and Trial 2. </w:t>
      </w:r>
    </w:p>
    <w:p w:rsidR="00DB46D4" w:rsidRDefault="00031A45" w:rsidP="00031A45">
      <w:pPr>
        <w:spacing w:after="0"/>
        <w:jc w:val="center"/>
      </w:pPr>
      <w:r>
        <w:t>Table 1. A list of study scenarios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3056"/>
        <w:gridCol w:w="2014"/>
        <w:gridCol w:w="2078"/>
      </w:tblGrid>
      <w:tr w:rsidR="003C2D9B" w:rsidTr="004B74DF">
        <w:trPr>
          <w:jc w:val="center"/>
        </w:trPr>
        <w:tc>
          <w:tcPr>
            <w:tcW w:w="1509" w:type="dxa"/>
            <w:vMerge w:val="restart"/>
            <w:vAlign w:val="center"/>
          </w:tcPr>
          <w:p w:rsidR="003C2D9B" w:rsidRDefault="003C2D9B" w:rsidP="00904BBC">
            <w:pPr>
              <w:tabs>
                <w:tab w:val="left" w:pos="752"/>
              </w:tabs>
              <w:jc w:val="center"/>
            </w:pPr>
            <w:r>
              <w:t>Scenario</w:t>
            </w:r>
          </w:p>
        </w:tc>
        <w:tc>
          <w:tcPr>
            <w:tcW w:w="3056" w:type="dxa"/>
            <w:vMerge w:val="restart"/>
            <w:vAlign w:val="center"/>
          </w:tcPr>
          <w:p w:rsidR="003C2D9B" w:rsidRDefault="003C2D9B" w:rsidP="003C2D9B">
            <w:pPr>
              <w:jc w:val="center"/>
            </w:pPr>
            <w:r>
              <w:t>Panhandle Wind Generation Capacity (MW)</w:t>
            </w:r>
          </w:p>
        </w:tc>
        <w:tc>
          <w:tcPr>
            <w:tcW w:w="4092" w:type="dxa"/>
            <w:gridSpan w:val="2"/>
            <w:vAlign w:val="center"/>
          </w:tcPr>
          <w:p w:rsidR="003C2D9B" w:rsidRDefault="003C2D9B" w:rsidP="00904BBC">
            <w:pPr>
              <w:jc w:val="center"/>
            </w:pPr>
            <w:r>
              <w:t>Transmission Options</w:t>
            </w:r>
          </w:p>
        </w:tc>
      </w:tr>
      <w:tr w:rsidR="003C2D9B" w:rsidTr="00DB46D4">
        <w:trPr>
          <w:jc w:val="center"/>
        </w:trPr>
        <w:tc>
          <w:tcPr>
            <w:tcW w:w="1509" w:type="dxa"/>
            <w:vMerge/>
            <w:vAlign w:val="center"/>
          </w:tcPr>
          <w:p w:rsidR="003C2D9B" w:rsidRDefault="003C2D9B" w:rsidP="00904BBC">
            <w:pPr>
              <w:tabs>
                <w:tab w:val="left" w:pos="752"/>
              </w:tabs>
              <w:jc w:val="center"/>
            </w:pPr>
          </w:p>
        </w:tc>
        <w:tc>
          <w:tcPr>
            <w:tcW w:w="3056" w:type="dxa"/>
            <w:vMerge/>
          </w:tcPr>
          <w:p w:rsidR="003C2D9B" w:rsidRDefault="003C2D9B" w:rsidP="00904BBC">
            <w:pPr>
              <w:jc w:val="center"/>
            </w:pPr>
          </w:p>
        </w:tc>
        <w:tc>
          <w:tcPr>
            <w:tcW w:w="2014" w:type="dxa"/>
            <w:vAlign w:val="center"/>
          </w:tcPr>
          <w:p w:rsidR="003C2D9B" w:rsidRDefault="003C2D9B" w:rsidP="00904BBC">
            <w:pPr>
              <w:jc w:val="center"/>
            </w:pPr>
            <w:r>
              <w:t>Synchronous Condenser</w:t>
            </w:r>
            <w:r w:rsidR="00A0693A">
              <w:t>(s)</w:t>
            </w:r>
          </w:p>
        </w:tc>
        <w:tc>
          <w:tcPr>
            <w:tcW w:w="2078" w:type="dxa"/>
            <w:vAlign w:val="center"/>
          </w:tcPr>
          <w:p w:rsidR="003C2D9B" w:rsidRDefault="003C2D9B" w:rsidP="00904BBC">
            <w:pPr>
              <w:jc w:val="center"/>
            </w:pPr>
            <w:r>
              <w:t>Second Circuit</w:t>
            </w:r>
            <w:r w:rsidR="00A0693A">
              <w:t xml:space="preserve"> on the Alibates-Windmill-Ogallala-Tule Canyon 345 kV line</w:t>
            </w:r>
          </w:p>
        </w:tc>
      </w:tr>
      <w:tr w:rsidR="00983E2C" w:rsidTr="00DB46D4">
        <w:trPr>
          <w:jc w:val="center"/>
        </w:trPr>
        <w:tc>
          <w:tcPr>
            <w:tcW w:w="1509" w:type="dxa"/>
            <w:vAlign w:val="center"/>
          </w:tcPr>
          <w:p w:rsidR="00983E2C" w:rsidRDefault="00983E2C" w:rsidP="00904BBC">
            <w:pPr>
              <w:jc w:val="center"/>
            </w:pPr>
            <w:r>
              <w:t>0 (Base Case)</w:t>
            </w:r>
          </w:p>
        </w:tc>
        <w:tc>
          <w:tcPr>
            <w:tcW w:w="3056" w:type="dxa"/>
          </w:tcPr>
          <w:p w:rsidR="00983E2C" w:rsidRDefault="00047E6F" w:rsidP="00904BBC">
            <w:pPr>
              <w:jc w:val="center"/>
            </w:pPr>
            <w:r>
              <w:t>3604</w:t>
            </w:r>
          </w:p>
        </w:tc>
        <w:tc>
          <w:tcPr>
            <w:tcW w:w="2014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  <w:tc>
          <w:tcPr>
            <w:tcW w:w="2078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</w:tr>
      <w:tr w:rsidR="00983E2C" w:rsidTr="00DB46D4">
        <w:trPr>
          <w:jc w:val="center"/>
        </w:trPr>
        <w:tc>
          <w:tcPr>
            <w:tcW w:w="1509" w:type="dxa"/>
            <w:vAlign w:val="center"/>
          </w:tcPr>
          <w:p w:rsidR="00983E2C" w:rsidRDefault="00983E2C" w:rsidP="00904BBC">
            <w:pPr>
              <w:jc w:val="center"/>
            </w:pPr>
            <w:r>
              <w:t>1</w:t>
            </w:r>
          </w:p>
        </w:tc>
        <w:tc>
          <w:tcPr>
            <w:tcW w:w="3056" w:type="dxa"/>
          </w:tcPr>
          <w:p w:rsidR="00983E2C" w:rsidRDefault="00047E6F" w:rsidP="00904BBC">
            <w:pPr>
              <w:jc w:val="center"/>
            </w:pPr>
            <w:r>
              <w:t>3604</w:t>
            </w:r>
          </w:p>
        </w:tc>
        <w:tc>
          <w:tcPr>
            <w:tcW w:w="2014" w:type="dxa"/>
            <w:vAlign w:val="center"/>
          </w:tcPr>
          <w:p w:rsidR="00983E2C" w:rsidRDefault="00983E2C" w:rsidP="00904BBC">
            <w:pPr>
              <w:jc w:val="center"/>
            </w:pPr>
            <w:r>
              <w:t>Yes</w:t>
            </w:r>
          </w:p>
        </w:tc>
        <w:tc>
          <w:tcPr>
            <w:tcW w:w="2078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</w:tr>
      <w:tr w:rsidR="00983E2C" w:rsidTr="00DB46D4">
        <w:trPr>
          <w:jc w:val="center"/>
        </w:trPr>
        <w:tc>
          <w:tcPr>
            <w:tcW w:w="1509" w:type="dxa"/>
            <w:vAlign w:val="center"/>
          </w:tcPr>
          <w:p w:rsidR="00983E2C" w:rsidRDefault="00983E2C" w:rsidP="00904BBC">
            <w:pPr>
              <w:jc w:val="center"/>
            </w:pPr>
            <w:r>
              <w:t>2</w:t>
            </w:r>
          </w:p>
        </w:tc>
        <w:tc>
          <w:tcPr>
            <w:tcW w:w="3056" w:type="dxa"/>
          </w:tcPr>
          <w:p w:rsidR="00983E2C" w:rsidRDefault="00047E6F" w:rsidP="00904BBC">
            <w:pPr>
              <w:jc w:val="center"/>
            </w:pPr>
            <w:r>
              <w:t>3604</w:t>
            </w:r>
          </w:p>
        </w:tc>
        <w:tc>
          <w:tcPr>
            <w:tcW w:w="2014" w:type="dxa"/>
            <w:vAlign w:val="center"/>
          </w:tcPr>
          <w:p w:rsidR="00983E2C" w:rsidRDefault="00983E2C" w:rsidP="00904BBC">
            <w:pPr>
              <w:jc w:val="center"/>
            </w:pPr>
            <w:r>
              <w:t>No</w:t>
            </w:r>
          </w:p>
        </w:tc>
        <w:tc>
          <w:tcPr>
            <w:tcW w:w="2078" w:type="dxa"/>
            <w:vAlign w:val="center"/>
          </w:tcPr>
          <w:p w:rsidR="00983E2C" w:rsidRDefault="00983E2C" w:rsidP="00904BBC">
            <w:pPr>
              <w:jc w:val="center"/>
            </w:pPr>
            <w:r>
              <w:t>Yes</w:t>
            </w:r>
          </w:p>
        </w:tc>
      </w:tr>
      <w:tr w:rsidR="009C1350" w:rsidTr="00DB46D4">
        <w:trPr>
          <w:jc w:val="center"/>
        </w:trPr>
        <w:tc>
          <w:tcPr>
            <w:tcW w:w="1509" w:type="dxa"/>
            <w:vAlign w:val="center"/>
          </w:tcPr>
          <w:p w:rsidR="009C1350" w:rsidRDefault="00811652" w:rsidP="00904BBC">
            <w:pPr>
              <w:jc w:val="center"/>
            </w:pPr>
            <w:r>
              <w:t>3*</w:t>
            </w:r>
          </w:p>
        </w:tc>
        <w:tc>
          <w:tcPr>
            <w:tcW w:w="3056" w:type="dxa"/>
          </w:tcPr>
          <w:p w:rsidR="009C1350" w:rsidRDefault="00811652" w:rsidP="00904BBC">
            <w:pPr>
              <w:jc w:val="center"/>
            </w:pPr>
            <w:r>
              <w:t>3604</w:t>
            </w:r>
          </w:p>
        </w:tc>
        <w:tc>
          <w:tcPr>
            <w:tcW w:w="2014" w:type="dxa"/>
            <w:vAlign w:val="center"/>
          </w:tcPr>
          <w:p w:rsidR="009C1350" w:rsidRDefault="00811652" w:rsidP="00904BBC">
            <w:pPr>
              <w:jc w:val="center"/>
            </w:pPr>
            <w:r>
              <w:t>Yes</w:t>
            </w:r>
          </w:p>
        </w:tc>
        <w:tc>
          <w:tcPr>
            <w:tcW w:w="2078" w:type="dxa"/>
            <w:vAlign w:val="center"/>
          </w:tcPr>
          <w:p w:rsidR="009C1350" w:rsidRDefault="00811652" w:rsidP="00904BBC">
            <w:pPr>
              <w:jc w:val="center"/>
            </w:pPr>
            <w:r>
              <w:t>Yes</w:t>
            </w:r>
          </w:p>
        </w:tc>
      </w:tr>
      <w:tr w:rsidR="00A907D7" w:rsidTr="00DB46D4">
        <w:trPr>
          <w:jc w:val="center"/>
        </w:trPr>
        <w:tc>
          <w:tcPr>
            <w:tcW w:w="1509" w:type="dxa"/>
            <w:vAlign w:val="center"/>
          </w:tcPr>
          <w:p w:rsidR="00A907D7" w:rsidRDefault="00811652" w:rsidP="00904BBC">
            <w:pPr>
              <w:jc w:val="center"/>
            </w:pPr>
            <w:r>
              <w:t>4*</w:t>
            </w:r>
            <w:r w:rsidR="004A29BE">
              <w:t>*</w:t>
            </w:r>
          </w:p>
        </w:tc>
        <w:tc>
          <w:tcPr>
            <w:tcW w:w="3056" w:type="dxa"/>
          </w:tcPr>
          <w:p w:rsidR="00A907D7" w:rsidRDefault="00811652" w:rsidP="00904BBC">
            <w:pPr>
              <w:jc w:val="center"/>
            </w:pPr>
            <w:r>
              <w:t>3604 + X MW</w:t>
            </w:r>
          </w:p>
        </w:tc>
        <w:tc>
          <w:tcPr>
            <w:tcW w:w="2014" w:type="dxa"/>
            <w:vAlign w:val="center"/>
          </w:tcPr>
          <w:p w:rsidR="00A907D7" w:rsidRDefault="00811652" w:rsidP="00904BBC">
            <w:pPr>
              <w:jc w:val="center"/>
            </w:pPr>
            <w:r>
              <w:t>Yes</w:t>
            </w:r>
          </w:p>
        </w:tc>
        <w:tc>
          <w:tcPr>
            <w:tcW w:w="2078" w:type="dxa"/>
            <w:vAlign w:val="center"/>
          </w:tcPr>
          <w:p w:rsidR="00A907D7" w:rsidRDefault="00811652" w:rsidP="00904BBC">
            <w:pPr>
              <w:jc w:val="center"/>
            </w:pPr>
            <w:r>
              <w:t>Yes</w:t>
            </w:r>
          </w:p>
        </w:tc>
      </w:tr>
    </w:tbl>
    <w:p w:rsidR="00811652" w:rsidRDefault="00811652" w:rsidP="00514748">
      <w:pPr>
        <w:pStyle w:val="ListParagraph"/>
        <w:ind w:left="540" w:hanging="180"/>
      </w:pPr>
      <w:r>
        <w:t xml:space="preserve">* Scenario 3 will be considered if transmission options in scenario 1 and 2 </w:t>
      </w:r>
      <w:r w:rsidR="006A6A93">
        <w:t>do</w:t>
      </w:r>
      <w:r>
        <w:t xml:space="preserve"> not meet the study criteria.</w:t>
      </w:r>
    </w:p>
    <w:p w:rsidR="00047E6F" w:rsidRDefault="00811652" w:rsidP="00514748">
      <w:pPr>
        <w:pStyle w:val="ListParagraph"/>
        <w:ind w:left="540" w:hanging="180"/>
      </w:pPr>
      <w:r>
        <w:t xml:space="preserve">** If </w:t>
      </w:r>
      <w:r w:rsidR="004A29BE">
        <w:t xml:space="preserve">the results of scenario 1, 2, and 3 indicate that the second circuit on the Alibates-Windmill-Ogallala-Tule Canyon 345 kV line improvement does not meet the Trials 1 and/or 2 economic criteria, </w:t>
      </w:r>
      <w:r>
        <w:t xml:space="preserve">scenario 4 will be considered </w:t>
      </w:r>
      <w:r w:rsidR="00DB0323">
        <w:t>by</w:t>
      </w:r>
      <w:r>
        <w:t xml:space="preserve"> </w:t>
      </w:r>
      <w:r w:rsidR="00BD245F">
        <w:t>increas</w:t>
      </w:r>
      <w:r w:rsidR="00DB0323">
        <w:t xml:space="preserve">ing </w:t>
      </w:r>
      <w:r w:rsidR="00BD245F">
        <w:t>generation capacity</w:t>
      </w:r>
      <w:r>
        <w:t xml:space="preserve"> (X MW)</w:t>
      </w:r>
      <w:r w:rsidR="00BD245F">
        <w:t xml:space="preserve"> on the Alibates-Windmill-Ogallala-Tule Canyon 345kV line until Trials 1 and</w:t>
      </w:r>
      <w:r>
        <w:t>/or</w:t>
      </w:r>
      <w:r w:rsidR="00BD245F">
        <w:t xml:space="preserve"> 2 economic criteria are met.</w:t>
      </w:r>
      <w:r w:rsidR="004A29BE">
        <w:t xml:space="preserve">  For scenario 4, ERCOT will report the level of additional generation capacity (X MW) needed to meet Trials 1 and/or 2 criteria. </w:t>
      </w:r>
    </w:p>
    <w:p w:rsidR="002C49EB" w:rsidRDefault="002C49EB" w:rsidP="00904BBC">
      <w:pPr>
        <w:pStyle w:val="Heading1"/>
        <w:numPr>
          <w:ilvl w:val="0"/>
          <w:numId w:val="6"/>
        </w:numPr>
        <w:ind w:left="360"/>
      </w:pPr>
      <w:r>
        <w:t>Schedule</w:t>
      </w:r>
      <w:r w:rsidR="00C83EF8">
        <w:t xml:space="preserve"> and Delivery</w:t>
      </w:r>
    </w:p>
    <w:p w:rsidR="002C49EB" w:rsidRDefault="000A5BC1" w:rsidP="004D3716">
      <w:pPr>
        <w:jc w:val="both"/>
      </w:pPr>
      <w:r>
        <w:t>ERCOT System Planning will present the study scope and report the final study results to ERCOT Regional Planning Group</w:t>
      </w:r>
      <w:r w:rsidR="00EF3587">
        <w:t xml:space="preserve"> before filing the report with the Commission in PUC Project No. 42647</w:t>
      </w:r>
      <w:r w:rsidR="00E96EAA">
        <w:t xml:space="preserve">. </w:t>
      </w:r>
      <w:r>
        <w:t xml:space="preserve">The report will list potential system improvement options and </w:t>
      </w:r>
      <w:r w:rsidR="00C83EF8">
        <w:t>the recommended projects based on the study criteria</w:t>
      </w:r>
      <w:r w:rsidR="00E96EAA">
        <w:t xml:space="preserve">. </w:t>
      </w:r>
      <w:r w:rsidR="00904BBC">
        <w:t>T</w:t>
      </w:r>
      <w:r w:rsidR="005B6577">
        <w:t>he t</w:t>
      </w:r>
      <w:r w:rsidR="00904BBC">
        <w:t>able below includes the</w:t>
      </w:r>
      <w:r w:rsidR="002C49EB">
        <w:t xml:space="preserve"> anticipated study schedule.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2918"/>
        <w:gridCol w:w="2228"/>
      </w:tblGrid>
      <w:tr w:rsidR="000A5BC1" w:rsidTr="004B74DF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Task</w:t>
            </w:r>
          </w:p>
        </w:tc>
        <w:tc>
          <w:tcPr>
            <w:tcW w:w="2918" w:type="dxa"/>
          </w:tcPr>
          <w:p w:rsidR="000A5BC1" w:rsidRDefault="000A5BC1" w:rsidP="002C49EB">
            <w:r>
              <w:t>Description</w:t>
            </w:r>
          </w:p>
        </w:tc>
        <w:tc>
          <w:tcPr>
            <w:tcW w:w="2228" w:type="dxa"/>
          </w:tcPr>
          <w:p w:rsidR="000A5BC1" w:rsidRDefault="000A5BC1" w:rsidP="002C49EB">
            <w:r>
              <w:t>Completion Date</w:t>
            </w:r>
          </w:p>
        </w:tc>
      </w:tr>
      <w:tr w:rsidR="000A5BC1" w:rsidTr="004B74DF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1.</w:t>
            </w:r>
          </w:p>
        </w:tc>
        <w:tc>
          <w:tcPr>
            <w:tcW w:w="2918" w:type="dxa"/>
          </w:tcPr>
          <w:p w:rsidR="000A5BC1" w:rsidRDefault="000A5BC1" w:rsidP="002C49EB">
            <w:r>
              <w:t xml:space="preserve">Present Study Scope to RPG </w:t>
            </w:r>
          </w:p>
        </w:tc>
        <w:tc>
          <w:tcPr>
            <w:tcW w:w="2228" w:type="dxa"/>
          </w:tcPr>
          <w:p w:rsidR="000A5BC1" w:rsidRDefault="000A5BC1" w:rsidP="002C49EB">
            <w:r>
              <w:t>May 19, 2015</w:t>
            </w:r>
          </w:p>
        </w:tc>
      </w:tr>
      <w:tr w:rsidR="000A5BC1" w:rsidTr="004B74DF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2.</w:t>
            </w:r>
          </w:p>
        </w:tc>
        <w:tc>
          <w:tcPr>
            <w:tcW w:w="2918" w:type="dxa"/>
          </w:tcPr>
          <w:p w:rsidR="000A5BC1" w:rsidRDefault="000A5BC1" w:rsidP="002C49EB">
            <w:r>
              <w:t>Present Study Results to RPG</w:t>
            </w:r>
          </w:p>
        </w:tc>
        <w:tc>
          <w:tcPr>
            <w:tcW w:w="2228" w:type="dxa"/>
          </w:tcPr>
          <w:p w:rsidR="000A5BC1" w:rsidRDefault="00EB60B1" w:rsidP="00EB60B1">
            <w:r>
              <w:t>August 18</w:t>
            </w:r>
            <w:r w:rsidR="000A5BC1">
              <w:t>, 2015</w:t>
            </w:r>
          </w:p>
        </w:tc>
      </w:tr>
      <w:tr w:rsidR="000C0323" w:rsidTr="004B74DF">
        <w:trPr>
          <w:jc w:val="center"/>
        </w:trPr>
        <w:tc>
          <w:tcPr>
            <w:tcW w:w="725" w:type="dxa"/>
          </w:tcPr>
          <w:p w:rsidR="000C0323" w:rsidRDefault="000C0323" w:rsidP="004E3F92">
            <w:r>
              <w:t>3.</w:t>
            </w:r>
          </w:p>
        </w:tc>
        <w:tc>
          <w:tcPr>
            <w:tcW w:w="2918" w:type="dxa"/>
          </w:tcPr>
          <w:p w:rsidR="000C0323" w:rsidRDefault="000C0323" w:rsidP="004E3F92">
            <w:r>
              <w:t>RPG Comments due</w:t>
            </w:r>
          </w:p>
        </w:tc>
        <w:tc>
          <w:tcPr>
            <w:tcW w:w="2228" w:type="dxa"/>
          </w:tcPr>
          <w:p w:rsidR="000C0323" w:rsidRDefault="00EB60B1" w:rsidP="00EB60B1">
            <w:r>
              <w:t>August 28</w:t>
            </w:r>
            <w:r w:rsidR="000C0323">
              <w:t>, 2015</w:t>
            </w:r>
          </w:p>
        </w:tc>
      </w:tr>
      <w:tr w:rsidR="000A5BC1" w:rsidTr="004B74DF">
        <w:trPr>
          <w:jc w:val="center"/>
        </w:trPr>
        <w:tc>
          <w:tcPr>
            <w:tcW w:w="725" w:type="dxa"/>
          </w:tcPr>
          <w:p w:rsidR="000A5BC1" w:rsidRDefault="000C0323" w:rsidP="000A5BC1">
            <w:r>
              <w:t>4</w:t>
            </w:r>
            <w:r w:rsidR="000A5BC1">
              <w:t>.</w:t>
            </w:r>
          </w:p>
        </w:tc>
        <w:tc>
          <w:tcPr>
            <w:tcW w:w="2918" w:type="dxa"/>
          </w:tcPr>
          <w:p w:rsidR="000A5BC1" w:rsidRDefault="000A5BC1" w:rsidP="002C49EB">
            <w:r>
              <w:t>Final Report</w:t>
            </w:r>
            <w:r w:rsidR="000C0323">
              <w:t xml:space="preserve"> filed with PUC</w:t>
            </w:r>
          </w:p>
        </w:tc>
        <w:tc>
          <w:tcPr>
            <w:tcW w:w="2228" w:type="dxa"/>
          </w:tcPr>
          <w:p w:rsidR="000A5BC1" w:rsidRDefault="00EB60B1" w:rsidP="00EB60B1">
            <w:r>
              <w:t>September 15</w:t>
            </w:r>
            <w:r w:rsidR="000A5BC1">
              <w:t>, 2015</w:t>
            </w:r>
          </w:p>
        </w:tc>
      </w:tr>
    </w:tbl>
    <w:p w:rsidR="00764854" w:rsidRDefault="00764854" w:rsidP="00764854"/>
    <w:sectPr w:rsidR="00764854" w:rsidSect="00407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86" w:rsidRDefault="00381D86" w:rsidP="00DE5EEF">
      <w:pPr>
        <w:spacing w:after="0" w:line="240" w:lineRule="auto"/>
      </w:pPr>
      <w:r>
        <w:separator/>
      </w:r>
    </w:p>
  </w:endnote>
  <w:endnote w:type="continuationSeparator" w:id="0">
    <w:p w:rsidR="00381D86" w:rsidRDefault="00381D86" w:rsidP="00DE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86" w:rsidRDefault="00381D86" w:rsidP="00DE5EEF">
      <w:pPr>
        <w:spacing w:after="0" w:line="240" w:lineRule="auto"/>
      </w:pPr>
      <w:r>
        <w:separator/>
      </w:r>
    </w:p>
  </w:footnote>
  <w:footnote w:type="continuationSeparator" w:id="0">
    <w:p w:rsidR="00381D86" w:rsidRDefault="00381D86" w:rsidP="00DE5EEF">
      <w:pPr>
        <w:spacing w:after="0" w:line="240" w:lineRule="auto"/>
      </w:pPr>
      <w:r>
        <w:continuationSeparator/>
      </w:r>
    </w:p>
  </w:footnote>
  <w:footnote w:id="1">
    <w:p w:rsidR="004E4B84" w:rsidRDefault="004E4B84" w:rsidP="00031A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 w:rsidRPr="004D3716">
        <w:rPr>
          <w:i/>
        </w:rPr>
        <w:t>See</w:t>
      </w:r>
      <w:r>
        <w:t xml:space="preserve"> Item 56, ERCOT Response to the Discussion at the March 26, 2015, in PUC Project No. 42647, </w:t>
      </w:r>
      <w:r w:rsidRPr="004D3716">
        <w:rPr>
          <w:i/>
        </w:rPr>
        <w:t>ERCOT Planning and System Costs Associated with Renewable Resources and New Large DC Ties</w:t>
      </w:r>
      <w:r>
        <w:t>.</w:t>
      </w:r>
    </w:p>
  </w:footnote>
  <w:footnote w:id="2">
    <w:p w:rsidR="004C29F4" w:rsidRDefault="004C29F4" w:rsidP="00031A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D3716">
        <w:rPr>
          <w:i/>
        </w:rPr>
        <w:t>See</w:t>
      </w:r>
      <w:r>
        <w:t xml:space="preserve"> Item 600</w:t>
      </w:r>
      <w:r w:rsidR="00D14E61">
        <w:t>, Joint Notification of CREZ Project Update,</w:t>
      </w:r>
      <w:r>
        <w:t xml:space="preserve"> in PUC Project No. 38517 </w:t>
      </w:r>
      <w:r w:rsidR="00D14E61">
        <w:t xml:space="preserve">in which ERCOT and Oncor Electric Delivery Company LLC (Oncor) notified the Commission </w:t>
      </w:r>
      <w:r>
        <w:t>that the Rocky Mound reactive compensation project is on-hold until further notice to permit additional study of SSO in ERCOT.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F71"/>
    <w:multiLevelType w:val="hybridMultilevel"/>
    <w:tmpl w:val="E82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1B3D"/>
    <w:multiLevelType w:val="hybridMultilevel"/>
    <w:tmpl w:val="3F76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6582"/>
    <w:multiLevelType w:val="hybridMultilevel"/>
    <w:tmpl w:val="0E24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C6C6C"/>
    <w:multiLevelType w:val="hybridMultilevel"/>
    <w:tmpl w:val="750E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87217"/>
    <w:multiLevelType w:val="hybridMultilevel"/>
    <w:tmpl w:val="64D2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606C"/>
    <w:multiLevelType w:val="hybridMultilevel"/>
    <w:tmpl w:val="BAF2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415BD"/>
    <w:multiLevelType w:val="multilevel"/>
    <w:tmpl w:val="39028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C61D07"/>
    <w:multiLevelType w:val="hybridMultilevel"/>
    <w:tmpl w:val="7768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4968"/>
    <w:multiLevelType w:val="multilevel"/>
    <w:tmpl w:val="39028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095772"/>
    <w:multiLevelType w:val="hybridMultilevel"/>
    <w:tmpl w:val="F3B05ED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BF"/>
    <w:rsid w:val="00004AB1"/>
    <w:rsid w:val="00011AA0"/>
    <w:rsid w:val="00031A45"/>
    <w:rsid w:val="00047E6F"/>
    <w:rsid w:val="00080668"/>
    <w:rsid w:val="000A5BC1"/>
    <w:rsid w:val="000C0323"/>
    <w:rsid w:val="000C4895"/>
    <w:rsid w:val="000C6C9A"/>
    <w:rsid w:val="000E47C5"/>
    <w:rsid w:val="0011532B"/>
    <w:rsid w:val="00120337"/>
    <w:rsid w:val="00141A24"/>
    <w:rsid w:val="00154AC0"/>
    <w:rsid w:val="00157307"/>
    <w:rsid w:val="0016694D"/>
    <w:rsid w:val="001735A7"/>
    <w:rsid w:val="0018309C"/>
    <w:rsid w:val="00183B50"/>
    <w:rsid w:val="00186C7E"/>
    <w:rsid w:val="00191B88"/>
    <w:rsid w:val="001C3B25"/>
    <w:rsid w:val="001C5D7E"/>
    <w:rsid w:val="001D2BF1"/>
    <w:rsid w:val="001D47EC"/>
    <w:rsid w:val="001D7835"/>
    <w:rsid w:val="001E6246"/>
    <w:rsid w:val="0020408A"/>
    <w:rsid w:val="00205E1E"/>
    <w:rsid w:val="002238B6"/>
    <w:rsid w:val="00234E15"/>
    <w:rsid w:val="00261FB5"/>
    <w:rsid w:val="002751F9"/>
    <w:rsid w:val="00294AC0"/>
    <w:rsid w:val="002A79CF"/>
    <w:rsid w:val="002B4D2D"/>
    <w:rsid w:val="002C49EB"/>
    <w:rsid w:val="002D3041"/>
    <w:rsid w:val="002D4DE0"/>
    <w:rsid w:val="002E5616"/>
    <w:rsid w:val="002E5686"/>
    <w:rsid w:val="002F100E"/>
    <w:rsid w:val="00301017"/>
    <w:rsid w:val="003101A3"/>
    <w:rsid w:val="003142D4"/>
    <w:rsid w:val="00314D6F"/>
    <w:rsid w:val="003236D3"/>
    <w:rsid w:val="00344C02"/>
    <w:rsid w:val="00355815"/>
    <w:rsid w:val="00355B8B"/>
    <w:rsid w:val="00361410"/>
    <w:rsid w:val="003630AF"/>
    <w:rsid w:val="0036492B"/>
    <w:rsid w:val="00381D86"/>
    <w:rsid w:val="003844D9"/>
    <w:rsid w:val="003A666D"/>
    <w:rsid w:val="003B2FE2"/>
    <w:rsid w:val="003B623E"/>
    <w:rsid w:val="003C0840"/>
    <w:rsid w:val="003C2D9B"/>
    <w:rsid w:val="003C3D1E"/>
    <w:rsid w:val="003D7C7F"/>
    <w:rsid w:val="003E64E3"/>
    <w:rsid w:val="003F5905"/>
    <w:rsid w:val="003F7B16"/>
    <w:rsid w:val="00407A52"/>
    <w:rsid w:val="004160FD"/>
    <w:rsid w:val="00450540"/>
    <w:rsid w:val="00467485"/>
    <w:rsid w:val="00474014"/>
    <w:rsid w:val="004A29BE"/>
    <w:rsid w:val="004B74DF"/>
    <w:rsid w:val="004C29F4"/>
    <w:rsid w:val="004C6A95"/>
    <w:rsid w:val="004D3716"/>
    <w:rsid w:val="004E4B84"/>
    <w:rsid w:val="004E5336"/>
    <w:rsid w:val="004E6D31"/>
    <w:rsid w:val="00501BAF"/>
    <w:rsid w:val="00513FBF"/>
    <w:rsid w:val="00514748"/>
    <w:rsid w:val="0052669A"/>
    <w:rsid w:val="00530839"/>
    <w:rsid w:val="00546DD7"/>
    <w:rsid w:val="005609CD"/>
    <w:rsid w:val="00577C58"/>
    <w:rsid w:val="00593E5B"/>
    <w:rsid w:val="00595234"/>
    <w:rsid w:val="005976C6"/>
    <w:rsid w:val="005A19F9"/>
    <w:rsid w:val="005B4C55"/>
    <w:rsid w:val="005B6577"/>
    <w:rsid w:val="005C656F"/>
    <w:rsid w:val="005C7BB2"/>
    <w:rsid w:val="005D30BF"/>
    <w:rsid w:val="005E2F28"/>
    <w:rsid w:val="005F5053"/>
    <w:rsid w:val="00613577"/>
    <w:rsid w:val="00644888"/>
    <w:rsid w:val="006537EE"/>
    <w:rsid w:val="00677158"/>
    <w:rsid w:val="006A6A93"/>
    <w:rsid w:val="006B777B"/>
    <w:rsid w:val="006C6861"/>
    <w:rsid w:val="006F010C"/>
    <w:rsid w:val="006F1DA6"/>
    <w:rsid w:val="00704ACB"/>
    <w:rsid w:val="00727560"/>
    <w:rsid w:val="00732563"/>
    <w:rsid w:val="00753DD6"/>
    <w:rsid w:val="00764854"/>
    <w:rsid w:val="00787CB7"/>
    <w:rsid w:val="00790788"/>
    <w:rsid w:val="007A453C"/>
    <w:rsid w:val="007A6FCF"/>
    <w:rsid w:val="007B56AF"/>
    <w:rsid w:val="007E3A88"/>
    <w:rsid w:val="007F75F3"/>
    <w:rsid w:val="00811652"/>
    <w:rsid w:val="00823A3E"/>
    <w:rsid w:val="00825E2C"/>
    <w:rsid w:val="00854957"/>
    <w:rsid w:val="008716A2"/>
    <w:rsid w:val="00892B52"/>
    <w:rsid w:val="008967FF"/>
    <w:rsid w:val="008A2828"/>
    <w:rsid w:val="008A5110"/>
    <w:rsid w:val="008B4874"/>
    <w:rsid w:val="008C09CE"/>
    <w:rsid w:val="008D7D7A"/>
    <w:rsid w:val="00901AC1"/>
    <w:rsid w:val="00904BBC"/>
    <w:rsid w:val="00941B4E"/>
    <w:rsid w:val="00954DC7"/>
    <w:rsid w:val="00983E2C"/>
    <w:rsid w:val="009A46F5"/>
    <w:rsid w:val="009B307E"/>
    <w:rsid w:val="009C1350"/>
    <w:rsid w:val="009E271A"/>
    <w:rsid w:val="009E45EA"/>
    <w:rsid w:val="009F0317"/>
    <w:rsid w:val="009F5D49"/>
    <w:rsid w:val="00A0693A"/>
    <w:rsid w:val="00A110F8"/>
    <w:rsid w:val="00A234E1"/>
    <w:rsid w:val="00A25E9A"/>
    <w:rsid w:val="00A3244B"/>
    <w:rsid w:val="00A3464E"/>
    <w:rsid w:val="00A3474B"/>
    <w:rsid w:val="00A47A77"/>
    <w:rsid w:val="00A53384"/>
    <w:rsid w:val="00A87F30"/>
    <w:rsid w:val="00A907D7"/>
    <w:rsid w:val="00AA140C"/>
    <w:rsid w:val="00AF4A21"/>
    <w:rsid w:val="00B110E8"/>
    <w:rsid w:val="00B22639"/>
    <w:rsid w:val="00B316FB"/>
    <w:rsid w:val="00B347EB"/>
    <w:rsid w:val="00B770F0"/>
    <w:rsid w:val="00BC62AE"/>
    <w:rsid w:val="00BD245F"/>
    <w:rsid w:val="00C12ADF"/>
    <w:rsid w:val="00C4279F"/>
    <w:rsid w:val="00C47A60"/>
    <w:rsid w:val="00C51696"/>
    <w:rsid w:val="00C55D62"/>
    <w:rsid w:val="00C744E8"/>
    <w:rsid w:val="00C83EF8"/>
    <w:rsid w:val="00CA44E5"/>
    <w:rsid w:val="00CB17DA"/>
    <w:rsid w:val="00CF2D98"/>
    <w:rsid w:val="00D07637"/>
    <w:rsid w:val="00D127C2"/>
    <w:rsid w:val="00D14E61"/>
    <w:rsid w:val="00D46EF0"/>
    <w:rsid w:val="00D77998"/>
    <w:rsid w:val="00D77C47"/>
    <w:rsid w:val="00D806D2"/>
    <w:rsid w:val="00D81D06"/>
    <w:rsid w:val="00DA67B5"/>
    <w:rsid w:val="00DA6E8A"/>
    <w:rsid w:val="00DB0323"/>
    <w:rsid w:val="00DB05AA"/>
    <w:rsid w:val="00DB46D4"/>
    <w:rsid w:val="00DE5EEF"/>
    <w:rsid w:val="00DE734B"/>
    <w:rsid w:val="00DF161A"/>
    <w:rsid w:val="00E2212D"/>
    <w:rsid w:val="00E415DC"/>
    <w:rsid w:val="00E47975"/>
    <w:rsid w:val="00E50FD3"/>
    <w:rsid w:val="00E621ED"/>
    <w:rsid w:val="00E930DE"/>
    <w:rsid w:val="00E93978"/>
    <w:rsid w:val="00E9517E"/>
    <w:rsid w:val="00E96EAA"/>
    <w:rsid w:val="00EB4F69"/>
    <w:rsid w:val="00EB60B1"/>
    <w:rsid w:val="00EC6940"/>
    <w:rsid w:val="00ED01D5"/>
    <w:rsid w:val="00ED4CA4"/>
    <w:rsid w:val="00EF3587"/>
    <w:rsid w:val="00EF50C6"/>
    <w:rsid w:val="00EF55C4"/>
    <w:rsid w:val="00F32F66"/>
    <w:rsid w:val="00F624D0"/>
    <w:rsid w:val="00F66680"/>
    <w:rsid w:val="00F85CB1"/>
    <w:rsid w:val="00F95C95"/>
    <w:rsid w:val="00FB33F1"/>
    <w:rsid w:val="00FB4E08"/>
    <w:rsid w:val="00FC0C0F"/>
    <w:rsid w:val="00FC3AC2"/>
    <w:rsid w:val="00FC7CB5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EEF"/>
    <w:rPr>
      <w:vertAlign w:val="superscript"/>
    </w:rPr>
  </w:style>
  <w:style w:type="table" w:styleId="TableGrid">
    <w:name w:val="Table Grid"/>
    <w:basedOn w:val="TableNormal"/>
    <w:uiPriority w:val="59"/>
    <w:rsid w:val="00A2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90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E2"/>
  </w:style>
  <w:style w:type="paragraph" w:styleId="Footer">
    <w:name w:val="footer"/>
    <w:basedOn w:val="Normal"/>
    <w:link w:val="Foot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E2"/>
  </w:style>
  <w:style w:type="character" w:styleId="CommentReference">
    <w:name w:val="annotation reference"/>
    <w:basedOn w:val="DefaultParagraphFont"/>
    <w:uiPriority w:val="99"/>
    <w:semiHidden/>
    <w:unhideWhenUsed/>
    <w:rsid w:val="0017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533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3D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EEF"/>
    <w:rPr>
      <w:vertAlign w:val="superscript"/>
    </w:rPr>
  </w:style>
  <w:style w:type="table" w:styleId="TableGrid">
    <w:name w:val="Table Grid"/>
    <w:basedOn w:val="TableNormal"/>
    <w:uiPriority w:val="59"/>
    <w:rsid w:val="00A2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90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E2"/>
  </w:style>
  <w:style w:type="paragraph" w:styleId="Footer">
    <w:name w:val="footer"/>
    <w:basedOn w:val="Normal"/>
    <w:link w:val="Foot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E2"/>
  </w:style>
  <w:style w:type="character" w:styleId="CommentReference">
    <w:name w:val="annotation reference"/>
    <w:basedOn w:val="DefaultParagraphFont"/>
    <w:uiPriority w:val="99"/>
    <w:semiHidden/>
    <w:unhideWhenUsed/>
    <w:rsid w:val="0017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533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3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2402-3136-4FBC-AAD4-4DB4AE58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Janak, Sarah</dc:creator>
  <cp:lastModifiedBy>Janak, Sarah</cp:lastModifiedBy>
  <cp:revision>2</cp:revision>
  <dcterms:created xsi:type="dcterms:W3CDTF">2015-07-21T16:28:00Z</dcterms:created>
  <dcterms:modified xsi:type="dcterms:W3CDTF">2015-07-21T16:28:00Z</dcterms:modified>
</cp:coreProperties>
</file>