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485" w:rsidRPr="007354D0" w:rsidRDefault="001E4C52">
      <w:pPr>
        <w:pStyle w:val="BodyA"/>
        <w:jc w:val="center"/>
        <w:rPr>
          <w:rFonts w:ascii="Calibri" w:hAnsi="Calibri"/>
          <w:sz w:val="32"/>
          <w:szCs w:val="32"/>
        </w:rPr>
      </w:pPr>
      <w:bookmarkStart w:id="0" w:name="_GoBack"/>
      <w:bookmarkEnd w:id="0"/>
      <w:r w:rsidRPr="007354D0">
        <w:rPr>
          <w:rFonts w:ascii="Calibri" w:hAnsi="Calibri"/>
          <w:sz w:val="32"/>
          <w:szCs w:val="32"/>
        </w:rPr>
        <w:t xml:space="preserve">White Paper Addressing Differences </w:t>
      </w:r>
      <w:r w:rsidR="00F82EF3" w:rsidRPr="00766ADF">
        <w:rPr>
          <w:rFonts w:ascii="Calibri" w:hAnsi="Calibri"/>
          <w:sz w:val="32"/>
          <w:szCs w:val="32"/>
        </w:rPr>
        <w:t>b</w:t>
      </w:r>
      <w:r w:rsidRPr="007354D0">
        <w:rPr>
          <w:rFonts w:ascii="Calibri" w:hAnsi="Calibri"/>
          <w:sz w:val="32"/>
          <w:szCs w:val="32"/>
        </w:rPr>
        <w:t>etween the</w:t>
      </w:r>
      <w:r w:rsidR="00F82EF3" w:rsidRPr="00766ADF">
        <w:rPr>
          <w:rFonts w:ascii="Calibri" w:hAnsi="Calibri"/>
          <w:sz w:val="32"/>
          <w:szCs w:val="32"/>
        </w:rPr>
        <w:t xml:space="preserve"> </w:t>
      </w:r>
      <w:r w:rsidR="00DB0CF3" w:rsidRPr="007354D0">
        <w:rPr>
          <w:rFonts w:ascii="Calibri" w:hAnsi="Calibri"/>
          <w:sz w:val="32"/>
          <w:szCs w:val="32"/>
        </w:rPr>
        <w:t xml:space="preserve">CDR </w:t>
      </w:r>
      <w:r w:rsidR="00D77CDA" w:rsidRPr="007354D0">
        <w:rPr>
          <w:rFonts w:ascii="Calibri" w:hAnsi="Calibri"/>
          <w:sz w:val="32"/>
          <w:szCs w:val="32"/>
        </w:rPr>
        <w:t xml:space="preserve">Report </w:t>
      </w:r>
      <w:r w:rsidR="00DB0CF3" w:rsidRPr="007354D0">
        <w:rPr>
          <w:rFonts w:ascii="Calibri" w:hAnsi="Calibri"/>
          <w:sz w:val="32"/>
          <w:szCs w:val="32"/>
        </w:rPr>
        <w:t xml:space="preserve">and </w:t>
      </w:r>
      <w:r w:rsidR="00D77CDA" w:rsidRPr="007354D0">
        <w:rPr>
          <w:rFonts w:ascii="Calibri" w:hAnsi="Calibri"/>
          <w:sz w:val="32"/>
          <w:szCs w:val="32"/>
        </w:rPr>
        <w:t xml:space="preserve">Transmission </w:t>
      </w:r>
      <w:r w:rsidR="00DB0CF3" w:rsidRPr="007354D0">
        <w:rPr>
          <w:rFonts w:ascii="Calibri" w:hAnsi="Calibri"/>
          <w:sz w:val="32"/>
          <w:szCs w:val="32"/>
        </w:rPr>
        <w:t>Planning Model</w:t>
      </w:r>
      <w:r w:rsidRPr="007354D0">
        <w:rPr>
          <w:rFonts w:ascii="Calibri" w:hAnsi="Calibri"/>
          <w:sz w:val="32"/>
          <w:szCs w:val="32"/>
        </w:rPr>
        <w:t>s</w:t>
      </w:r>
    </w:p>
    <w:p w:rsidR="008D1485" w:rsidRPr="007354D0" w:rsidRDefault="008D1485">
      <w:pPr>
        <w:pStyle w:val="Body"/>
        <w:jc w:val="both"/>
        <w:rPr>
          <w:rFonts w:ascii="Calibri" w:eastAsia="Helvetica" w:hAnsi="Calibri" w:cs="Helvetica"/>
          <w:sz w:val="22"/>
          <w:szCs w:val="22"/>
        </w:rPr>
      </w:pPr>
    </w:p>
    <w:p w:rsidR="008D1485" w:rsidRPr="007354D0" w:rsidRDefault="008D1485">
      <w:pPr>
        <w:pStyle w:val="Body"/>
        <w:jc w:val="both"/>
        <w:rPr>
          <w:rFonts w:ascii="Calibri" w:eastAsia="Helvetica" w:hAnsi="Calibri" w:cs="Helvetica"/>
          <w:sz w:val="22"/>
          <w:szCs w:val="22"/>
        </w:rPr>
      </w:pPr>
    </w:p>
    <w:p w:rsidR="008D1485" w:rsidRPr="007354D0" w:rsidRDefault="00DB0CF3" w:rsidP="007354D0">
      <w:pPr>
        <w:pStyle w:val="Body"/>
        <w:rPr>
          <w:rFonts w:ascii="Calibri" w:eastAsia="Helvetica" w:hAnsi="Calibri" w:cs="Helvetica"/>
          <w:b/>
          <w:sz w:val="28"/>
          <w:szCs w:val="28"/>
        </w:rPr>
      </w:pPr>
      <w:r w:rsidRPr="007354D0">
        <w:rPr>
          <w:rFonts w:ascii="Calibri" w:hAnsi="Calibri"/>
          <w:b/>
          <w:sz w:val="28"/>
          <w:szCs w:val="28"/>
          <w:lang w:val="nl-NL"/>
        </w:rPr>
        <w:t>Overview</w:t>
      </w:r>
    </w:p>
    <w:p w:rsidR="00F82EF3" w:rsidRPr="007354D0" w:rsidRDefault="00F82EF3">
      <w:pPr>
        <w:pStyle w:val="Body"/>
        <w:jc w:val="both"/>
        <w:rPr>
          <w:rFonts w:ascii="Calibri" w:eastAsia="Helvetica" w:hAnsi="Calibri" w:cs="Helvetica"/>
          <w:sz w:val="22"/>
          <w:szCs w:val="22"/>
        </w:rPr>
      </w:pPr>
    </w:p>
    <w:p w:rsidR="00E070E3" w:rsidRPr="007354D0" w:rsidRDefault="00DB0CF3">
      <w:pPr>
        <w:pStyle w:val="Body"/>
        <w:jc w:val="both"/>
        <w:rPr>
          <w:rFonts w:ascii="Calibri" w:hAnsi="Calibri"/>
        </w:rPr>
      </w:pPr>
      <w:r w:rsidRPr="007354D0">
        <w:rPr>
          <w:rFonts w:ascii="Calibri" w:hAnsi="Calibri"/>
        </w:rPr>
        <w:t>During the July 10, 2014</w:t>
      </w:r>
      <w:r w:rsidR="00554CF8" w:rsidRPr="007354D0">
        <w:rPr>
          <w:rFonts w:ascii="Calibri" w:hAnsi="Calibri"/>
        </w:rPr>
        <w:t>, meeting of the ERCOT Reliability and Operations Subcommittee (</w:t>
      </w:r>
      <w:r w:rsidRPr="007354D0">
        <w:rPr>
          <w:rFonts w:ascii="Calibri" w:hAnsi="Calibri"/>
        </w:rPr>
        <w:t>ROS</w:t>
      </w:r>
      <w:r w:rsidR="00554CF8" w:rsidRPr="007354D0">
        <w:rPr>
          <w:rFonts w:ascii="Calibri" w:hAnsi="Calibri"/>
        </w:rPr>
        <w:t>)</w:t>
      </w:r>
      <w:r w:rsidRPr="007354D0">
        <w:rPr>
          <w:rFonts w:ascii="Calibri" w:hAnsi="Calibri"/>
        </w:rPr>
        <w:t xml:space="preserve">, the </w:t>
      </w:r>
      <w:r w:rsidR="00554CF8" w:rsidRPr="007354D0">
        <w:rPr>
          <w:rFonts w:ascii="Calibri" w:hAnsi="Calibri"/>
        </w:rPr>
        <w:t>Planning Working Group (</w:t>
      </w:r>
      <w:r w:rsidRPr="007354D0">
        <w:rPr>
          <w:rFonts w:ascii="Calibri" w:hAnsi="Calibri"/>
        </w:rPr>
        <w:t>PLWG</w:t>
      </w:r>
      <w:r w:rsidR="00593205" w:rsidRPr="007354D0">
        <w:rPr>
          <w:rFonts w:ascii="Calibri" w:hAnsi="Calibri"/>
        </w:rPr>
        <w:t>)</w:t>
      </w:r>
      <w:r w:rsidRPr="007354D0">
        <w:rPr>
          <w:rFonts w:ascii="Calibri" w:hAnsi="Calibri"/>
        </w:rPr>
        <w:t xml:space="preserve"> was asked to create a white paper </w:t>
      </w:r>
      <w:r w:rsidR="0074513B" w:rsidRPr="007354D0">
        <w:rPr>
          <w:rFonts w:ascii="Calibri" w:hAnsi="Calibri"/>
        </w:rPr>
        <w:t>describing</w:t>
      </w:r>
      <w:r w:rsidRPr="007354D0">
        <w:rPr>
          <w:rFonts w:ascii="Calibri" w:hAnsi="Calibri"/>
        </w:rPr>
        <w:t xml:space="preserve"> the load and generation assumption methodologies utilized in the </w:t>
      </w:r>
      <w:r w:rsidR="00E070E3" w:rsidRPr="007354D0">
        <w:rPr>
          <w:rFonts w:ascii="Calibri" w:hAnsi="Calibri"/>
        </w:rPr>
        <w:t xml:space="preserve">Report on the </w:t>
      </w:r>
      <w:r w:rsidRPr="007354D0">
        <w:rPr>
          <w:rFonts w:ascii="Calibri" w:hAnsi="Calibri"/>
          <w:iCs/>
        </w:rPr>
        <w:t xml:space="preserve">Capacity, Demand and Reserves </w:t>
      </w:r>
      <w:r w:rsidR="00E070E3" w:rsidRPr="007354D0">
        <w:rPr>
          <w:rFonts w:ascii="Calibri" w:hAnsi="Calibri"/>
          <w:iCs/>
        </w:rPr>
        <w:t>in the ERCOT Region</w:t>
      </w:r>
      <w:r w:rsidRPr="007354D0">
        <w:rPr>
          <w:rFonts w:ascii="Calibri" w:hAnsi="Calibri"/>
          <w:iCs/>
        </w:rPr>
        <w:t xml:space="preserve"> </w:t>
      </w:r>
      <w:r w:rsidR="00E070E3" w:rsidRPr="007354D0">
        <w:rPr>
          <w:rFonts w:ascii="Calibri" w:hAnsi="Calibri"/>
          <w:iCs/>
        </w:rPr>
        <w:t>(</w:t>
      </w:r>
      <w:r w:rsidR="00BF238B" w:rsidRPr="007354D0">
        <w:rPr>
          <w:rFonts w:ascii="Calibri" w:hAnsi="Calibri"/>
          <w:iCs/>
        </w:rPr>
        <w:t>CDR Report</w:t>
      </w:r>
      <w:r w:rsidR="00E070E3" w:rsidRPr="007354D0">
        <w:rPr>
          <w:rFonts w:ascii="Calibri" w:hAnsi="Calibri"/>
          <w:iCs/>
        </w:rPr>
        <w:t xml:space="preserve">) </w:t>
      </w:r>
      <w:r w:rsidRPr="007354D0">
        <w:rPr>
          <w:rFonts w:ascii="Calibri" w:hAnsi="Calibri"/>
        </w:rPr>
        <w:t xml:space="preserve">and the </w:t>
      </w:r>
      <w:r w:rsidR="00BF238B" w:rsidRPr="007354D0">
        <w:rPr>
          <w:rFonts w:ascii="Calibri" w:hAnsi="Calibri"/>
        </w:rPr>
        <w:t xml:space="preserve">various </w:t>
      </w:r>
      <w:r w:rsidRPr="007354D0">
        <w:rPr>
          <w:rFonts w:ascii="Calibri" w:hAnsi="Calibri"/>
        </w:rPr>
        <w:t xml:space="preserve">ERCOT </w:t>
      </w:r>
      <w:r w:rsidR="00BF238B" w:rsidRPr="007354D0">
        <w:rPr>
          <w:rFonts w:ascii="Calibri" w:hAnsi="Calibri"/>
        </w:rPr>
        <w:t>t</w:t>
      </w:r>
      <w:r w:rsidR="00E070E3" w:rsidRPr="007354D0">
        <w:rPr>
          <w:rFonts w:ascii="Calibri" w:hAnsi="Calibri"/>
        </w:rPr>
        <w:t xml:space="preserve">ransmission </w:t>
      </w:r>
      <w:r w:rsidR="00BF238B" w:rsidRPr="007354D0">
        <w:rPr>
          <w:rFonts w:ascii="Calibri" w:hAnsi="Calibri"/>
        </w:rPr>
        <w:t>p</w:t>
      </w:r>
      <w:r w:rsidR="00E070E3" w:rsidRPr="007354D0">
        <w:rPr>
          <w:rFonts w:ascii="Calibri" w:hAnsi="Calibri"/>
        </w:rPr>
        <w:t xml:space="preserve">lanning </w:t>
      </w:r>
      <w:r w:rsidR="00BF238B" w:rsidRPr="007354D0">
        <w:rPr>
          <w:rFonts w:ascii="Calibri" w:hAnsi="Calibri"/>
        </w:rPr>
        <w:t>m</w:t>
      </w:r>
      <w:r w:rsidR="00E070E3" w:rsidRPr="007354D0">
        <w:rPr>
          <w:rFonts w:ascii="Calibri" w:hAnsi="Calibri"/>
        </w:rPr>
        <w:t>odels (</w:t>
      </w:r>
      <w:r w:rsidR="00BF238B" w:rsidRPr="007354D0">
        <w:rPr>
          <w:rFonts w:ascii="Calibri" w:hAnsi="Calibri"/>
        </w:rPr>
        <w:t>Transmission</w:t>
      </w:r>
      <w:r w:rsidR="00E070E3" w:rsidRPr="007354D0">
        <w:rPr>
          <w:rFonts w:ascii="Calibri" w:hAnsi="Calibri"/>
        </w:rPr>
        <w:t xml:space="preserve"> </w:t>
      </w:r>
      <w:r w:rsidR="00295965" w:rsidRPr="007354D0">
        <w:rPr>
          <w:rFonts w:ascii="Calibri" w:hAnsi="Calibri"/>
        </w:rPr>
        <w:t xml:space="preserve">Planning </w:t>
      </w:r>
      <w:r w:rsidR="00E070E3" w:rsidRPr="007354D0">
        <w:rPr>
          <w:rFonts w:ascii="Calibri" w:hAnsi="Calibri"/>
        </w:rPr>
        <w:t>Models)</w:t>
      </w:r>
      <w:r w:rsidRPr="007354D0">
        <w:rPr>
          <w:rFonts w:ascii="Calibri" w:hAnsi="Calibri"/>
        </w:rPr>
        <w:t xml:space="preserve">.  </w:t>
      </w:r>
      <w:r w:rsidR="00E070E3" w:rsidRPr="007354D0">
        <w:rPr>
          <w:rFonts w:ascii="Calibri" w:hAnsi="Calibri"/>
        </w:rPr>
        <w:t>T</w:t>
      </w:r>
      <w:r w:rsidRPr="007354D0">
        <w:rPr>
          <w:rFonts w:ascii="Calibri" w:hAnsi="Calibri"/>
        </w:rPr>
        <w:t xml:space="preserve">his white paper </w:t>
      </w:r>
      <w:r w:rsidR="00E070E3" w:rsidRPr="007354D0">
        <w:rPr>
          <w:rFonts w:ascii="Calibri" w:hAnsi="Calibri"/>
        </w:rPr>
        <w:t>seeks to satisfy that request by:</w:t>
      </w:r>
    </w:p>
    <w:p w:rsidR="00E013A1" w:rsidRPr="00766ADF" w:rsidRDefault="00E013A1" w:rsidP="007354D0">
      <w:pPr>
        <w:pStyle w:val="Body"/>
        <w:ind w:left="720"/>
        <w:jc w:val="both"/>
        <w:rPr>
          <w:rFonts w:ascii="Calibri" w:hAnsi="Calibri"/>
        </w:rPr>
      </w:pPr>
    </w:p>
    <w:p w:rsidR="00E070E3" w:rsidRPr="007354D0" w:rsidRDefault="00E070E3" w:rsidP="00CE7DC2">
      <w:pPr>
        <w:pStyle w:val="Body"/>
        <w:numPr>
          <w:ilvl w:val="0"/>
          <w:numId w:val="53"/>
        </w:numPr>
        <w:jc w:val="both"/>
        <w:rPr>
          <w:rFonts w:ascii="Calibri" w:hAnsi="Calibri"/>
        </w:rPr>
      </w:pPr>
      <w:r w:rsidRPr="007354D0">
        <w:rPr>
          <w:rFonts w:ascii="Calibri" w:hAnsi="Calibri"/>
        </w:rPr>
        <w:t>describing the purpose</w:t>
      </w:r>
      <w:r w:rsidR="00D77CDA" w:rsidRPr="007354D0">
        <w:rPr>
          <w:rFonts w:ascii="Calibri" w:hAnsi="Calibri"/>
        </w:rPr>
        <w:t>s</w:t>
      </w:r>
      <w:r w:rsidRPr="007354D0">
        <w:rPr>
          <w:rFonts w:ascii="Calibri" w:hAnsi="Calibri"/>
        </w:rPr>
        <w:t xml:space="preserve"> of the CDR </w:t>
      </w:r>
      <w:r w:rsidR="00D77CDA" w:rsidRPr="007354D0">
        <w:rPr>
          <w:rFonts w:ascii="Calibri" w:hAnsi="Calibri"/>
        </w:rPr>
        <w:t xml:space="preserve">Report </w:t>
      </w:r>
      <w:r w:rsidRPr="007354D0">
        <w:rPr>
          <w:rFonts w:ascii="Calibri" w:hAnsi="Calibri"/>
        </w:rPr>
        <w:t xml:space="preserve">and </w:t>
      </w:r>
      <w:r w:rsidR="00BF238B" w:rsidRPr="007354D0">
        <w:rPr>
          <w:rFonts w:ascii="Calibri" w:hAnsi="Calibri"/>
        </w:rPr>
        <w:t xml:space="preserve">the Transmission </w:t>
      </w:r>
      <w:r w:rsidR="00295965" w:rsidRPr="007354D0">
        <w:rPr>
          <w:rFonts w:ascii="Calibri" w:hAnsi="Calibri"/>
        </w:rPr>
        <w:t xml:space="preserve">Planning </w:t>
      </w:r>
      <w:r w:rsidR="00BF238B" w:rsidRPr="007354D0">
        <w:rPr>
          <w:rFonts w:ascii="Calibri" w:hAnsi="Calibri"/>
        </w:rPr>
        <w:t>Models;</w:t>
      </w:r>
    </w:p>
    <w:p w:rsidR="00BF238B" w:rsidRPr="007354D0" w:rsidRDefault="00BF238B" w:rsidP="00CE7DC2">
      <w:pPr>
        <w:pStyle w:val="Body"/>
        <w:numPr>
          <w:ilvl w:val="0"/>
          <w:numId w:val="53"/>
        </w:numPr>
        <w:jc w:val="both"/>
        <w:rPr>
          <w:rFonts w:ascii="Calibri" w:hAnsi="Calibri"/>
        </w:rPr>
      </w:pPr>
      <w:r w:rsidRPr="007354D0">
        <w:rPr>
          <w:rFonts w:ascii="Calibri" w:hAnsi="Calibri"/>
        </w:rPr>
        <w:t xml:space="preserve">identifying the assumption methodologies used in the CDR </w:t>
      </w:r>
      <w:r w:rsidR="00960690" w:rsidRPr="007354D0">
        <w:rPr>
          <w:rFonts w:ascii="Calibri" w:hAnsi="Calibri"/>
        </w:rPr>
        <w:t>Report</w:t>
      </w:r>
      <w:r w:rsidR="00D77CDA" w:rsidRPr="007354D0">
        <w:rPr>
          <w:rFonts w:ascii="Calibri" w:hAnsi="Calibri"/>
        </w:rPr>
        <w:t xml:space="preserve"> </w:t>
      </w:r>
      <w:r w:rsidRPr="007354D0">
        <w:rPr>
          <w:rFonts w:ascii="Calibri" w:hAnsi="Calibri"/>
        </w:rPr>
        <w:t xml:space="preserve">and Transmission </w:t>
      </w:r>
      <w:r w:rsidR="00295965" w:rsidRPr="007354D0">
        <w:rPr>
          <w:rFonts w:ascii="Calibri" w:hAnsi="Calibri"/>
        </w:rPr>
        <w:t xml:space="preserve">Planning </w:t>
      </w:r>
      <w:r w:rsidRPr="007354D0">
        <w:rPr>
          <w:rFonts w:ascii="Calibri" w:hAnsi="Calibri"/>
        </w:rPr>
        <w:t>Models;</w:t>
      </w:r>
    </w:p>
    <w:p w:rsidR="00BF238B" w:rsidRPr="007354D0" w:rsidRDefault="00BF238B" w:rsidP="00CE7DC2">
      <w:pPr>
        <w:pStyle w:val="Body"/>
        <w:numPr>
          <w:ilvl w:val="0"/>
          <w:numId w:val="53"/>
        </w:numPr>
        <w:jc w:val="both"/>
        <w:rPr>
          <w:rFonts w:ascii="Calibri" w:hAnsi="Calibri"/>
        </w:rPr>
      </w:pPr>
      <w:r w:rsidRPr="007354D0">
        <w:rPr>
          <w:rFonts w:ascii="Calibri" w:hAnsi="Calibri"/>
        </w:rPr>
        <w:t>explaining the reasons why different assumption methodologies may be appropriate for certain assumptions; and</w:t>
      </w:r>
    </w:p>
    <w:p w:rsidR="00BF238B" w:rsidRPr="00766ADF" w:rsidRDefault="00BF238B" w:rsidP="00CE7DC2">
      <w:pPr>
        <w:pStyle w:val="Body"/>
        <w:numPr>
          <w:ilvl w:val="0"/>
          <w:numId w:val="53"/>
        </w:numPr>
        <w:jc w:val="both"/>
        <w:rPr>
          <w:rFonts w:ascii="Calibri" w:hAnsi="Calibri"/>
        </w:rPr>
      </w:pPr>
      <w:proofErr w:type="gramStart"/>
      <w:r w:rsidRPr="007354D0">
        <w:rPr>
          <w:rFonts w:ascii="Calibri" w:hAnsi="Calibri"/>
        </w:rPr>
        <w:t>identifying</w:t>
      </w:r>
      <w:proofErr w:type="gramEnd"/>
      <w:r w:rsidRPr="007354D0">
        <w:rPr>
          <w:rFonts w:ascii="Calibri" w:hAnsi="Calibri"/>
        </w:rPr>
        <w:t xml:space="preserve"> the assumptions for which it may be appropriate to eliminate </w:t>
      </w:r>
      <w:r w:rsidR="00D77CDA" w:rsidRPr="007354D0">
        <w:rPr>
          <w:rFonts w:ascii="Calibri" w:hAnsi="Calibri"/>
        </w:rPr>
        <w:t xml:space="preserve">the </w:t>
      </w:r>
      <w:r w:rsidRPr="007354D0">
        <w:rPr>
          <w:rFonts w:ascii="Calibri" w:hAnsi="Calibri"/>
        </w:rPr>
        <w:t>differences.</w:t>
      </w:r>
    </w:p>
    <w:p w:rsidR="00F82EF3" w:rsidRPr="007354D0" w:rsidRDefault="00F82EF3" w:rsidP="007354D0">
      <w:pPr>
        <w:pStyle w:val="Body"/>
        <w:jc w:val="both"/>
        <w:rPr>
          <w:rFonts w:ascii="Calibri" w:hAnsi="Calibri"/>
        </w:rPr>
      </w:pPr>
    </w:p>
    <w:p w:rsidR="007B7864" w:rsidRPr="007354D0" w:rsidRDefault="00B474E3" w:rsidP="007354D0">
      <w:pPr>
        <w:pStyle w:val="Heading2"/>
        <w:rPr>
          <w:rFonts w:ascii="Calibri" w:hAnsi="Calibri"/>
          <w:color w:val="auto"/>
          <w:sz w:val="28"/>
          <w:szCs w:val="28"/>
        </w:rPr>
      </w:pPr>
      <w:r w:rsidRPr="007354D0">
        <w:rPr>
          <w:rFonts w:ascii="Calibri" w:hAnsi="Calibri"/>
          <w:color w:val="auto"/>
          <w:sz w:val="28"/>
          <w:szCs w:val="28"/>
        </w:rPr>
        <w:t>Purpose of the CDR</w:t>
      </w:r>
      <w:r w:rsidR="005656C8" w:rsidRPr="00766ADF">
        <w:rPr>
          <w:rFonts w:ascii="Calibri" w:hAnsi="Calibri"/>
          <w:color w:val="auto"/>
          <w:sz w:val="28"/>
          <w:szCs w:val="28"/>
        </w:rPr>
        <w:t xml:space="preserve"> Report</w:t>
      </w:r>
    </w:p>
    <w:p w:rsidR="00F82EF3" w:rsidRPr="007354D0" w:rsidRDefault="00F82EF3">
      <w:pPr>
        <w:pStyle w:val="BodyA"/>
        <w:rPr>
          <w:rFonts w:ascii="Calibri" w:hAnsi="Calibri"/>
          <w:sz w:val="24"/>
          <w:szCs w:val="24"/>
        </w:rPr>
      </w:pPr>
    </w:p>
    <w:p w:rsidR="008D1485" w:rsidRPr="00766ADF" w:rsidRDefault="00DB0CF3">
      <w:pPr>
        <w:pStyle w:val="BodyA"/>
        <w:rPr>
          <w:rFonts w:ascii="Calibri" w:hAnsi="Calibri"/>
          <w:sz w:val="24"/>
          <w:szCs w:val="24"/>
        </w:rPr>
      </w:pPr>
      <w:r w:rsidRPr="007354D0">
        <w:rPr>
          <w:rFonts w:ascii="Calibri" w:hAnsi="Calibri"/>
          <w:sz w:val="24"/>
          <w:szCs w:val="24"/>
        </w:rPr>
        <w:t xml:space="preserve">The </w:t>
      </w:r>
      <w:r w:rsidR="00BF238B" w:rsidRPr="007354D0">
        <w:rPr>
          <w:rFonts w:ascii="Calibri" w:hAnsi="Calibri"/>
          <w:sz w:val="24"/>
          <w:szCs w:val="24"/>
        </w:rPr>
        <w:t>CDR Report</w:t>
      </w:r>
      <w:r w:rsidRPr="007354D0">
        <w:rPr>
          <w:rFonts w:ascii="Calibri" w:hAnsi="Calibri"/>
          <w:sz w:val="24"/>
          <w:szCs w:val="24"/>
        </w:rPr>
        <w:t xml:space="preserve"> </w:t>
      </w:r>
      <w:r w:rsidR="005705D4" w:rsidRPr="007354D0">
        <w:rPr>
          <w:rFonts w:ascii="Calibri" w:hAnsi="Calibri"/>
          <w:sz w:val="24"/>
          <w:szCs w:val="24"/>
        </w:rPr>
        <w:t>provides an estimate of the planning reserve margin in the summer and winter peak load seasons for the next ten years.</w:t>
      </w:r>
      <w:r w:rsidRPr="007354D0">
        <w:rPr>
          <w:rFonts w:ascii="Calibri" w:hAnsi="Calibri"/>
          <w:sz w:val="24"/>
          <w:szCs w:val="24"/>
        </w:rPr>
        <w:t xml:space="preserve"> </w:t>
      </w:r>
      <w:r w:rsidR="00106979" w:rsidRPr="007354D0">
        <w:rPr>
          <w:rFonts w:ascii="Calibri" w:hAnsi="Calibri"/>
          <w:sz w:val="24"/>
          <w:szCs w:val="24"/>
        </w:rPr>
        <w:t xml:space="preserve"> </w:t>
      </w:r>
      <w:r w:rsidR="005705D4" w:rsidRPr="007354D0">
        <w:rPr>
          <w:rFonts w:ascii="Calibri" w:hAnsi="Calibri"/>
          <w:sz w:val="24"/>
          <w:szCs w:val="24"/>
        </w:rPr>
        <w:t xml:space="preserve">At a high level, the planning reserve margin is </w:t>
      </w:r>
      <w:r w:rsidR="00106979" w:rsidRPr="007354D0">
        <w:rPr>
          <w:rFonts w:ascii="Calibri" w:hAnsi="Calibri"/>
          <w:sz w:val="24"/>
          <w:szCs w:val="24"/>
        </w:rPr>
        <w:t xml:space="preserve">calculated as the difference between </w:t>
      </w:r>
      <w:r w:rsidR="00483798" w:rsidRPr="007354D0">
        <w:rPr>
          <w:rFonts w:ascii="Calibri" w:hAnsi="Calibri"/>
          <w:sz w:val="24"/>
          <w:szCs w:val="24"/>
        </w:rPr>
        <w:t>generation</w:t>
      </w:r>
      <w:r w:rsidR="005705D4" w:rsidRPr="007354D0">
        <w:rPr>
          <w:rFonts w:ascii="Calibri" w:hAnsi="Calibri"/>
          <w:sz w:val="24"/>
          <w:szCs w:val="24"/>
        </w:rPr>
        <w:t xml:space="preserve"> capacity </w:t>
      </w:r>
      <w:r w:rsidR="00106979" w:rsidRPr="007354D0">
        <w:rPr>
          <w:rFonts w:ascii="Calibri" w:hAnsi="Calibri"/>
          <w:sz w:val="24"/>
          <w:szCs w:val="24"/>
        </w:rPr>
        <w:t>and</w:t>
      </w:r>
      <w:r w:rsidR="00483798" w:rsidRPr="007354D0">
        <w:rPr>
          <w:rFonts w:ascii="Calibri" w:hAnsi="Calibri"/>
          <w:sz w:val="24"/>
          <w:szCs w:val="24"/>
        </w:rPr>
        <w:t xml:space="preserve"> </w:t>
      </w:r>
      <w:r w:rsidR="005705D4" w:rsidRPr="007354D0">
        <w:rPr>
          <w:rFonts w:ascii="Calibri" w:hAnsi="Calibri"/>
          <w:sz w:val="24"/>
          <w:szCs w:val="24"/>
        </w:rPr>
        <w:t>firm peak load.</w:t>
      </w:r>
      <w:r w:rsidR="00B474E3" w:rsidRPr="007354D0">
        <w:rPr>
          <w:rStyle w:val="FootnoteReference"/>
          <w:rFonts w:ascii="Calibri" w:hAnsi="Calibri"/>
          <w:sz w:val="24"/>
          <w:szCs w:val="24"/>
        </w:rPr>
        <w:t xml:space="preserve"> </w:t>
      </w:r>
      <w:r w:rsidR="00B474E3" w:rsidRPr="007354D0">
        <w:rPr>
          <w:rStyle w:val="FootnoteReference"/>
          <w:rFonts w:ascii="Calibri" w:hAnsi="Calibri"/>
          <w:sz w:val="24"/>
          <w:szCs w:val="24"/>
        </w:rPr>
        <w:footnoteReference w:id="1"/>
      </w:r>
      <w:r w:rsidR="005705D4" w:rsidRPr="007354D0">
        <w:rPr>
          <w:rFonts w:ascii="Calibri" w:hAnsi="Calibri"/>
          <w:sz w:val="24"/>
          <w:szCs w:val="24"/>
        </w:rPr>
        <w:t xml:space="preserve"> </w:t>
      </w:r>
      <w:r w:rsidR="00106979" w:rsidRPr="007354D0">
        <w:rPr>
          <w:rFonts w:ascii="Calibri" w:hAnsi="Calibri"/>
          <w:sz w:val="24"/>
          <w:szCs w:val="24"/>
        </w:rPr>
        <w:t xml:space="preserve"> This calculation does not itself provide information about expected reliability in future years because it does not fully account for forced generation outages, extreme temperatures, and </w:t>
      </w:r>
      <w:r w:rsidR="00CB4832" w:rsidRPr="007354D0">
        <w:rPr>
          <w:rFonts w:ascii="Calibri" w:hAnsi="Calibri"/>
          <w:sz w:val="24"/>
          <w:szCs w:val="24"/>
        </w:rPr>
        <w:t>the variability of</w:t>
      </w:r>
      <w:r w:rsidR="00106979" w:rsidRPr="007354D0">
        <w:rPr>
          <w:rFonts w:ascii="Calibri" w:hAnsi="Calibri"/>
          <w:sz w:val="24"/>
          <w:szCs w:val="24"/>
        </w:rPr>
        <w:t xml:space="preserve"> wind</w:t>
      </w:r>
      <w:r w:rsidR="00492E9D" w:rsidRPr="007354D0">
        <w:rPr>
          <w:rFonts w:ascii="Calibri" w:hAnsi="Calibri"/>
          <w:sz w:val="24"/>
          <w:szCs w:val="24"/>
        </w:rPr>
        <w:t xml:space="preserve"> and other renewable</w:t>
      </w:r>
      <w:r w:rsidR="00AD4019" w:rsidRPr="007354D0">
        <w:rPr>
          <w:rFonts w:ascii="Calibri" w:hAnsi="Calibri"/>
          <w:sz w:val="24"/>
          <w:szCs w:val="24"/>
        </w:rPr>
        <w:t xml:space="preserve"> resources</w:t>
      </w:r>
      <w:r w:rsidR="00106979" w:rsidRPr="007354D0">
        <w:rPr>
          <w:rFonts w:ascii="Calibri" w:hAnsi="Calibri"/>
          <w:sz w:val="24"/>
          <w:szCs w:val="24"/>
        </w:rPr>
        <w:t xml:space="preserve">.  To address those issues, a </w:t>
      </w:r>
      <w:r w:rsidR="00CB4832" w:rsidRPr="007354D0">
        <w:rPr>
          <w:rFonts w:ascii="Calibri" w:hAnsi="Calibri"/>
          <w:sz w:val="24"/>
          <w:szCs w:val="24"/>
        </w:rPr>
        <w:t>separate los</w:t>
      </w:r>
      <w:r w:rsidR="00104E80" w:rsidRPr="007354D0">
        <w:rPr>
          <w:rFonts w:ascii="Calibri" w:hAnsi="Calibri"/>
          <w:sz w:val="24"/>
          <w:szCs w:val="24"/>
        </w:rPr>
        <w:t>s</w:t>
      </w:r>
      <w:r w:rsidR="00CB4832" w:rsidRPr="007354D0">
        <w:rPr>
          <w:rFonts w:ascii="Calibri" w:hAnsi="Calibri"/>
          <w:sz w:val="24"/>
          <w:szCs w:val="24"/>
        </w:rPr>
        <w:t xml:space="preserve">-of-load expectation study </w:t>
      </w:r>
      <w:r w:rsidR="00D725B9" w:rsidRPr="007354D0">
        <w:rPr>
          <w:rFonts w:ascii="Calibri" w:hAnsi="Calibri"/>
          <w:sz w:val="24"/>
          <w:szCs w:val="24"/>
        </w:rPr>
        <w:t xml:space="preserve">(LOLE Study) </w:t>
      </w:r>
      <w:r w:rsidR="00CB4832" w:rsidRPr="007354D0">
        <w:rPr>
          <w:rFonts w:ascii="Calibri" w:hAnsi="Calibri"/>
          <w:sz w:val="24"/>
          <w:szCs w:val="24"/>
        </w:rPr>
        <w:t xml:space="preserve">is performed to determine the expected level of reliability provided by </w:t>
      </w:r>
      <w:r w:rsidR="00D725B9" w:rsidRPr="007354D0">
        <w:rPr>
          <w:rFonts w:ascii="Calibri" w:hAnsi="Calibri"/>
          <w:sz w:val="24"/>
          <w:szCs w:val="24"/>
        </w:rPr>
        <w:t>a given</w:t>
      </w:r>
      <w:r w:rsidR="00CB4832" w:rsidRPr="007354D0">
        <w:rPr>
          <w:rFonts w:ascii="Calibri" w:hAnsi="Calibri"/>
          <w:sz w:val="24"/>
          <w:szCs w:val="24"/>
        </w:rPr>
        <w:t xml:space="preserve"> planning reserve margin.  </w:t>
      </w:r>
      <w:r w:rsidR="00DE4140" w:rsidRPr="007354D0">
        <w:rPr>
          <w:rFonts w:ascii="Calibri" w:hAnsi="Calibri"/>
          <w:sz w:val="24"/>
          <w:szCs w:val="24"/>
        </w:rPr>
        <w:t>S</w:t>
      </w:r>
      <w:r w:rsidR="00CB4832" w:rsidRPr="007354D0">
        <w:rPr>
          <w:rFonts w:ascii="Calibri" w:hAnsi="Calibri"/>
          <w:sz w:val="24"/>
          <w:szCs w:val="24"/>
        </w:rPr>
        <w:t xml:space="preserve">takeholders may then compare the expected planning reserve margins in the CDR Report with the results of the LOLE </w:t>
      </w:r>
      <w:r w:rsidR="00D725B9" w:rsidRPr="007354D0">
        <w:rPr>
          <w:rFonts w:ascii="Calibri" w:hAnsi="Calibri"/>
          <w:sz w:val="24"/>
          <w:szCs w:val="24"/>
        </w:rPr>
        <w:t>S</w:t>
      </w:r>
      <w:r w:rsidR="00CB4832" w:rsidRPr="007354D0">
        <w:rPr>
          <w:rFonts w:ascii="Calibri" w:hAnsi="Calibri"/>
          <w:sz w:val="24"/>
          <w:szCs w:val="24"/>
        </w:rPr>
        <w:t>tudy</w:t>
      </w:r>
      <w:r w:rsidR="00D725B9" w:rsidRPr="007354D0">
        <w:rPr>
          <w:rFonts w:ascii="Calibri" w:hAnsi="Calibri"/>
          <w:sz w:val="24"/>
          <w:szCs w:val="24"/>
        </w:rPr>
        <w:t xml:space="preserve"> </w:t>
      </w:r>
      <w:r w:rsidR="00CB4832" w:rsidRPr="007354D0">
        <w:rPr>
          <w:rFonts w:ascii="Calibri" w:hAnsi="Calibri"/>
          <w:sz w:val="24"/>
          <w:szCs w:val="24"/>
        </w:rPr>
        <w:t xml:space="preserve">to inform their respective activities </w:t>
      </w:r>
      <w:r w:rsidR="00DE4140" w:rsidRPr="007354D0">
        <w:rPr>
          <w:rFonts w:ascii="Calibri" w:hAnsi="Calibri"/>
          <w:sz w:val="24"/>
          <w:szCs w:val="24"/>
        </w:rPr>
        <w:t>related to</w:t>
      </w:r>
      <w:r w:rsidR="00CB4832" w:rsidRPr="007354D0">
        <w:rPr>
          <w:rFonts w:ascii="Calibri" w:hAnsi="Calibri"/>
          <w:sz w:val="24"/>
          <w:szCs w:val="24"/>
        </w:rPr>
        <w:t xml:space="preserve"> the ERCOT Region.</w:t>
      </w:r>
    </w:p>
    <w:p w:rsidR="00E013A1" w:rsidRPr="007354D0" w:rsidRDefault="00E013A1">
      <w:pPr>
        <w:pStyle w:val="BodyA"/>
        <w:rPr>
          <w:rFonts w:ascii="Calibri" w:hAnsi="Calibri"/>
          <w:sz w:val="24"/>
          <w:szCs w:val="24"/>
        </w:rPr>
      </w:pPr>
    </w:p>
    <w:p w:rsidR="007B7864" w:rsidRPr="007354D0" w:rsidRDefault="00B474E3" w:rsidP="007354D0">
      <w:pPr>
        <w:pStyle w:val="Heading2"/>
        <w:rPr>
          <w:rFonts w:ascii="Calibri" w:hAnsi="Calibri"/>
          <w:color w:val="auto"/>
          <w:sz w:val="28"/>
          <w:szCs w:val="28"/>
        </w:rPr>
      </w:pPr>
      <w:r w:rsidRPr="007354D0">
        <w:rPr>
          <w:rFonts w:ascii="Calibri" w:hAnsi="Calibri"/>
          <w:color w:val="auto"/>
          <w:sz w:val="28"/>
          <w:szCs w:val="28"/>
        </w:rPr>
        <w:t>Purpose of the Transmission Planning Models</w:t>
      </w:r>
    </w:p>
    <w:p w:rsidR="00F82EF3" w:rsidRPr="00E013A1" w:rsidRDefault="00F82EF3" w:rsidP="007354D0"/>
    <w:p w:rsidR="008D1485" w:rsidRPr="007354D0" w:rsidRDefault="00DB0CF3">
      <w:pPr>
        <w:pStyle w:val="BodyA"/>
        <w:rPr>
          <w:rFonts w:ascii="Calibri" w:hAnsi="Calibri"/>
          <w:sz w:val="24"/>
          <w:szCs w:val="24"/>
        </w:rPr>
      </w:pPr>
      <w:r w:rsidRPr="007354D0">
        <w:rPr>
          <w:rFonts w:ascii="Calibri" w:hAnsi="Calibri"/>
          <w:sz w:val="24"/>
          <w:szCs w:val="24"/>
        </w:rPr>
        <w:t xml:space="preserve">The </w:t>
      </w:r>
      <w:r w:rsidR="00295965" w:rsidRPr="007354D0">
        <w:rPr>
          <w:rFonts w:ascii="Calibri" w:hAnsi="Calibri"/>
          <w:sz w:val="24"/>
          <w:szCs w:val="24"/>
        </w:rPr>
        <w:t>Transmission Planning Models</w:t>
      </w:r>
      <w:r w:rsidRPr="007354D0">
        <w:rPr>
          <w:rFonts w:ascii="Calibri" w:hAnsi="Calibri"/>
          <w:sz w:val="24"/>
          <w:szCs w:val="24"/>
        </w:rPr>
        <w:t xml:space="preserve"> </w:t>
      </w:r>
      <w:r w:rsidR="00D77CDA" w:rsidRPr="007354D0">
        <w:rPr>
          <w:rFonts w:ascii="Calibri" w:hAnsi="Calibri"/>
          <w:sz w:val="24"/>
          <w:szCs w:val="24"/>
        </w:rPr>
        <w:t xml:space="preserve">provide </w:t>
      </w:r>
      <w:r w:rsidR="00887E76" w:rsidRPr="007354D0">
        <w:rPr>
          <w:rFonts w:ascii="Calibri" w:hAnsi="Calibri"/>
          <w:sz w:val="24"/>
          <w:szCs w:val="24"/>
        </w:rPr>
        <w:t>the starting point for power flow analysis that determines</w:t>
      </w:r>
      <w:r w:rsidR="00D77CDA" w:rsidRPr="007354D0">
        <w:rPr>
          <w:rFonts w:ascii="Calibri" w:hAnsi="Calibri"/>
          <w:sz w:val="24"/>
          <w:szCs w:val="24"/>
        </w:rPr>
        <w:t xml:space="preserve"> whether electric grid infrastructure will be adequate to </w:t>
      </w:r>
      <w:r w:rsidRPr="007354D0">
        <w:rPr>
          <w:rFonts w:ascii="Calibri" w:hAnsi="Calibri"/>
          <w:sz w:val="24"/>
          <w:szCs w:val="24"/>
        </w:rPr>
        <w:t xml:space="preserve">move electric power from </w:t>
      </w:r>
      <w:r w:rsidR="00D77CDA" w:rsidRPr="007354D0">
        <w:rPr>
          <w:rFonts w:ascii="Calibri" w:hAnsi="Calibri"/>
          <w:sz w:val="24"/>
          <w:szCs w:val="24"/>
        </w:rPr>
        <w:t xml:space="preserve">generation </w:t>
      </w:r>
      <w:r w:rsidRPr="007354D0">
        <w:rPr>
          <w:rFonts w:ascii="Calibri" w:hAnsi="Calibri"/>
          <w:sz w:val="24"/>
          <w:szCs w:val="24"/>
        </w:rPr>
        <w:t>resources to customers</w:t>
      </w:r>
      <w:r w:rsidR="00D77CDA" w:rsidRPr="007354D0">
        <w:rPr>
          <w:rFonts w:ascii="Calibri" w:hAnsi="Calibri"/>
          <w:sz w:val="24"/>
          <w:szCs w:val="24"/>
        </w:rPr>
        <w:t xml:space="preserve"> under a variety of possible future conditions</w:t>
      </w:r>
      <w:r w:rsidRPr="007354D0">
        <w:rPr>
          <w:rFonts w:ascii="Calibri" w:hAnsi="Calibri"/>
          <w:sz w:val="24"/>
          <w:szCs w:val="24"/>
        </w:rPr>
        <w:t xml:space="preserve">.  The </w:t>
      </w:r>
      <w:r w:rsidR="00D77CDA" w:rsidRPr="007354D0">
        <w:rPr>
          <w:rFonts w:ascii="Calibri" w:hAnsi="Calibri"/>
          <w:sz w:val="24"/>
          <w:szCs w:val="24"/>
        </w:rPr>
        <w:t xml:space="preserve">Transmission Planning Models </w:t>
      </w:r>
      <w:r w:rsidR="00B56FF1" w:rsidRPr="007354D0">
        <w:rPr>
          <w:rFonts w:ascii="Calibri" w:hAnsi="Calibri"/>
          <w:sz w:val="24"/>
          <w:szCs w:val="24"/>
        </w:rPr>
        <w:t>include expectations about three categories of electric grid components</w:t>
      </w:r>
      <w:r w:rsidRPr="007354D0">
        <w:rPr>
          <w:rFonts w:ascii="Calibri" w:hAnsi="Calibri"/>
          <w:sz w:val="24"/>
          <w:szCs w:val="24"/>
        </w:rPr>
        <w:t>: the location</w:t>
      </w:r>
      <w:r w:rsidR="00B56FF1" w:rsidRPr="007354D0">
        <w:rPr>
          <w:rFonts w:ascii="Calibri" w:hAnsi="Calibri"/>
          <w:sz w:val="24"/>
          <w:szCs w:val="24"/>
        </w:rPr>
        <w:t xml:space="preserve"> and capacity</w:t>
      </w:r>
      <w:r w:rsidRPr="007354D0">
        <w:rPr>
          <w:rFonts w:ascii="Calibri" w:hAnsi="Calibri"/>
          <w:sz w:val="24"/>
          <w:szCs w:val="24"/>
        </w:rPr>
        <w:t xml:space="preserve"> of future resources</w:t>
      </w:r>
      <w:r w:rsidR="000961FB" w:rsidRPr="007354D0">
        <w:rPr>
          <w:rFonts w:ascii="Calibri" w:hAnsi="Calibri"/>
          <w:sz w:val="24"/>
          <w:szCs w:val="24"/>
        </w:rPr>
        <w:t xml:space="preserve"> (i.e. generation)</w:t>
      </w:r>
      <w:r w:rsidRPr="007354D0">
        <w:rPr>
          <w:rFonts w:ascii="Calibri" w:hAnsi="Calibri"/>
          <w:sz w:val="24"/>
          <w:szCs w:val="24"/>
        </w:rPr>
        <w:t xml:space="preserve">, </w:t>
      </w:r>
      <w:r w:rsidR="000961FB" w:rsidRPr="007354D0">
        <w:rPr>
          <w:rFonts w:ascii="Calibri" w:hAnsi="Calibri"/>
          <w:sz w:val="24"/>
          <w:szCs w:val="24"/>
        </w:rPr>
        <w:t xml:space="preserve">a forecast of the </w:t>
      </w:r>
      <w:r w:rsidR="000961FB" w:rsidRPr="007354D0">
        <w:rPr>
          <w:rFonts w:ascii="Calibri" w:hAnsi="Calibri"/>
          <w:sz w:val="24"/>
          <w:szCs w:val="24"/>
        </w:rPr>
        <w:lastRenderedPageBreak/>
        <w:t xml:space="preserve">customer demand by substation that will need to be served (i.e. load), and </w:t>
      </w:r>
      <w:r w:rsidRPr="007354D0">
        <w:rPr>
          <w:rFonts w:ascii="Calibri" w:hAnsi="Calibri"/>
          <w:sz w:val="24"/>
          <w:szCs w:val="24"/>
        </w:rPr>
        <w:t>the specifications of the expected individual components that make up the transmission grid</w:t>
      </w:r>
      <w:r w:rsidR="00B56FF1" w:rsidRPr="007354D0">
        <w:rPr>
          <w:rFonts w:ascii="Calibri" w:hAnsi="Calibri"/>
          <w:sz w:val="24"/>
          <w:szCs w:val="24"/>
        </w:rPr>
        <w:t xml:space="preserve"> (i.e. </w:t>
      </w:r>
      <w:r w:rsidR="000961FB" w:rsidRPr="007354D0">
        <w:rPr>
          <w:rFonts w:ascii="Calibri" w:hAnsi="Calibri"/>
          <w:sz w:val="24"/>
          <w:szCs w:val="24"/>
        </w:rPr>
        <w:t xml:space="preserve">system </w:t>
      </w:r>
      <w:r w:rsidR="00B56FF1" w:rsidRPr="007354D0">
        <w:rPr>
          <w:rFonts w:ascii="Calibri" w:hAnsi="Calibri"/>
          <w:sz w:val="24"/>
          <w:szCs w:val="24"/>
        </w:rPr>
        <w:t>topology)</w:t>
      </w:r>
      <w:r w:rsidRPr="007354D0">
        <w:rPr>
          <w:rFonts w:ascii="Calibri" w:hAnsi="Calibri"/>
          <w:sz w:val="24"/>
          <w:szCs w:val="24"/>
        </w:rPr>
        <w:t xml:space="preserve">.  The processes used to develop the </w:t>
      </w:r>
      <w:r w:rsidR="00D77CDA" w:rsidRPr="007354D0">
        <w:rPr>
          <w:rFonts w:ascii="Calibri" w:hAnsi="Calibri"/>
          <w:sz w:val="24"/>
          <w:szCs w:val="24"/>
        </w:rPr>
        <w:t>Transmission Planning Models</w:t>
      </w:r>
      <w:r w:rsidRPr="007354D0">
        <w:rPr>
          <w:rFonts w:ascii="Calibri" w:hAnsi="Calibri"/>
          <w:sz w:val="24"/>
          <w:szCs w:val="24"/>
        </w:rPr>
        <w:t xml:space="preserve"> are defined in the Steady-State Working Group </w:t>
      </w:r>
      <w:r w:rsidR="00B56FF1" w:rsidRPr="007354D0">
        <w:rPr>
          <w:rFonts w:ascii="Calibri" w:hAnsi="Calibri"/>
          <w:sz w:val="24"/>
          <w:szCs w:val="24"/>
        </w:rPr>
        <w:t>Procedure Manual</w:t>
      </w:r>
      <w:r w:rsidRPr="007354D0">
        <w:rPr>
          <w:rFonts w:ascii="Calibri" w:hAnsi="Calibri"/>
          <w:sz w:val="24"/>
          <w:szCs w:val="24"/>
        </w:rPr>
        <w:t xml:space="preserve">, the ERCOT Protocols, and the ERCOT Planning Guide.  The </w:t>
      </w:r>
      <w:r w:rsidR="00D77CDA" w:rsidRPr="007354D0">
        <w:rPr>
          <w:rFonts w:ascii="Calibri" w:hAnsi="Calibri"/>
          <w:sz w:val="24"/>
          <w:szCs w:val="24"/>
        </w:rPr>
        <w:t xml:space="preserve">Transmission Planning Models </w:t>
      </w:r>
      <w:r w:rsidRPr="007354D0">
        <w:rPr>
          <w:rFonts w:ascii="Calibri" w:hAnsi="Calibri"/>
          <w:sz w:val="24"/>
          <w:szCs w:val="24"/>
        </w:rPr>
        <w:t xml:space="preserve">are also developed in compliance with the reliability standards issued by the North American Electric Reliability Corporation (NERC).  These models </w:t>
      </w:r>
      <w:r w:rsidR="00443B15" w:rsidRPr="007354D0">
        <w:rPr>
          <w:rFonts w:ascii="Calibri" w:hAnsi="Calibri"/>
          <w:sz w:val="24"/>
          <w:szCs w:val="24"/>
        </w:rPr>
        <w:t>do not themselves provide information about expected future transmission reliability but rather are a starting point for transmission reliability studies performed by ERCOT and stakeholders using specialized power flow software</w:t>
      </w:r>
      <w:r w:rsidRPr="007354D0">
        <w:rPr>
          <w:rFonts w:ascii="Calibri" w:hAnsi="Calibri"/>
          <w:sz w:val="24"/>
          <w:szCs w:val="24"/>
        </w:rPr>
        <w:t>.</w:t>
      </w:r>
    </w:p>
    <w:p w:rsidR="008D1485" w:rsidRPr="007354D0" w:rsidRDefault="008D1485">
      <w:pPr>
        <w:pStyle w:val="BodyA"/>
        <w:rPr>
          <w:rFonts w:ascii="Calibri" w:hAnsi="Calibri"/>
        </w:rPr>
      </w:pPr>
    </w:p>
    <w:p w:rsidR="007B7864" w:rsidRPr="007354D0" w:rsidRDefault="00887E76" w:rsidP="007354D0">
      <w:pPr>
        <w:pStyle w:val="Heading2"/>
        <w:rPr>
          <w:rFonts w:ascii="Calibri" w:hAnsi="Calibri"/>
          <w:color w:val="auto"/>
          <w:sz w:val="28"/>
          <w:szCs w:val="28"/>
        </w:rPr>
      </w:pPr>
      <w:r w:rsidRPr="007354D0">
        <w:rPr>
          <w:rFonts w:ascii="Calibri" w:hAnsi="Calibri"/>
          <w:color w:val="auto"/>
          <w:sz w:val="28"/>
          <w:szCs w:val="28"/>
        </w:rPr>
        <w:t>Assumptions Methods Used</w:t>
      </w:r>
    </w:p>
    <w:p w:rsidR="00E013A1" w:rsidRPr="00766ADF" w:rsidRDefault="00E013A1">
      <w:pPr>
        <w:pStyle w:val="BodyA"/>
        <w:rPr>
          <w:rFonts w:ascii="Calibri" w:hAnsi="Calibri"/>
          <w:sz w:val="24"/>
          <w:szCs w:val="24"/>
        </w:rPr>
      </w:pPr>
    </w:p>
    <w:p w:rsidR="008D1485" w:rsidRPr="007354D0" w:rsidRDefault="009421D9">
      <w:pPr>
        <w:pStyle w:val="BodyA"/>
        <w:rPr>
          <w:rFonts w:ascii="Calibri" w:hAnsi="Calibri"/>
          <w:sz w:val="24"/>
          <w:szCs w:val="24"/>
        </w:rPr>
      </w:pPr>
      <w:r w:rsidRPr="007354D0">
        <w:rPr>
          <w:rFonts w:ascii="Calibri" w:hAnsi="Calibri"/>
          <w:sz w:val="24"/>
          <w:szCs w:val="24"/>
        </w:rPr>
        <w:t xml:space="preserve">Because the CDR Report and the Transmission Planning Models both </w:t>
      </w:r>
      <w:r w:rsidR="00AC604A" w:rsidRPr="007354D0">
        <w:rPr>
          <w:rFonts w:ascii="Calibri" w:hAnsi="Calibri"/>
          <w:sz w:val="24"/>
          <w:szCs w:val="24"/>
        </w:rPr>
        <w:t>include</w:t>
      </w:r>
      <w:r w:rsidRPr="007354D0">
        <w:rPr>
          <w:rFonts w:ascii="Calibri" w:hAnsi="Calibri"/>
          <w:sz w:val="24"/>
          <w:szCs w:val="24"/>
        </w:rPr>
        <w:t xml:space="preserve"> assumptions about future resources and </w:t>
      </w:r>
      <w:r w:rsidR="00AC604A" w:rsidRPr="007354D0">
        <w:rPr>
          <w:rFonts w:ascii="Calibri" w:hAnsi="Calibri"/>
          <w:sz w:val="24"/>
          <w:szCs w:val="24"/>
        </w:rPr>
        <w:t>loads</w:t>
      </w:r>
      <w:r w:rsidRPr="007354D0">
        <w:rPr>
          <w:rFonts w:ascii="Calibri" w:hAnsi="Calibri"/>
          <w:sz w:val="24"/>
          <w:szCs w:val="24"/>
        </w:rPr>
        <w:t>, it is expected that the assumptions should be generally consistent</w:t>
      </w:r>
      <w:r w:rsidR="00AC604A" w:rsidRPr="007354D0">
        <w:rPr>
          <w:rFonts w:ascii="Calibri" w:hAnsi="Calibri"/>
          <w:sz w:val="24"/>
          <w:szCs w:val="24"/>
        </w:rPr>
        <w:t>,</w:t>
      </w:r>
      <w:r w:rsidRPr="007354D0">
        <w:rPr>
          <w:rFonts w:ascii="Calibri" w:hAnsi="Calibri"/>
          <w:sz w:val="24"/>
          <w:szCs w:val="24"/>
        </w:rPr>
        <w:t xml:space="preserve"> and to the extent they are different, the reasons for those differences should be known. </w:t>
      </w:r>
      <w:r w:rsidR="00AC604A" w:rsidRPr="007354D0">
        <w:rPr>
          <w:rFonts w:ascii="Calibri" w:hAnsi="Calibri"/>
          <w:sz w:val="24"/>
          <w:szCs w:val="24"/>
        </w:rPr>
        <w:t>The following table describes t</w:t>
      </w:r>
      <w:r w:rsidR="00DB0CF3" w:rsidRPr="007354D0">
        <w:rPr>
          <w:rFonts w:ascii="Calibri" w:hAnsi="Calibri"/>
          <w:sz w:val="24"/>
          <w:szCs w:val="24"/>
        </w:rPr>
        <w:t xml:space="preserve">he </w:t>
      </w:r>
      <w:r w:rsidR="00AC604A" w:rsidRPr="007354D0">
        <w:rPr>
          <w:rFonts w:ascii="Calibri" w:hAnsi="Calibri"/>
          <w:sz w:val="24"/>
          <w:szCs w:val="24"/>
        </w:rPr>
        <w:t xml:space="preserve">generation and load </w:t>
      </w:r>
      <w:r w:rsidR="00DB0CF3" w:rsidRPr="007354D0">
        <w:rPr>
          <w:rFonts w:ascii="Calibri" w:hAnsi="Calibri"/>
          <w:sz w:val="24"/>
          <w:szCs w:val="24"/>
        </w:rPr>
        <w:t>assumption</w:t>
      </w:r>
      <w:r w:rsidR="00AC604A" w:rsidRPr="007354D0">
        <w:rPr>
          <w:rFonts w:ascii="Calibri" w:hAnsi="Calibri"/>
          <w:sz w:val="24"/>
          <w:szCs w:val="24"/>
        </w:rPr>
        <w:t xml:space="preserve"> used in the CDR Report and Transmission Planning Models</w:t>
      </w:r>
      <w:r w:rsidR="00DB0CF3" w:rsidRPr="007354D0">
        <w:rPr>
          <w:rFonts w:ascii="Calibri" w:hAnsi="Calibri"/>
          <w:sz w:val="24"/>
          <w:szCs w:val="24"/>
        </w:rPr>
        <w:t>.</w:t>
      </w:r>
    </w:p>
    <w:p w:rsidR="003B2D94" w:rsidRPr="007354D0" w:rsidRDefault="00E013A1" w:rsidP="007354D0">
      <w:pPr>
        <w:pStyle w:val="BodyA"/>
        <w:tabs>
          <w:tab w:val="left" w:pos="1323"/>
        </w:tabs>
        <w:rPr>
          <w:rFonts w:ascii="Calibri" w:hAnsi="Calibri"/>
        </w:rPr>
      </w:pPr>
      <w:r w:rsidRPr="00766ADF">
        <w:rPr>
          <w:rFonts w:ascii="Calibri" w:hAnsi="Calibri"/>
        </w:rPr>
        <w:tab/>
      </w:r>
    </w:p>
    <w:p w:rsidR="008D1485" w:rsidRPr="007354D0" w:rsidRDefault="008D1485">
      <w:pPr>
        <w:pStyle w:val="BodyA"/>
        <w:rPr>
          <w:rFonts w:ascii="Calibri" w:hAnsi="Calibri"/>
        </w:rPr>
        <w:sectPr w:rsidR="008D1485" w:rsidRPr="007354D0" w:rsidSect="007D21D6">
          <w:footerReference w:type="default" r:id="rId9"/>
          <w:pgSz w:w="12240" w:h="15840" w:code="1"/>
          <w:pgMar w:top="1440" w:right="1440" w:bottom="1440" w:left="1440" w:header="720" w:footer="720" w:gutter="0"/>
          <w:cols w:space="720"/>
        </w:sectPr>
      </w:pPr>
    </w:p>
    <w:p w:rsidR="008D1485" w:rsidRPr="007354D0" w:rsidRDefault="00DB0CF3">
      <w:pPr>
        <w:pStyle w:val="BodyA"/>
        <w:jc w:val="center"/>
        <w:rPr>
          <w:rFonts w:ascii="Calibri" w:hAnsi="Calibri"/>
          <w:b/>
          <w:sz w:val="28"/>
          <w:szCs w:val="28"/>
        </w:rPr>
      </w:pPr>
      <w:r w:rsidRPr="007354D0">
        <w:rPr>
          <w:rFonts w:ascii="Calibri" w:hAnsi="Calibri"/>
          <w:b/>
          <w:sz w:val="28"/>
          <w:szCs w:val="28"/>
        </w:rPr>
        <w:lastRenderedPageBreak/>
        <w:t xml:space="preserve">Comparisons of </w:t>
      </w:r>
      <w:r w:rsidR="00BF238B" w:rsidRPr="007354D0">
        <w:rPr>
          <w:rFonts w:ascii="Calibri" w:hAnsi="Calibri"/>
          <w:b/>
          <w:sz w:val="28"/>
          <w:szCs w:val="28"/>
        </w:rPr>
        <w:t>CDR Report</w:t>
      </w:r>
      <w:r w:rsidRPr="007354D0">
        <w:rPr>
          <w:rFonts w:ascii="Calibri" w:hAnsi="Calibri"/>
          <w:b/>
          <w:sz w:val="28"/>
          <w:szCs w:val="28"/>
        </w:rPr>
        <w:t xml:space="preserve"> and </w:t>
      </w:r>
      <w:r w:rsidR="00D77CDA" w:rsidRPr="007354D0">
        <w:rPr>
          <w:rFonts w:ascii="Calibri" w:hAnsi="Calibri"/>
          <w:b/>
          <w:sz w:val="28"/>
          <w:szCs w:val="28"/>
        </w:rPr>
        <w:t>Transmission Planning Models</w:t>
      </w:r>
    </w:p>
    <w:p w:rsidR="008D1485" w:rsidRPr="007354D0" w:rsidRDefault="008D1485">
      <w:pPr>
        <w:pStyle w:val="BodyA"/>
        <w:widowControl w:val="0"/>
        <w:rPr>
          <w:rFonts w:ascii="Calibri" w:hAnsi="Calibri"/>
        </w:rPr>
      </w:pPr>
    </w:p>
    <w:tbl>
      <w:tblPr>
        <w:tblW w:w="133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6"/>
        <w:gridCol w:w="2676"/>
        <w:gridCol w:w="2677"/>
        <w:gridCol w:w="2676"/>
        <w:gridCol w:w="2677"/>
      </w:tblGrid>
      <w:tr w:rsidR="009426E4" w:rsidRPr="007354D0" w:rsidTr="00F80D58">
        <w:trPr>
          <w:trHeight w:val="477"/>
          <w:tblHeader/>
        </w:trPr>
        <w:tc>
          <w:tcPr>
            <w:tcW w:w="2676" w:type="dxa"/>
            <w:vMerge w:val="restart"/>
            <w:tcBorders>
              <w:left w:val="single" w:sz="4" w:space="0" w:color="000000"/>
              <w:right w:val="single" w:sz="4" w:space="0" w:color="000000"/>
            </w:tcBorders>
            <w:shd w:val="clear" w:color="auto" w:fill="auto"/>
            <w:tcMar>
              <w:top w:w="80" w:type="dxa"/>
              <w:left w:w="80" w:type="dxa"/>
              <w:bottom w:w="80" w:type="dxa"/>
              <w:right w:w="80" w:type="dxa"/>
            </w:tcMar>
            <w:vAlign w:val="center"/>
          </w:tcPr>
          <w:p w:rsidR="009426E4" w:rsidRPr="007354D0" w:rsidRDefault="009426E4">
            <w:pPr>
              <w:pStyle w:val="BodyA"/>
              <w:rPr>
                <w:rFonts w:ascii="Calibri" w:hAnsi="Calibri"/>
                <w:b/>
              </w:rPr>
            </w:pPr>
          </w:p>
        </w:tc>
        <w:tc>
          <w:tcPr>
            <w:tcW w:w="2676" w:type="dxa"/>
            <w:vMerge w:val="restart"/>
            <w:tcBorders>
              <w:left w:val="single" w:sz="4" w:space="0" w:color="000000"/>
              <w:right w:val="single" w:sz="4" w:space="0" w:color="000000"/>
            </w:tcBorders>
            <w:shd w:val="clear" w:color="auto" w:fill="auto"/>
            <w:tcMar>
              <w:top w:w="80" w:type="dxa"/>
              <w:left w:w="80" w:type="dxa"/>
              <w:bottom w:w="80" w:type="dxa"/>
              <w:right w:w="80" w:type="dxa"/>
            </w:tcMar>
            <w:vAlign w:val="center"/>
          </w:tcPr>
          <w:p w:rsidR="009426E4" w:rsidRPr="007354D0" w:rsidRDefault="00BF238B" w:rsidP="00D56C5A">
            <w:pPr>
              <w:pStyle w:val="BodyA"/>
              <w:jc w:val="center"/>
              <w:rPr>
                <w:rFonts w:ascii="Calibri" w:hAnsi="Calibri"/>
                <w:b/>
              </w:rPr>
            </w:pPr>
            <w:r w:rsidRPr="007354D0">
              <w:rPr>
                <w:rFonts w:ascii="Calibri" w:hAnsi="Calibri"/>
                <w:b/>
              </w:rPr>
              <w:t>CDR Report</w:t>
            </w:r>
          </w:p>
        </w:tc>
        <w:tc>
          <w:tcPr>
            <w:tcW w:w="80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6E4" w:rsidRPr="007354D0" w:rsidRDefault="00D77CDA">
            <w:pPr>
              <w:pStyle w:val="BodyA"/>
              <w:jc w:val="center"/>
              <w:rPr>
                <w:rFonts w:ascii="Calibri" w:hAnsi="Calibri"/>
                <w:b/>
              </w:rPr>
            </w:pPr>
            <w:r w:rsidRPr="007354D0">
              <w:rPr>
                <w:rFonts w:ascii="Calibri" w:hAnsi="Calibri"/>
                <w:b/>
              </w:rPr>
              <w:t>Transmission Planning Models</w:t>
            </w:r>
          </w:p>
        </w:tc>
      </w:tr>
      <w:tr w:rsidR="009426E4" w:rsidRPr="007354D0" w:rsidTr="00F80D58">
        <w:trPr>
          <w:trHeight w:val="477"/>
          <w:tblHeader/>
        </w:trPr>
        <w:tc>
          <w:tcPr>
            <w:tcW w:w="267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6E4" w:rsidRPr="007354D0" w:rsidRDefault="009426E4">
            <w:pPr>
              <w:pStyle w:val="BodyA"/>
              <w:rPr>
                <w:rFonts w:ascii="Calibri" w:hAnsi="Calibri"/>
                <w:b/>
              </w:rPr>
            </w:pPr>
          </w:p>
        </w:tc>
        <w:tc>
          <w:tcPr>
            <w:tcW w:w="267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6E4" w:rsidRPr="007354D0" w:rsidRDefault="009426E4">
            <w:pPr>
              <w:pStyle w:val="BodyA"/>
              <w:jc w:val="center"/>
              <w:rPr>
                <w:rFonts w:ascii="Calibri" w:hAnsi="Calibri"/>
                <w:b/>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6E4" w:rsidRPr="007354D0" w:rsidRDefault="009426E4" w:rsidP="005A05F5">
            <w:pPr>
              <w:pStyle w:val="BodyA"/>
              <w:jc w:val="center"/>
              <w:rPr>
                <w:rFonts w:ascii="Calibri" w:hAnsi="Calibri"/>
                <w:b/>
              </w:rPr>
            </w:pPr>
            <w:r w:rsidRPr="007354D0">
              <w:rPr>
                <w:rFonts w:ascii="Calibri" w:hAnsi="Calibri"/>
                <w:b/>
              </w:rPr>
              <w:t xml:space="preserve">SSWG </w:t>
            </w:r>
            <w:r w:rsidR="005A05F5">
              <w:rPr>
                <w:rFonts w:ascii="Calibri" w:hAnsi="Calibri"/>
                <w:b/>
              </w:rPr>
              <w:t>Models</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6E4" w:rsidRPr="007354D0" w:rsidRDefault="009426E4" w:rsidP="005A05F5">
            <w:pPr>
              <w:pStyle w:val="BodyA"/>
              <w:jc w:val="center"/>
              <w:rPr>
                <w:rFonts w:ascii="Calibri" w:hAnsi="Calibri"/>
                <w:b/>
              </w:rPr>
            </w:pPr>
            <w:r w:rsidRPr="007354D0">
              <w:rPr>
                <w:rFonts w:ascii="Calibri" w:hAnsi="Calibri"/>
                <w:b/>
              </w:rPr>
              <w:t xml:space="preserve">RTP Reliability </w:t>
            </w:r>
            <w:r w:rsidR="005A05F5">
              <w:rPr>
                <w:rFonts w:ascii="Calibri" w:hAnsi="Calibri"/>
                <w:b/>
              </w:rPr>
              <w:t>Models</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426E4" w:rsidRPr="007354D0" w:rsidRDefault="009426E4" w:rsidP="005A05F5">
            <w:pPr>
              <w:pStyle w:val="BodyA"/>
              <w:jc w:val="center"/>
              <w:rPr>
                <w:rFonts w:ascii="Calibri" w:hAnsi="Calibri"/>
                <w:b/>
              </w:rPr>
            </w:pPr>
            <w:r w:rsidRPr="007354D0">
              <w:rPr>
                <w:rFonts w:ascii="Calibri" w:hAnsi="Calibri"/>
                <w:b/>
              </w:rPr>
              <w:t xml:space="preserve">RTP Economic </w:t>
            </w:r>
            <w:r w:rsidR="005A05F5">
              <w:rPr>
                <w:rFonts w:ascii="Calibri" w:hAnsi="Calibri"/>
                <w:b/>
              </w:rPr>
              <w:t>Models</w:t>
            </w:r>
          </w:p>
        </w:tc>
      </w:tr>
      <w:tr w:rsidR="008D1485" w:rsidRPr="007354D0" w:rsidTr="00AC604A">
        <w:trPr>
          <w:trHeight w:val="1269"/>
        </w:trPr>
        <w:tc>
          <w:tcPr>
            <w:tcW w:w="2676"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u w:val="single"/>
              </w:rPr>
            </w:pPr>
            <w:r w:rsidRPr="007354D0">
              <w:rPr>
                <w:rFonts w:ascii="Calibri" w:hAnsi="Calibri"/>
                <w:b/>
                <w:u w:val="single"/>
              </w:rPr>
              <w:t>Purpose</w:t>
            </w:r>
          </w:p>
        </w:tc>
        <w:tc>
          <w:tcPr>
            <w:tcW w:w="2676"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8D1485" w:rsidRPr="007354D0" w:rsidRDefault="00DB0CF3" w:rsidP="00B474E3">
            <w:pPr>
              <w:pStyle w:val="Body"/>
              <w:rPr>
                <w:rFonts w:ascii="Calibri" w:hAnsi="Calibri" w:cs="Helvetica"/>
                <w:sz w:val="20"/>
                <w:szCs w:val="20"/>
              </w:rPr>
            </w:pPr>
            <w:r w:rsidRPr="007354D0">
              <w:rPr>
                <w:rFonts w:ascii="Calibri" w:hAnsi="Calibri" w:cs="Helvetica"/>
                <w:sz w:val="20"/>
                <w:szCs w:val="20"/>
              </w:rPr>
              <w:t xml:space="preserve">Provide an </w:t>
            </w:r>
            <w:r w:rsidR="00B474E3" w:rsidRPr="007354D0">
              <w:rPr>
                <w:rFonts w:ascii="Calibri" w:hAnsi="Calibri" w:cs="Helvetica"/>
                <w:sz w:val="20"/>
                <w:szCs w:val="20"/>
              </w:rPr>
              <w:t>estimate of the planning reserve margin during summer and winter peak load seasons</w:t>
            </w:r>
          </w:p>
        </w:tc>
        <w:tc>
          <w:tcPr>
            <w:tcW w:w="2677"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8D1485" w:rsidRPr="007354D0" w:rsidRDefault="00DB0CF3" w:rsidP="003114B6">
            <w:pPr>
              <w:pStyle w:val="Body"/>
              <w:rPr>
                <w:rFonts w:ascii="Calibri" w:hAnsi="Calibri" w:cs="Helvetica"/>
                <w:sz w:val="20"/>
                <w:szCs w:val="20"/>
              </w:rPr>
            </w:pPr>
            <w:r w:rsidRPr="007354D0">
              <w:rPr>
                <w:rFonts w:ascii="Calibri" w:hAnsi="Calibri" w:cs="Helvetica"/>
                <w:sz w:val="20"/>
                <w:szCs w:val="20"/>
              </w:rPr>
              <w:t xml:space="preserve">Provide a range of power flow cases with a common reference point for </w:t>
            </w:r>
            <w:r w:rsidR="003114B6" w:rsidRPr="007354D0">
              <w:rPr>
                <w:rFonts w:ascii="Calibri" w:hAnsi="Calibri" w:cs="Helvetica"/>
                <w:sz w:val="20"/>
                <w:szCs w:val="20"/>
              </w:rPr>
              <w:t>ERCOT and Market Participants</w:t>
            </w:r>
          </w:p>
        </w:tc>
        <w:tc>
          <w:tcPr>
            <w:tcW w:w="2676"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
              <w:rPr>
                <w:rFonts w:ascii="Calibri" w:hAnsi="Calibri" w:cs="Helvetica"/>
                <w:sz w:val="20"/>
                <w:szCs w:val="20"/>
              </w:rPr>
            </w:pPr>
            <w:r w:rsidRPr="007354D0">
              <w:rPr>
                <w:rFonts w:ascii="Calibri" w:hAnsi="Calibri" w:cs="Helvetica"/>
                <w:sz w:val="20"/>
                <w:szCs w:val="20"/>
              </w:rPr>
              <w:t>Provide power flow cases for use in developing the reliability portion of the ERCOT Regional Transmission Plan</w:t>
            </w:r>
            <w:r w:rsidR="004B4217" w:rsidRPr="00766ADF">
              <w:rPr>
                <w:rFonts w:ascii="Calibri" w:hAnsi="Calibri" w:cs="Helvetica"/>
                <w:sz w:val="20"/>
                <w:szCs w:val="20"/>
              </w:rPr>
              <w:t xml:space="preserve"> (RTP)</w:t>
            </w:r>
          </w:p>
        </w:tc>
        <w:tc>
          <w:tcPr>
            <w:tcW w:w="2677"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
              <w:rPr>
                <w:rFonts w:ascii="Calibri" w:hAnsi="Calibri" w:cs="Helvetica"/>
                <w:sz w:val="20"/>
                <w:szCs w:val="20"/>
              </w:rPr>
            </w:pPr>
            <w:r w:rsidRPr="007354D0">
              <w:rPr>
                <w:rFonts w:ascii="Calibri" w:hAnsi="Calibri" w:cs="Helvetica"/>
                <w:sz w:val="20"/>
                <w:szCs w:val="20"/>
              </w:rPr>
              <w:t xml:space="preserve">Provide a power flow case for use in developing the economic </w:t>
            </w:r>
            <w:r w:rsidR="00E30794" w:rsidRPr="007354D0">
              <w:rPr>
                <w:rFonts w:ascii="Calibri" w:hAnsi="Calibri" w:cs="Helvetica"/>
                <w:sz w:val="20"/>
                <w:szCs w:val="20"/>
              </w:rPr>
              <w:t>assessment</w:t>
            </w:r>
            <w:r w:rsidRPr="007354D0">
              <w:rPr>
                <w:rFonts w:ascii="Calibri" w:hAnsi="Calibri" w:cs="Helvetica"/>
                <w:sz w:val="20"/>
                <w:szCs w:val="20"/>
              </w:rPr>
              <w:t xml:space="preserve"> portion of the ERCOT Regional Transmission Plan</w:t>
            </w:r>
            <w:r w:rsidR="004B4217" w:rsidRPr="00766ADF">
              <w:rPr>
                <w:rFonts w:ascii="Calibri" w:hAnsi="Calibri" w:cs="Helvetica"/>
                <w:sz w:val="20"/>
                <w:szCs w:val="20"/>
              </w:rPr>
              <w:t xml:space="preserve"> (RTP)</w:t>
            </w:r>
          </w:p>
        </w:tc>
      </w:tr>
      <w:tr w:rsidR="008D1485" w:rsidRPr="007354D0" w:rsidTr="00AC604A">
        <w:trPr>
          <w:trHeight w:val="349"/>
        </w:trPr>
        <w:tc>
          <w:tcPr>
            <w:tcW w:w="267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u w:val="single"/>
              </w:rPr>
            </w:pPr>
            <w:r w:rsidRPr="007354D0">
              <w:rPr>
                <w:rFonts w:ascii="Calibri" w:hAnsi="Calibri"/>
                <w:b/>
                <w:u w:val="single"/>
              </w:rPr>
              <w:t>Load Forecast Inputs</w:t>
            </w:r>
          </w:p>
        </w:tc>
        <w:tc>
          <w:tcPr>
            <w:tcW w:w="2676" w:type="dxa"/>
            <w:tcBorders>
              <w:top w:val="double" w:sz="4" w:space="0" w:color="auto"/>
              <w:left w:val="single" w:sz="4" w:space="0" w:color="000000"/>
              <w:bottom w:val="single" w:sz="4" w:space="0" w:color="000000"/>
              <w:right w:val="single" w:sz="4" w:space="0" w:color="000000"/>
            </w:tcBorders>
            <w:shd w:val="pct15" w:color="auto" w:fill="auto"/>
            <w:tcMar>
              <w:top w:w="80" w:type="dxa"/>
              <w:left w:w="80" w:type="dxa"/>
              <w:bottom w:w="80" w:type="dxa"/>
              <w:right w:w="80" w:type="dxa"/>
            </w:tcMar>
            <w:vAlign w:val="center"/>
          </w:tcPr>
          <w:p w:rsidR="008D1485" w:rsidRPr="007354D0" w:rsidRDefault="008D1485">
            <w:pPr>
              <w:rPr>
                <w:rFonts w:ascii="Calibri" w:hAnsi="Calibri" w:cs="Helvetica"/>
                <w:sz w:val="20"/>
                <w:szCs w:val="20"/>
              </w:rPr>
            </w:pPr>
          </w:p>
        </w:tc>
        <w:tc>
          <w:tcPr>
            <w:tcW w:w="2677" w:type="dxa"/>
            <w:tcBorders>
              <w:top w:val="double" w:sz="4" w:space="0" w:color="auto"/>
              <w:left w:val="single" w:sz="4" w:space="0" w:color="000000"/>
              <w:bottom w:val="single" w:sz="4" w:space="0" w:color="000000"/>
              <w:right w:val="single" w:sz="4" w:space="0" w:color="000000"/>
            </w:tcBorders>
            <w:shd w:val="pct15" w:color="auto" w:fill="auto"/>
            <w:tcMar>
              <w:top w:w="80" w:type="dxa"/>
              <w:left w:w="80" w:type="dxa"/>
              <w:bottom w:w="80" w:type="dxa"/>
              <w:right w:w="80" w:type="dxa"/>
            </w:tcMar>
            <w:vAlign w:val="center"/>
          </w:tcPr>
          <w:p w:rsidR="008D1485" w:rsidRPr="007354D0" w:rsidRDefault="008D1485">
            <w:pPr>
              <w:rPr>
                <w:rFonts w:ascii="Calibri" w:hAnsi="Calibri" w:cs="Helvetica"/>
                <w:sz w:val="20"/>
                <w:szCs w:val="20"/>
              </w:rPr>
            </w:pPr>
          </w:p>
        </w:tc>
        <w:tc>
          <w:tcPr>
            <w:tcW w:w="2676" w:type="dxa"/>
            <w:tcBorders>
              <w:top w:val="double" w:sz="4" w:space="0" w:color="auto"/>
              <w:left w:val="single" w:sz="4" w:space="0" w:color="000000"/>
              <w:bottom w:val="single" w:sz="4" w:space="0" w:color="000000"/>
              <w:right w:val="single" w:sz="4" w:space="0" w:color="000000"/>
            </w:tcBorders>
            <w:shd w:val="pct15" w:color="auto" w:fill="auto"/>
            <w:tcMar>
              <w:top w:w="80" w:type="dxa"/>
              <w:left w:w="80" w:type="dxa"/>
              <w:bottom w:w="80" w:type="dxa"/>
              <w:right w:w="80" w:type="dxa"/>
            </w:tcMar>
            <w:vAlign w:val="center"/>
          </w:tcPr>
          <w:p w:rsidR="008D1485" w:rsidRPr="007354D0" w:rsidRDefault="008D1485">
            <w:pPr>
              <w:rPr>
                <w:rFonts w:ascii="Calibri" w:hAnsi="Calibri" w:cs="Helvetica"/>
                <w:sz w:val="20"/>
                <w:szCs w:val="20"/>
              </w:rPr>
            </w:pPr>
          </w:p>
        </w:tc>
        <w:tc>
          <w:tcPr>
            <w:tcW w:w="2677" w:type="dxa"/>
            <w:tcBorders>
              <w:top w:val="double" w:sz="4" w:space="0" w:color="auto"/>
              <w:left w:val="single" w:sz="4" w:space="0" w:color="000000"/>
              <w:bottom w:val="single" w:sz="4" w:space="0" w:color="000000"/>
              <w:right w:val="single" w:sz="4" w:space="0" w:color="000000"/>
            </w:tcBorders>
            <w:shd w:val="pct15" w:color="auto" w:fill="auto"/>
            <w:tcMar>
              <w:top w:w="80" w:type="dxa"/>
              <w:left w:w="80" w:type="dxa"/>
              <w:bottom w:w="80" w:type="dxa"/>
              <w:right w:w="80" w:type="dxa"/>
            </w:tcMar>
            <w:vAlign w:val="center"/>
          </w:tcPr>
          <w:p w:rsidR="008D1485" w:rsidRPr="007354D0" w:rsidRDefault="008D1485">
            <w:pPr>
              <w:rPr>
                <w:rFonts w:ascii="Calibri" w:hAnsi="Calibri" w:cs="Helvetica"/>
                <w:sz w:val="20"/>
                <w:szCs w:val="20"/>
              </w:rPr>
            </w:pPr>
          </w:p>
        </w:tc>
      </w:tr>
      <w:tr w:rsidR="008D1485" w:rsidRPr="007354D0" w:rsidTr="00AC604A">
        <w:trPr>
          <w:trHeight w:val="387"/>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rPr>
            </w:pPr>
            <w:r w:rsidRPr="007354D0">
              <w:rPr>
                <w:rFonts w:ascii="Calibri" w:hAnsi="Calibri"/>
                <w:b/>
              </w:rPr>
              <w:t>Preparer</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ERCOT</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TSPs</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ERCOT and TSPs</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ERCOT</w:t>
            </w:r>
          </w:p>
        </w:tc>
      </w:tr>
      <w:tr w:rsidR="008D1485" w:rsidRPr="007354D0" w:rsidTr="00AC604A">
        <w:trPr>
          <w:trHeight w:val="1260"/>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rPr>
            </w:pPr>
            <w:r w:rsidRPr="007354D0">
              <w:rPr>
                <w:rFonts w:ascii="Calibri" w:hAnsi="Calibri"/>
                <w:b/>
              </w:rPr>
              <w:t>Season</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Summer and Winter</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4863" w:rsidRPr="007354D0" w:rsidRDefault="00DB0CF3" w:rsidP="00AC604A">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Four seasons for current year</w:t>
            </w:r>
          </w:p>
          <w:p w:rsidR="00584863" w:rsidRPr="007354D0" w:rsidRDefault="00DB0CF3" w:rsidP="00AC604A">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 xml:space="preserve">Summer peak for </w:t>
            </w:r>
            <w:r w:rsidR="00584863" w:rsidRPr="007354D0">
              <w:rPr>
                <w:rFonts w:ascii="Calibri" w:hAnsi="Calibri" w:cs="Helvetica"/>
                <w:sz w:val="20"/>
                <w:szCs w:val="20"/>
              </w:rPr>
              <w:t xml:space="preserve">next </w:t>
            </w:r>
            <w:r w:rsidRPr="007354D0">
              <w:rPr>
                <w:rFonts w:ascii="Calibri" w:hAnsi="Calibri" w:cs="Helvetica"/>
                <w:sz w:val="20"/>
                <w:szCs w:val="20"/>
              </w:rPr>
              <w:t>6 years</w:t>
            </w:r>
          </w:p>
          <w:p w:rsidR="008D1485" w:rsidRPr="007354D0" w:rsidRDefault="00584863" w:rsidP="00AC604A">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M</w:t>
            </w:r>
            <w:r w:rsidR="00DB0CF3" w:rsidRPr="007354D0">
              <w:rPr>
                <w:rFonts w:ascii="Calibri" w:hAnsi="Calibri" w:cs="Helvetica"/>
                <w:sz w:val="20"/>
                <w:szCs w:val="20"/>
              </w:rPr>
              <w:t>inimum load and high wind for a future year</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Summer peak</w:t>
            </w:r>
            <w:r w:rsidR="00584863" w:rsidRPr="007354D0">
              <w:rPr>
                <w:rFonts w:ascii="Calibri" w:hAnsi="Calibri" w:cs="Helvetica"/>
                <w:sz w:val="20"/>
                <w:szCs w:val="20"/>
              </w:rPr>
              <w:t xml:space="preserve"> for </w:t>
            </w:r>
            <w:r w:rsidR="00104E80" w:rsidRPr="007354D0">
              <w:rPr>
                <w:rFonts w:ascii="Calibri" w:hAnsi="Calibri" w:cs="Helvetica"/>
                <w:sz w:val="20"/>
                <w:szCs w:val="20"/>
              </w:rPr>
              <w:t>future Y</w:t>
            </w:r>
            <w:r w:rsidR="00584863" w:rsidRPr="007354D0">
              <w:rPr>
                <w:rFonts w:ascii="Calibri" w:hAnsi="Calibri" w:cs="Helvetica"/>
                <w:sz w:val="20"/>
                <w:szCs w:val="20"/>
              </w:rPr>
              <w:t>ears</w:t>
            </w:r>
            <w:r w:rsidR="00104E80" w:rsidRPr="007354D0">
              <w:rPr>
                <w:rFonts w:ascii="Calibri" w:hAnsi="Calibri" w:cs="Helvetica"/>
                <w:sz w:val="20"/>
                <w:szCs w:val="20"/>
              </w:rPr>
              <w:t xml:space="preserve"> 1, 3, 5, and 6</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Full year hourly analysis</w:t>
            </w:r>
            <w:r w:rsidR="00584863" w:rsidRPr="007354D0">
              <w:rPr>
                <w:rFonts w:ascii="Calibri" w:hAnsi="Calibri" w:cs="Helvetica"/>
                <w:sz w:val="20"/>
                <w:szCs w:val="20"/>
              </w:rPr>
              <w:t xml:space="preserve"> for </w:t>
            </w:r>
            <w:r w:rsidR="00104E80" w:rsidRPr="007354D0">
              <w:rPr>
                <w:rFonts w:ascii="Calibri" w:hAnsi="Calibri" w:cs="Helvetica"/>
                <w:sz w:val="20"/>
                <w:szCs w:val="20"/>
              </w:rPr>
              <w:t>Future Y</w:t>
            </w:r>
            <w:r w:rsidR="00584863" w:rsidRPr="007354D0">
              <w:rPr>
                <w:rFonts w:ascii="Calibri" w:hAnsi="Calibri" w:cs="Helvetica"/>
                <w:sz w:val="20"/>
                <w:szCs w:val="20"/>
              </w:rPr>
              <w:t>ears</w:t>
            </w:r>
            <w:r w:rsidR="00104E80" w:rsidRPr="007354D0">
              <w:rPr>
                <w:rFonts w:ascii="Calibri" w:hAnsi="Calibri" w:cs="Helvetica"/>
                <w:sz w:val="20"/>
                <w:szCs w:val="20"/>
              </w:rPr>
              <w:t xml:space="preserve"> 3 and 6</w:t>
            </w:r>
          </w:p>
        </w:tc>
      </w:tr>
      <w:tr w:rsidR="008D1485" w:rsidRPr="007354D0" w:rsidTr="00AC604A">
        <w:trPr>
          <w:trHeight w:val="1260"/>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rPr>
            </w:pPr>
            <w:r w:rsidRPr="007354D0">
              <w:rPr>
                <w:rFonts w:ascii="Calibri" w:hAnsi="Calibri"/>
                <w:b/>
              </w:rPr>
              <w:t>Weather Assumptions</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4435" w:rsidRPr="007354D0" w:rsidRDefault="00DB0CF3" w:rsidP="009E4435">
            <w:pPr>
              <w:pStyle w:val="BodyA"/>
              <w:rPr>
                <w:rFonts w:ascii="Calibri" w:hAnsi="Calibri" w:cs="Helvetica"/>
                <w:sz w:val="20"/>
                <w:szCs w:val="20"/>
              </w:rPr>
            </w:pPr>
            <w:r w:rsidRPr="007354D0">
              <w:rPr>
                <w:rFonts w:ascii="Calibri" w:hAnsi="Calibri" w:cs="Helvetica"/>
                <w:sz w:val="20"/>
                <w:szCs w:val="20"/>
              </w:rPr>
              <w:t xml:space="preserve">Average </w:t>
            </w:r>
            <w:r w:rsidR="00BD6540" w:rsidRPr="007354D0">
              <w:rPr>
                <w:rFonts w:ascii="Calibri" w:hAnsi="Calibri" w:cs="Helvetica"/>
                <w:sz w:val="20"/>
                <w:szCs w:val="20"/>
              </w:rPr>
              <w:t>weather</w:t>
            </w:r>
          </w:p>
          <w:p w:rsidR="008D1485" w:rsidRPr="007354D0" w:rsidRDefault="00DB0CF3" w:rsidP="009E4435">
            <w:pPr>
              <w:pStyle w:val="BodyA"/>
              <w:rPr>
                <w:rFonts w:ascii="Calibri" w:hAnsi="Calibri" w:cs="Helvetica"/>
                <w:sz w:val="20"/>
                <w:szCs w:val="20"/>
              </w:rPr>
            </w:pPr>
            <w:r w:rsidRPr="007354D0">
              <w:rPr>
                <w:rFonts w:ascii="Calibri" w:hAnsi="Calibri" w:cs="Helvetica"/>
                <w:sz w:val="20"/>
                <w:szCs w:val="20"/>
              </w:rPr>
              <w:t>(</w:t>
            </w:r>
            <w:r w:rsidR="009E4435" w:rsidRPr="007354D0">
              <w:rPr>
                <w:rFonts w:ascii="Calibri" w:hAnsi="Calibri" w:cs="Helvetica"/>
                <w:sz w:val="20"/>
                <w:szCs w:val="20"/>
              </w:rPr>
              <w:t>expect actual load to exceed forecast one out of two years</w:t>
            </w:r>
            <w:r w:rsidRPr="007354D0">
              <w:rPr>
                <w:rFonts w:ascii="Calibri" w:hAnsi="Calibri" w:cs="Helvetica"/>
                <w:sz w:val="20"/>
                <w:szCs w:val="20"/>
              </w:rPr>
              <w:t>)</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584863" w:rsidP="00584863">
            <w:pPr>
              <w:pStyle w:val="BodyA"/>
              <w:rPr>
                <w:rFonts w:ascii="Calibri" w:hAnsi="Calibri" w:cs="Helvetica"/>
                <w:sz w:val="20"/>
                <w:szCs w:val="20"/>
              </w:rPr>
            </w:pPr>
            <w:r w:rsidRPr="007354D0">
              <w:rPr>
                <w:rFonts w:ascii="Calibri" w:hAnsi="Calibri" w:cs="Helvetica"/>
                <w:sz w:val="20"/>
                <w:szCs w:val="20"/>
              </w:rPr>
              <w:t>Varies by</w:t>
            </w:r>
            <w:r w:rsidR="00DB0CF3" w:rsidRPr="007354D0">
              <w:rPr>
                <w:rFonts w:ascii="Calibri" w:hAnsi="Calibri" w:cs="Helvetica"/>
                <w:sz w:val="20"/>
                <w:szCs w:val="20"/>
              </w:rPr>
              <w:t xml:space="preserve"> </w:t>
            </w:r>
            <w:r w:rsidRPr="007354D0">
              <w:rPr>
                <w:rFonts w:ascii="Calibri" w:hAnsi="Calibri" w:cs="Helvetica"/>
                <w:sz w:val="20"/>
                <w:szCs w:val="20"/>
              </w:rPr>
              <w:t>TSP</w:t>
            </w:r>
            <w:r w:rsidR="003D743E" w:rsidRPr="007354D0">
              <w:rPr>
                <w:rFonts w:ascii="Calibri" w:hAnsi="Calibri" w:cs="Helvetica"/>
                <w:sz w:val="20"/>
                <w:szCs w:val="20"/>
              </w:rPr>
              <w:t>, see Appendix A</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84863" w:rsidRPr="007354D0" w:rsidRDefault="00DB0CF3" w:rsidP="00584863">
            <w:pPr>
              <w:pStyle w:val="BodyA"/>
              <w:rPr>
                <w:rFonts w:ascii="Calibri" w:hAnsi="Calibri" w:cs="Helvetica"/>
                <w:sz w:val="20"/>
                <w:szCs w:val="20"/>
              </w:rPr>
            </w:pPr>
            <w:r w:rsidRPr="007354D0">
              <w:rPr>
                <w:rFonts w:ascii="Calibri" w:hAnsi="Calibri" w:cs="Helvetica"/>
                <w:sz w:val="20"/>
                <w:szCs w:val="20"/>
              </w:rPr>
              <w:t>Higher of</w:t>
            </w:r>
            <w:r w:rsidR="00584863" w:rsidRPr="007354D0">
              <w:rPr>
                <w:rFonts w:ascii="Calibri" w:hAnsi="Calibri" w:cs="Helvetica"/>
                <w:sz w:val="20"/>
                <w:szCs w:val="20"/>
              </w:rPr>
              <w:t>:</w:t>
            </w:r>
          </w:p>
          <w:p w:rsidR="00584863" w:rsidRPr="007354D0" w:rsidRDefault="00B76673" w:rsidP="00AC604A">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 xml:space="preserve">Summed </w:t>
            </w:r>
            <w:r w:rsidR="00DB0CF3" w:rsidRPr="007354D0">
              <w:rPr>
                <w:rFonts w:ascii="Calibri" w:hAnsi="Calibri" w:cs="Helvetica"/>
                <w:sz w:val="20"/>
                <w:szCs w:val="20"/>
              </w:rPr>
              <w:t xml:space="preserve">TSP </w:t>
            </w:r>
            <w:r w:rsidR="00840CA4" w:rsidRPr="007354D0">
              <w:rPr>
                <w:rFonts w:ascii="Calibri" w:hAnsi="Calibri" w:cs="Helvetica"/>
                <w:sz w:val="20"/>
                <w:szCs w:val="20"/>
              </w:rPr>
              <w:t>SSWG case loads</w:t>
            </w:r>
            <w:r w:rsidRPr="007354D0">
              <w:rPr>
                <w:rFonts w:ascii="Calibri" w:hAnsi="Calibri" w:cs="Helvetica"/>
                <w:sz w:val="20"/>
                <w:szCs w:val="20"/>
              </w:rPr>
              <w:t xml:space="preserve"> in each weather zone</w:t>
            </w:r>
            <w:r w:rsidR="00584863" w:rsidRPr="007354D0">
              <w:rPr>
                <w:rFonts w:ascii="Calibri" w:hAnsi="Calibri" w:cs="Helvetica"/>
                <w:sz w:val="20"/>
                <w:szCs w:val="20"/>
              </w:rPr>
              <w:t xml:space="preserve">; </w:t>
            </w:r>
            <w:r w:rsidR="00DB0CF3" w:rsidRPr="007354D0">
              <w:rPr>
                <w:rFonts w:ascii="Calibri" w:hAnsi="Calibri" w:cs="Helvetica"/>
                <w:sz w:val="20"/>
                <w:szCs w:val="20"/>
              </w:rPr>
              <w:t>or</w:t>
            </w:r>
          </w:p>
          <w:p w:rsidR="00AD4019" w:rsidRPr="007354D0" w:rsidRDefault="00DB0CF3" w:rsidP="00B76673">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ERCOT 90</w:t>
            </w:r>
            <w:r w:rsidRPr="007354D0">
              <w:rPr>
                <w:rFonts w:ascii="Calibri" w:hAnsi="Calibri" w:cs="Helvetica"/>
                <w:sz w:val="20"/>
                <w:szCs w:val="20"/>
                <w:vertAlign w:val="superscript"/>
              </w:rPr>
              <w:t>th</w:t>
            </w:r>
            <w:r w:rsidRPr="007354D0">
              <w:rPr>
                <w:rFonts w:ascii="Calibri" w:hAnsi="Calibri" w:cs="Helvetica"/>
                <w:sz w:val="20"/>
                <w:szCs w:val="20"/>
              </w:rPr>
              <w:t xml:space="preserve"> percentile</w:t>
            </w:r>
            <w:r w:rsidR="00114DB2" w:rsidRPr="007354D0">
              <w:rPr>
                <w:rFonts w:ascii="Calibri" w:hAnsi="Calibri" w:cs="Helvetica"/>
                <w:sz w:val="20"/>
                <w:szCs w:val="20"/>
              </w:rPr>
              <w:t xml:space="preserve"> </w:t>
            </w:r>
            <w:r w:rsidR="00584863" w:rsidRPr="007354D0">
              <w:rPr>
                <w:rFonts w:ascii="Calibri" w:hAnsi="Calibri" w:cs="Helvetica"/>
                <w:sz w:val="20"/>
                <w:szCs w:val="20"/>
              </w:rPr>
              <w:t>forecast</w:t>
            </w:r>
            <w:r w:rsidR="000E2633" w:rsidRPr="007354D0">
              <w:rPr>
                <w:rFonts w:ascii="Calibri" w:hAnsi="Calibri" w:cs="Helvetica"/>
                <w:sz w:val="20"/>
                <w:szCs w:val="20"/>
              </w:rPr>
              <w:t xml:space="preserve"> </w:t>
            </w:r>
            <w:r w:rsidR="00B76673" w:rsidRPr="007354D0">
              <w:rPr>
                <w:rFonts w:ascii="Calibri" w:hAnsi="Calibri" w:cs="Helvetica"/>
                <w:sz w:val="20"/>
                <w:szCs w:val="20"/>
              </w:rPr>
              <w:t xml:space="preserve">by weather zone </w:t>
            </w:r>
            <w:r w:rsidRPr="007354D0">
              <w:rPr>
                <w:rFonts w:ascii="Calibri" w:hAnsi="Calibri" w:cs="Helvetica"/>
                <w:sz w:val="20"/>
                <w:szCs w:val="20"/>
              </w:rPr>
              <w:t>(</w:t>
            </w:r>
            <w:r w:rsidR="009E4435" w:rsidRPr="007354D0">
              <w:rPr>
                <w:rFonts w:ascii="Calibri" w:hAnsi="Calibri" w:cs="Helvetica"/>
                <w:sz w:val="20"/>
                <w:szCs w:val="20"/>
              </w:rPr>
              <w:t xml:space="preserve">expect actual load to exceed forecast </w:t>
            </w:r>
            <w:r w:rsidRPr="007354D0">
              <w:rPr>
                <w:rFonts w:ascii="Calibri" w:hAnsi="Calibri" w:cs="Helvetica"/>
                <w:sz w:val="20"/>
                <w:szCs w:val="20"/>
              </w:rPr>
              <w:t>one</w:t>
            </w:r>
            <w:r w:rsidR="00584863" w:rsidRPr="007354D0">
              <w:rPr>
                <w:rFonts w:ascii="Calibri" w:hAnsi="Calibri" w:cs="Helvetica"/>
                <w:sz w:val="20"/>
                <w:szCs w:val="20"/>
              </w:rPr>
              <w:t xml:space="preserve"> </w:t>
            </w:r>
            <w:r w:rsidRPr="007354D0">
              <w:rPr>
                <w:rFonts w:ascii="Calibri" w:hAnsi="Calibri" w:cs="Helvetica"/>
                <w:sz w:val="20"/>
                <w:szCs w:val="20"/>
              </w:rPr>
              <w:t>out</w:t>
            </w:r>
            <w:r w:rsidR="00584863" w:rsidRPr="007354D0">
              <w:rPr>
                <w:rFonts w:ascii="Calibri" w:hAnsi="Calibri" w:cs="Helvetica"/>
                <w:sz w:val="20"/>
                <w:szCs w:val="20"/>
              </w:rPr>
              <w:t xml:space="preserve"> </w:t>
            </w:r>
            <w:r w:rsidRPr="007354D0">
              <w:rPr>
                <w:rFonts w:ascii="Calibri" w:hAnsi="Calibri" w:cs="Helvetica"/>
                <w:sz w:val="20"/>
                <w:szCs w:val="20"/>
              </w:rPr>
              <w:t>of</w:t>
            </w:r>
            <w:r w:rsidR="00584863" w:rsidRPr="007354D0">
              <w:rPr>
                <w:rFonts w:ascii="Calibri" w:hAnsi="Calibri" w:cs="Helvetica"/>
                <w:sz w:val="20"/>
                <w:szCs w:val="20"/>
              </w:rPr>
              <w:t xml:space="preserve"> </w:t>
            </w:r>
            <w:r w:rsidRPr="007354D0">
              <w:rPr>
                <w:rFonts w:ascii="Calibri" w:hAnsi="Calibri" w:cs="Helvetica"/>
                <w:sz w:val="20"/>
                <w:szCs w:val="20"/>
              </w:rPr>
              <w:t>ten years)</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887E76" w:rsidP="00BD6540">
            <w:pPr>
              <w:pStyle w:val="BodyA"/>
              <w:rPr>
                <w:rFonts w:ascii="Calibri" w:hAnsi="Calibri" w:cs="Helvetica"/>
                <w:sz w:val="20"/>
                <w:szCs w:val="20"/>
              </w:rPr>
            </w:pPr>
            <w:r w:rsidRPr="007354D0">
              <w:rPr>
                <w:rFonts w:ascii="Calibri" w:hAnsi="Calibri" w:cs="Helvetica"/>
                <w:sz w:val="20"/>
                <w:szCs w:val="20"/>
              </w:rPr>
              <w:t>“</w:t>
            </w:r>
            <w:r w:rsidR="00DB0CF3" w:rsidRPr="007354D0">
              <w:rPr>
                <w:rFonts w:ascii="Calibri" w:hAnsi="Calibri" w:cs="Helvetica"/>
                <w:sz w:val="20"/>
                <w:szCs w:val="20"/>
              </w:rPr>
              <w:t>Average</w:t>
            </w:r>
            <w:r w:rsidRPr="007354D0">
              <w:rPr>
                <w:rFonts w:ascii="Calibri" w:hAnsi="Calibri" w:cs="Helvetica"/>
                <w:sz w:val="20"/>
                <w:szCs w:val="20"/>
              </w:rPr>
              <w:t>”</w:t>
            </w:r>
            <w:r w:rsidR="00DB0CF3" w:rsidRPr="007354D0">
              <w:rPr>
                <w:rFonts w:ascii="Calibri" w:hAnsi="Calibri" w:cs="Helvetica"/>
                <w:sz w:val="20"/>
                <w:szCs w:val="20"/>
              </w:rPr>
              <w:t xml:space="preserve"> </w:t>
            </w:r>
            <w:r w:rsidR="00BD6540" w:rsidRPr="007354D0">
              <w:rPr>
                <w:rFonts w:ascii="Calibri" w:hAnsi="Calibri" w:cs="Helvetica"/>
                <w:sz w:val="20"/>
                <w:szCs w:val="20"/>
              </w:rPr>
              <w:t>weather</w:t>
            </w:r>
            <w:r w:rsidR="000E2633" w:rsidRPr="007354D0">
              <w:rPr>
                <w:rFonts w:ascii="Calibri" w:hAnsi="Calibri" w:cs="Helvetica"/>
                <w:sz w:val="20"/>
                <w:szCs w:val="20"/>
              </w:rPr>
              <w:t xml:space="preserve"> in each weather zone </w:t>
            </w:r>
            <w:r w:rsidR="000020C4" w:rsidRPr="007354D0">
              <w:rPr>
                <w:rFonts w:ascii="Calibri" w:hAnsi="Calibri" w:cs="Helvetica"/>
                <w:sz w:val="20"/>
                <w:szCs w:val="20"/>
              </w:rPr>
              <w:br/>
              <w:t>(expect actual load to exceed forecast one out of two years)</w:t>
            </w:r>
          </w:p>
        </w:tc>
      </w:tr>
      <w:tr w:rsidR="008D1485" w:rsidRPr="007354D0" w:rsidTr="00AC604A">
        <w:trPr>
          <w:trHeight w:val="828"/>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rPr>
            </w:pPr>
            <w:r w:rsidRPr="007354D0">
              <w:rPr>
                <w:rFonts w:ascii="Calibri" w:hAnsi="Calibri"/>
                <w:b/>
              </w:rPr>
              <w:t>Load Coincidence</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540" w:rsidRPr="007354D0" w:rsidRDefault="00BD6540" w:rsidP="00BD6540">
            <w:pPr>
              <w:pStyle w:val="BodyA"/>
              <w:rPr>
                <w:rFonts w:ascii="Calibri" w:hAnsi="Calibri" w:cs="Helvetica"/>
                <w:sz w:val="20"/>
                <w:szCs w:val="20"/>
              </w:rPr>
            </w:pPr>
            <w:r w:rsidRPr="007354D0">
              <w:rPr>
                <w:rFonts w:ascii="Calibri" w:hAnsi="Calibri" w:cs="Helvetica"/>
                <w:sz w:val="20"/>
                <w:szCs w:val="20"/>
              </w:rPr>
              <w:t>Coincident</w:t>
            </w:r>
          </w:p>
          <w:p w:rsidR="008D1485" w:rsidRPr="007354D0" w:rsidRDefault="00BD6540" w:rsidP="000020C4">
            <w:pPr>
              <w:pStyle w:val="BodyA"/>
              <w:rPr>
                <w:rFonts w:ascii="Calibri" w:hAnsi="Calibri" w:cs="Helvetica"/>
                <w:sz w:val="20"/>
                <w:szCs w:val="20"/>
              </w:rPr>
            </w:pPr>
            <w:r w:rsidRPr="007354D0">
              <w:rPr>
                <w:rFonts w:ascii="Calibri" w:hAnsi="Calibri" w:cs="Helvetica"/>
                <w:sz w:val="20"/>
                <w:szCs w:val="20"/>
              </w:rPr>
              <w:t>(single peak load hour for ERCOT Region)</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887E76" w:rsidP="0031102B">
            <w:pPr>
              <w:pStyle w:val="BodyA"/>
              <w:rPr>
                <w:rFonts w:ascii="Calibri" w:hAnsi="Calibri" w:cs="Helvetica"/>
                <w:sz w:val="20"/>
                <w:szCs w:val="20"/>
              </w:rPr>
            </w:pPr>
            <w:r w:rsidRPr="007354D0">
              <w:rPr>
                <w:rFonts w:ascii="Calibri" w:hAnsi="Calibri" w:cs="Helvetica"/>
                <w:sz w:val="20"/>
                <w:szCs w:val="20"/>
              </w:rPr>
              <w:t xml:space="preserve">Based on ALDR forecast, </w:t>
            </w:r>
            <w:r w:rsidR="0031102B" w:rsidRPr="007354D0">
              <w:rPr>
                <w:rFonts w:ascii="Calibri" w:hAnsi="Calibri" w:cs="Helvetica"/>
                <w:sz w:val="20"/>
                <w:szCs w:val="20"/>
              </w:rPr>
              <w:t>TSPs use varied methods for populating loads by individual substation (see Appendi</w:t>
            </w:r>
            <w:r w:rsidR="004B4217" w:rsidRPr="00766ADF">
              <w:rPr>
                <w:rFonts w:ascii="Calibri" w:hAnsi="Calibri" w:cs="Helvetica"/>
                <w:sz w:val="20"/>
                <w:szCs w:val="20"/>
              </w:rPr>
              <w:t>x A</w:t>
            </w:r>
            <w:r w:rsidR="0031102B" w:rsidRPr="007354D0">
              <w:rPr>
                <w:rFonts w:ascii="Calibri" w:hAnsi="Calibri" w:cs="Helvetica"/>
                <w:sz w:val="20"/>
                <w:szCs w:val="20"/>
              </w:rPr>
              <w:t xml:space="preserve"> for description by TSP</w:t>
            </w:r>
            <w:r w:rsidR="00840CA4" w:rsidRPr="007354D0">
              <w:rPr>
                <w:rFonts w:ascii="Calibri" w:hAnsi="Calibri" w:cs="Helvetica"/>
                <w:sz w:val="20"/>
                <w:szCs w:val="20"/>
              </w:rPr>
              <w:t>)</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rsidP="00BD6540">
            <w:pPr>
              <w:pStyle w:val="BodyA"/>
              <w:rPr>
                <w:rFonts w:ascii="Calibri" w:hAnsi="Calibri" w:cs="Helvetica"/>
                <w:sz w:val="20"/>
                <w:szCs w:val="20"/>
              </w:rPr>
            </w:pPr>
            <w:r w:rsidRPr="007354D0">
              <w:rPr>
                <w:rFonts w:ascii="Calibri" w:hAnsi="Calibri" w:cs="Helvetica"/>
                <w:sz w:val="20"/>
                <w:szCs w:val="20"/>
              </w:rPr>
              <w:t xml:space="preserve">Peak load by individual substation </w:t>
            </w:r>
            <w:r w:rsidR="000E2633" w:rsidRPr="007354D0">
              <w:rPr>
                <w:rFonts w:ascii="Calibri" w:hAnsi="Calibri" w:cs="Helvetica"/>
                <w:sz w:val="20"/>
                <w:szCs w:val="20"/>
              </w:rPr>
              <w:t xml:space="preserve">for each weather zone </w:t>
            </w:r>
            <w:r w:rsidRPr="007354D0">
              <w:rPr>
                <w:rFonts w:ascii="Calibri" w:hAnsi="Calibri" w:cs="Helvetica"/>
                <w:sz w:val="20"/>
                <w:szCs w:val="20"/>
              </w:rPr>
              <w:t>(non-coincident)</w:t>
            </w:r>
            <w:r w:rsidR="00114DB2" w:rsidRPr="007354D0">
              <w:rPr>
                <w:rFonts w:ascii="Calibri" w:hAnsi="Calibri" w:cs="Helvetica"/>
                <w:sz w:val="20"/>
                <w:szCs w:val="20"/>
              </w:rPr>
              <w:t>, with exceptions made depending on the case</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B76673" w:rsidP="0031102B">
            <w:pPr>
              <w:pStyle w:val="BodyA"/>
              <w:rPr>
                <w:rFonts w:ascii="Calibri" w:hAnsi="Calibri" w:cs="Helvetica"/>
                <w:sz w:val="20"/>
                <w:szCs w:val="20"/>
              </w:rPr>
            </w:pPr>
            <w:r w:rsidRPr="007354D0">
              <w:rPr>
                <w:rFonts w:ascii="Calibri" w:hAnsi="Calibri" w:cs="Helvetica"/>
                <w:sz w:val="20"/>
                <w:szCs w:val="20"/>
              </w:rPr>
              <w:t>Non-</w:t>
            </w:r>
            <w:r w:rsidR="0031102B" w:rsidRPr="007354D0">
              <w:rPr>
                <w:rFonts w:ascii="Calibri" w:hAnsi="Calibri" w:cs="Helvetica"/>
                <w:sz w:val="20"/>
                <w:szCs w:val="20"/>
              </w:rPr>
              <w:t>C</w:t>
            </w:r>
            <w:r w:rsidR="00114DB2" w:rsidRPr="007354D0">
              <w:rPr>
                <w:rFonts w:ascii="Calibri" w:hAnsi="Calibri" w:cs="Helvetica"/>
                <w:sz w:val="20"/>
                <w:szCs w:val="20"/>
              </w:rPr>
              <w:t xml:space="preserve">oincident </w:t>
            </w:r>
            <w:r w:rsidR="00DB0CF3" w:rsidRPr="007354D0">
              <w:rPr>
                <w:rFonts w:ascii="Calibri" w:hAnsi="Calibri" w:cs="Helvetica"/>
                <w:sz w:val="20"/>
                <w:szCs w:val="20"/>
              </w:rPr>
              <w:t>by weather zone</w:t>
            </w:r>
          </w:p>
        </w:tc>
      </w:tr>
      <w:tr w:rsidR="008D1485" w:rsidRPr="007354D0" w:rsidTr="00AC604A">
        <w:trPr>
          <w:trHeight w:val="630"/>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114DB2">
            <w:pPr>
              <w:pStyle w:val="BodyA"/>
              <w:rPr>
                <w:rFonts w:ascii="Calibri" w:hAnsi="Calibri"/>
                <w:b/>
              </w:rPr>
            </w:pPr>
            <w:r w:rsidRPr="007354D0">
              <w:rPr>
                <w:rFonts w:ascii="Calibri" w:hAnsi="Calibri"/>
                <w:b/>
              </w:rPr>
              <w:lastRenderedPageBreak/>
              <w:t xml:space="preserve">Load Resource and other </w:t>
            </w:r>
            <w:r w:rsidR="00DB0CF3" w:rsidRPr="007354D0">
              <w:rPr>
                <w:rFonts w:ascii="Calibri" w:hAnsi="Calibri"/>
                <w:b/>
              </w:rPr>
              <w:t>Demand Response Programs</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540" w:rsidRPr="007354D0" w:rsidRDefault="00BD6540">
            <w:pPr>
              <w:pStyle w:val="BodyA"/>
              <w:rPr>
                <w:rFonts w:ascii="Calibri" w:hAnsi="Calibri" w:cs="Helvetica"/>
                <w:sz w:val="20"/>
                <w:szCs w:val="20"/>
              </w:rPr>
            </w:pPr>
            <w:r w:rsidRPr="007354D0">
              <w:rPr>
                <w:rFonts w:ascii="Calibri" w:hAnsi="Calibri" w:cs="Helvetica"/>
                <w:sz w:val="20"/>
                <w:szCs w:val="20"/>
              </w:rPr>
              <w:t>Included</w:t>
            </w:r>
          </w:p>
          <w:p w:rsidR="008D1485" w:rsidRPr="007354D0" w:rsidRDefault="00BD6540" w:rsidP="00BD6540">
            <w:pPr>
              <w:pStyle w:val="BodyA"/>
              <w:rPr>
                <w:rFonts w:ascii="Calibri" w:hAnsi="Calibri" w:cs="Helvetica"/>
                <w:sz w:val="20"/>
                <w:szCs w:val="20"/>
              </w:rPr>
            </w:pPr>
            <w:r w:rsidRPr="007354D0">
              <w:rPr>
                <w:rFonts w:ascii="Calibri" w:hAnsi="Calibri" w:cs="Helvetica"/>
                <w:sz w:val="20"/>
                <w:szCs w:val="20"/>
              </w:rPr>
              <w:t>(shown as separate line item)</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Not Included</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Not included</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Not Included</w:t>
            </w:r>
          </w:p>
        </w:tc>
      </w:tr>
      <w:tr w:rsidR="009E4435" w:rsidRPr="007354D0" w:rsidTr="00AC604A">
        <w:trPr>
          <w:trHeight w:val="558"/>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4435" w:rsidRPr="007354D0" w:rsidRDefault="009E4435" w:rsidP="00584863">
            <w:pPr>
              <w:pStyle w:val="BodyA"/>
              <w:rPr>
                <w:rFonts w:ascii="Calibri" w:hAnsi="Calibri"/>
                <w:b/>
              </w:rPr>
            </w:pPr>
            <w:r w:rsidRPr="007354D0">
              <w:rPr>
                <w:rFonts w:ascii="Calibri" w:hAnsi="Calibri"/>
                <w:b/>
              </w:rPr>
              <w:t>Self-Serve Load</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4435" w:rsidRPr="007354D0" w:rsidRDefault="009E4435" w:rsidP="00BD6540">
            <w:pPr>
              <w:pStyle w:val="BodyA"/>
              <w:rPr>
                <w:rFonts w:ascii="Calibri" w:hAnsi="Calibri" w:cs="Helvetica"/>
                <w:sz w:val="20"/>
                <w:szCs w:val="20"/>
              </w:rPr>
            </w:pPr>
            <w:r w:rsidRPr="007354D0">
              <w:rPr>
                <w:rFonts w:ascii="Calibri" w:hAnsi="Calibri" w:cs="Helvetica"/>
                <w:sz w:val="20"/>
                <w:szCs w:val="20"/>
              </w:rPr>
              <w:t>Net</w:t>
            </w:r>
            <w:r w:rsidR="00114DB2" w:rsidRPr="007354D0">
              <w:rPr>
                <w:rFonts w:ascii="Calibri" w:hAnsi="Calibri" w:cs="Helvetica"/>
                <w:sz w:val="20"/>
                <w:szCs w:val="20"/>
              </w:rPr>
              <w:t xml:space="preserve"> to the grid</w:t>
            </w:r>
          </w:p>
          <w:p w:rsidR="009E4435" w:rsidRPr="007354D0" w:rsidRDefault="009E4435" w:rsidP="009E4435">
            <w:pPr>
              <w:pStyle w:val="BodyA"/>
              <w:rPr>
                <w:rFonts w:ascii="Calibri" w:hAnsi="Calibri" w:cs="Helvetica"/>
                <w:sz w:val="20"/>
                <w:szCs w:val="20"/>
              </w:rPr>
            </w:pPr>
            <w:r w:rsidRPr="007354D0">
              <w:rPr>
                <w:rFonts w:ascii="Calibri" w:hAnsi="Calibri" w:cs="Helvetica"/>
                <w:sz w:val="20"/>
                <w:szCs w:val="20"/>
              </w:rPr>
              <w:t>(self-serve load minus self-serve generation)</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4435" w:rsidRPr="007354D0" w:rsidRDefault="009E4435">
            <w:pPr>
              <w:pStyle w:val="BodyA"/>
              <w:rPr>
                <w:rFonts w:ascii="Calibri" w:hAnsi="Calibri" w:cs="Helvetica"/>
                <w:sz w:val="20"/>
                <w:szCs w:val="20"/>
              </w:rPr>
            </w:pPr>
            <w:r w:rsidRPr="007354D0">
              <w:rPr>
                <w:rFonts w:ascii="Calibri" w:hAnsi="Calibri" w:cs="Helvetica"/>
                <w:sz w:val="20"/>
                <w:szCs w:val="20"/>
              </w:rPr>
              <w:t>Gross</w:t>
            </w:r>
          </w:p>
          <w:p w:rsidR="009E4435" w:rsidRPr="007354D0" w:rsidRDefault="009E4435">
            <w:pPr>
              <w:pStyle w:val="BodyA"/>
              <w:rPr>
                <w:rFonts w:ascii="Calibri" w:hAnsi="Calibri" w:cs="Helvetica"/>
                <w:sz w:val="20"/>
                <w:szCs w:val="20"/>
              </w:rPr>
            </w:pPr>
            <w:r w:rsidRPr="007354D0">
              <w:rPr>
                <w:rFonts w:ascii="Calibri" w:hAnsi="Calibri" w:cs="Helvetica"/>
                <w:sz w:val="20"/>
                <w:szCs w:val="20"/>
              </w:rPr>
              <w:t>(no reduction for self-serve generation)</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4435" w:rsidRPr="007354D0" w:rsidRDefault="009E4435" w:rsidP="00E02081">
            <w:pPr>
              <w:pStyle w:val="BodyA"/>
              <w:rPr>
                <w:rFonts w:ascii="Calibri" w:hAnsi="Calibri" w:cs="Helvetica"/>
                <w:sz w:val="20"/>
                <w:szCs w:val="20"/>
              </w:rPr>
            </w:pPr>
            <w:r w:rsidRPr="007354D0">
              <w:rPr>
                <w:rFonts w:ascii="Calibri" w:hAnsi="Calibri" w:cs="Helvetica"/>
                <w:sz w:val="20"/>
                <w:szCs w:val="20"/>
              </w:rPr>
              <w:t>Gross</w:t>
            </w:r>
          </w:p>
          <w:p w:rsidR="009E4435" w:rsidRPr="007354D0" w:rsidRDefault="009E4435">
            <w:pPr>
              <w:pStyle w:val="BodyA"/>
              <w:rPr>
                <w:rFonts w:ascii="Calibri" w:hAnsi="Calibri" w:cs="Helvetica"/>
                <w:sz w:val="20"/>
                <w:szCs w:val="20"/>
              </w:rPr>
            </w:pPr>
            <w:r w:rsidRPr="007354D0">
              <w:rPr>
                <w:rFonts w:ascii="Calibri" w:hAnsi="Calibri" w:cs="Helvetica"/>
                <w:sz w:val="20"/>
                <w:szCs w:val="20"/>
              </w:rPr>
              <w:t>(no reduction for self-serve generation)</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4435" w:rsidRPr="007354D0" w:rsidRDefault="009E4435" w:rsidP="00E02081">
            <w:pPr>
              <w:pStyle w:val="BodyA"/>
              <w:rPr>
                <w:rFonts w:ascii="Calibri" w:hAnsi="Calibri" w:cs="Helvetica"/>
                <w:sz w:val="20"/>
                <w:szCs w:val="20"/>
              </w:rPr>
            </w:pPr>
            <w:r w:rsidRPr="007354D0">
              <w:rPr>
                <w:rFonts w:ascii="Calibri" w:hAnsi="Calibri" w:cs="Helvetica"/>
                <w:sz w:val="20"/>
                <w:szCs w:val="20"/>
              </w:rPr>
              <w:t>Gross</w:t>
            </w:r>
          </w:p>
          <w:p w:rsidR="009E4435" w:rsidRPr="007354D0" w:rsidRDefault="009E4435">
            <w:pPr>
              <w:pStyle w:val="BodyA"/>
              <w:rPr>
                <w:rFonts w:ascii="Calibri" w:hAnsi="Calibri" w:cs="Helvetica"/>
                <w:sz w:val="20"/>
                <w:szCs w:val="20"/>
              </w:rPr>
            </w:pPr>
            <w:r w:rsidRPr="007354D0">
              <w:rPr>
                <w:rFonts w:ascii="Calibri" w:hAnsi="Calibri" w:cs="Helvetica"/>
                <w:sz w:val="20"/>
                <w:szCs w:val="20"/>
              </w:rPr>
              <w:t>(no reduction for self-serve generation)</w:t>
            </w:r>
          </w:p>
        </w:tc>
      </w:tr>
      <w:tr w:rsidR="008D1485" w:rsidRPr="007354D0" w:rsidTr="00AC604A">
        <w:trPr>
          <w:trHeight w:val="810"/>
        </w:trPr>
        <w:tc>
          <w:tcPr>
            <w:tcW w:w="2676"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rPr>
            </w:pPr>
            <w:r w:rsidRPr="007354D0">
              <w:rPr>
                <w:rFonts w:ascii="Calibri" w:hAnsi="Calibri"/>
                <w:b/>
              </w:rPr>
              <w:t>Load Adjustments</w:t>
            </w:r>
          </w:p>
        </w:tc>
        <w:tc>
          <w:tcPr>
            <w:tcW w:w="2676"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None</w:t>
            </w:r>
          </w:p>
        </w:tc>
        <w:tc>
          <w:tcPr>
            <w:tcW w:w="2677"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8D1485" w:rsidRPr="007354D0" w:rsidRDefault="003D743E">
            <w:pPr>
              <w:pStyle w:val="BodyA"/>
              <w:rPr>
                <w:rFonts w:ascii="Calibri" w:hAnsi="Calibri" w:cs="Helvetica"/>
                <w:sz w:val="20"/>
                <w:szCs w:val="20"/>
              </w:rPr>
            </w:pPr>
            <w:r w:rsidRPr="007354D0">
              <w:rPr>
                <w:rFonts w:ascii="Calibri" w:hAnsi="Calibri" w:cs="Helvetica"/>
                <w:sz w:val="20"/>
                <w:szCs w:val="20"/>
              </w:rPr>
              <w:t>No adjustments from TSP provided loads are made</w:t>
            </w:r>
          </w:p>
        </w:tc>
        <w:tc>
          <w:tcPr>
            <w:tcW w:w="2676"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3D743E" w:rsidRPr="007354D0" w:rsidRDefault="003D743E" w:rsidP="003D743E">
            <w:pPr>
              <w:pStyle w:val="BodyA"/>
              <w:rPr>
                <w:rFonts w:ascii="Calibri" w:hAnsi="Calibri" w:cs="Helvetica"/>
                <w:sz w:val="20"/>
                <w:szCs w:val="20"/>
              </w:rPr>
            </w:pPr>
            <w:r w:rsidRPr="007354D0">
              <w:rPr>
                <w:rFonts w:ascii="Calibri" w:hAnsi="Calibri" w:cs="Helvetica"/>
                <w:sz w:val="20"/>
                <w:szCs w:val="20"/>
              </w:rPr>
              <w:t>Within a region of study the higher of: SSWG load in each weather zone or ERCOT 90</w:t>
            </w:r>
            <w:r w:rsidRPr="007354D0">
              <w:rPr>
                <w:rFonts w:ascii="Calibri" w:hAnsi="Calibri" w:cs="Helvetica"/>
                <w:sz w:val="20"/>
                <w:szCs w:val="20"/>
                <w:vertAlign w:val="superscript"/>
              </w:rPr>
              <w:t>th</w:t>
            </w:r>
            <w:r w:rsidRPr="007354D0">
              <w:rPr>
                <w:rFonts w:ascii="Calibri" w:hAnsi="Calibri" w:cs="Helvetica"/>
                <w:sz w:val="20"/>
                <w:szCs w:val="20"/>
              </w:rPr>
              <w:t xml:space="preserve"> percentile load forecast by weather zone</w:t>
            </w:r>
          </w:p>
          <w:p w:rsidR="003D743E" w:rsidRPr="007354D0" w:rsidRDefault="003D743E" w:rsidP="003D743E">
            <w:pPr>
              <w:pStyle w:val="BodyA"/>
              <w:rPr>
                <w:rFonts w:ascii="Calibri" w:hAnsi="Calibri" w:cs="Helvetica"/>
                <w:sz w:val="20"/>
                <w:szCs w:val="20"/>
              </w:rPr>
            </w:pPr>
          </w:p>
          <w:p w:rsidR="003D743E" w:rsidRPr="007354D0" w:rsidRDefault="00DB0CF3" w:rsidP="003D743E">
            <w:pPr>
              <w:pStyle w:val="BodyA"/>
              <w:rPr>
                <w:rFonts w:ascii="Calibri" w:hAnsi="Calibri" w:cs="Helvetica"/>
                <w:sz w:val="20"/>
                <w:szCs w:val="20"/>
              </w:rPr>
            </w:pPr>
            <w:r w:rsidRPr="007354D0">
              <w:rPr>
                <w:rFonts w:ascii="Calibri" w:hAnsi="Calibri" w:cs="Helvetica"/>
                <w:sz w:val="20"/>
                <w:szCs w:val="20"/>
              </w:rPr>
              <w:t xml:space="preserve">Adjustments </w:t>
            </w:r>
            <w:r w:rsidR="003D743E" w:rsidRPr="007354D0">
              <w:rPr>
                <w:rFonts w:ascii="Calibri" w:hAnsi="Calibri" w:cs="Helvetica"/>
                <w:sz w:val="20"/>
                <w:szCs w:val="20"/>
              </w:rPr>
              <w:t xml:space="preserve">may be </w:t>
            </w:r>
            <w:r w:rsidRPr="007354D0">
              <w:rPr>
                <w:rFonts w:ascii="Calibri" w:hAnsi="Calibri" w:cs="Helvetica"/>
                <w:sz w:val="20"/>
                <w:szCs w:val="20"/>
              </w:rPr>
              <w:t>made outside of study region</w:t>
            </w:r>
          </w:p>
        </w:tc>
        <w:tc>
          <w:tcPr>
            <w:tcW w:w="2677"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None</w:t>
            </w:r>
          </w:p>
        </w:tc>
      </w:tr>
      <w:tr w:rsidR="008D1485" w:rsidRPr="007354D0" w:rsidTr="00AC604A">
        <w:trPr>
          <w:trHeight w:val="268"/>
        </w:trPr>
        <w:tc>
          <w:tcPr>
            <w:tcW w:w="2676" w:type="dxa"/>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u w:val="single"/>
              </w:rPr>
            </w:pPr>
            <w:r w:rsidRPr="007354D0">
              <w:rPr>
                <w:rFonts w:ascii="Calibri" w:hAnsi="Calibri"/>
                <w:b/>
                <w:u w:val="single"/>
              </w:rPr>
              <w:t>Generation Inputs</w:t>
            </w:r>
          </w:p>
        </w:tc>
        <w:tc>
          <w:tcPr>
            <w:tcW w:w="2676" w:type="dxa"/>
            <w:tcBorders>
              <w:top w:val="double" w:sz="4" w:space="0" w:color="auto"/>
              <w:left w:val="single" w:sz="4" w:space="0" w:color="000000"/>
              <w:bottom w:val="single" w:sz="4" w:space="0" w:color="000000"/>
              <w:right w:val="single" w:sz="4" w:space="0" w:color="000000"/>
            </w:tcBorders>
            <w:shd w:val="pct15" w:color="auto" w:fill="auto"/>
            <w:tcMar>
              <w:top w:w="80" w:type="dxa"/>
              <w:left w:w="80" w:type="dxa"/>
              <w:bottom w:w="80" w:type="dxa"/>
              <w:right w:w="80" w:type="dxa"/>
            </w:tcMar>
            <w:vAlign w:val="center"/>
          </w:tcPr>
          <w:p w:rsidR="008D1485" w:rsidRPr="007354D0" w:rsidRDefault="008D1485">
            <w:pPr>
              <w:rPr>
                <w:rFonts w:ascii="Calibri" w:hAnsi="Calibri" w:cs="Helvetica"/>
                <w:sz w:val="20"/>
                <w:szCs w:val="20"/>
              </w:rPr>
            </w:pPr>
          </w:p>
        </w:tc>
        <w:tc>
          <w:tcPr>
            <w:tcW w:w="2677" w:type="dxa"/>
            <w:tcBorders>
              <w:top w:val="double" w:sz="4" w:space="0" w:color="auto"/>
              <w:left w:val="single" w:sz="4" w:space="0" w:color="000000"/>
              <w:bottom w:val="single" w:sz="4" w:space="0" w:color="000000"/>
              <w:right w:val="single" w:sz="4" w:space="0" w:color="000000"/>
            </w:tcBorders>
            <w:shd w:val="pct15" w:color="auto" w:fill="auto"/>
            <w:tcMar>
              <w:top w:w="80" w:type="dxa"/>
              <w:left w:w="80" w:type="dxa"/>
              <w:bottom w:w="80" w:type="dxa"/>
              <w:right w:w="80" w:type="dxa"/>
            </w:tcMar>
            <w:vAlign w:val="center"/>
          </w:tcPr>
          <w:p w:rsidR="008D1485" w:rsidRPr="007354D0" w:rsidRDefault="008D1485">
            <w:pPr>
              <w:rPr>
                <w:rFonts w:ascii="Calibri" w:hAnsi="Calibri" w:cs="Helvetica"/>
                <w:sz w:val="20"/>
                <w:szCs w:val="20"/>
              </w:rPr>
            </w:pPr>
          </w:p>
        </w:tc>
        <w:tc>
          <w:tcPr>
            <w:tcW w:w="2676" w:type="dxa"/>
            <w:tcBorders>
              <w:top w:val="double" w:sz="4" w:space="0" w:color="auto"/>
              <w:left w:val="single" w:sz="4" w:space="0" w:color="000000"/>
              <w:bottom w:val="single" w:sz="4" w:space="0" w:color="000000"/>
              <w:right w:val="single" w:sz="4" w:space="0" w:color="000000"/>
            </w:tcBorders>
            <w:shd w:val="pct15" w:color="auto" w:fill="auto"/>
            <w:tcMar>
              <w:top w:w="80" w:type="dxa"/>
              <w:left w:w="80" w:type="dxa"/>
              <w:bottom w:w="80" w:type="dxa"/>
              <w:right w:w="80" w:type="dxa"/>
            </w:tcMar>
            <w:vAlign w:val="center"/>
          </w:tcPr>
          <w:p w:rsidR="008D1485" w:rsidRPr="007354D0" w:rsidRDefault="008D1485">
            <w:pPr>
              <w:rPr>
                <w:rFonts w:ascii="Calibri" w:hAnsi="Calibri" w:cs="Helvetica"/>
                <w:sz w:val="20"/>
                <w:szCs w:val="20"/>
              </w:rPr>
            </w:pPr>
          </w:p>
        </w:tc>
        <w:tc>
          <w:tcPr>
            <w:tcW w:w="2677" w:type="dxa"/>
            <w:tcBorders>
              <w:top w:val="double" w:sz="4" w:space="0" w:color="auto"/>
              <w:left w:val="single" w:sz="4" w:space="0" w:color="000000"/>
              <w:bottom w:val="single" w:sz="4" w:space="0" w:color="000000"/>
              <w:right w:val="single" w:sz="4" w:space="0" w:color="000000"/>
            </w:tcBorders>
            <w:shd w:val="pct15" w:color="auto" w:fill="auto"/>
            <w:tcMar>
              <w:top w:w="80" w:type="dxa"/>
              <w:left w:w="80" w:type="dxa"/>
              <w:bottom w:w="80" w:type="dxa"/>
              <w:right w:w="80" w:type="dxa"/>
            </w:tcMar>
            <w:vAlign w:val="center"/>
          </w:tcPr>
          <w:p w:rsidR="008D1485" w:rsidRPr="007354D0" w:rsidRDefault="008D1485">
            <w:pPr>
              <w:rPr>
                <w:rFonts w:ascii="Calibri" w:hAnsi="Calibri" w:cs="Helvetica"/>
                <w:sz w:val="20"/>
                <w:szCs w:val="20"/>
              </w:rPr>
            </w:pPr>
          </w:p>
        </w:tc>
      </w:tr>
      <w:tr w:rsidR="00606C1C" w:rsidRPr="007354D0" w:rsidTr="00AC604A">
        <w:trPr>
          <w:trHeight w:val="1170"/>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6C1C" w:rsidRPr="007354D0" w:rsidRDefault="00606C1C">
            <w:pPr>
              <w:pStyle w:val="BodyA"/>
              <w:rPr>
                <w:rFonts w:ascii="Calibri" w:hAnsi="Calibri"/>
                <w:b/>
              </w:rPr>
            </w:pPr>
            <w:r w:rsidRPr="007354D0">
              <w:rPr>
                <w:rFonts w:ascii="Calibri" w:hAnsi="Calibri"/>
                <w:b/>
              </w:rPr>
              <w:t>Extraordinary Dispatch Methods – a method of adding capacity to a model</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6C1C" w:rsidRPr="007354D0" w:rsidRDefault="00606C1C">
            <w:pPr>
              <w:pStyle w:val="BodyA"/>
              <w:rPr>
                <w:rFonts w:ascii="Calibri" w:hAnsi="Calibri" w:cs="Helvetica"/>
                <w:sz w:val="20"/>
                <w:szCs w:val="20"/>
              </w:rPr>
            </w:pPr>
            <w:r w:rsidRPr="007354D0">
              <w:rPr>
                <w:rFonts w:ascii="Calibri" w:hAnsi="Calibri" w:cs="Helvetica"/>
                <w:sz w:val="20"/>
                <w:szCs w:val="20"/>
              </w:rPr>
              <w:t>Not applicable</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6C1C" w:rsidRPr="007354D0" w:rsidRDefault="003D743E">
            <w:pPr>
              <w:pStyle w:val="BodyA"/>
              <w:rPr>
                <w:rFonts w:ascii="Calibri" w:hAnsi="Calibri" w:cs="Helvetica"/>
                <w:sz w:val="20"/>
                <w:szCs w:val="20"/>
              </w:rPr>
            </w:pPr>
            <w:r w:rsidRPr="007354D0">
              <w:rPr>
                <w:rFonts w:ascii="Calibri" w:hAnsi="Calibri" w:cs="Helvetica"/>
                <w:sz w:val="20"/>
                <w:szCs w:val="20"/>
              </w:rPr>
              <w:t>As needed</w:t>
            </w:r>
            <w:r w:rsidR="00606C1C" w:rsidRPr="007354D0">
              <w:rPr>
                <w:rFonts w:ascii="Calibri" w:hAnsi="Calibri" w:cs="Helvetica"/>
                <w:sz w:val="20"/>
                <w:szCs w:val="20"/>
              </w:rPr>
              <w:t>, see Appendix B of SSWG manual. Has been used for years 4, 5, and 6 in recent years</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6C1C" w:rsidRPr="007354D0" w:rsidRDefault="00606C1C" w:rsidP="006925F8">
            <w:pPr>
              <w:pStyle w:val="TableStyle2"/>
              <w:rPr>
                <w:rFonts w:ascii="Calibri" w:hAnsi="Calibri"/>
                <w:u w:color="000000"/>
              </w:rPr>
            </w:pPr>
            <w:r w:rsidRPr="007354D0">
              <w:rPr>
                <w:rFonts w:ascii="Calibri" w:hAnsi="Calibri"/>
                <w:u w:color="000000"/>
              </w:rPr>
              <w:t xml:space="preserve">Yes, a combination of </w:t>
            </w:r>
            <w:r w:rsidR="006925F8" w:rsidRPr="007354D0">
              <w:rPr>
                <w:rFonts w:ascii="Calibri" w:hAnsi="Calibri"/>
                <w:u w:color="000000"/>
              </w:rPr>
              <w:t>extraordinary dispatch</w:t>
            </w:r>
            <w:r w:rsidRPr="007354D0">
              <w:rPr>
                <w:rFonts w:ascii="Calibri" w:hAnsi="Calibri"/>
                <w:u w:color="000000"/>
              </w:rPr>
              <w:t xml:space="preserve"> and load scaling outside of the region being studie</w:t>
            </w:r>
            <w:r w:rsidR="00B76673" w:rsidRPr="007354D0">
              <w:rPr>
                <w:rFonts w:ascii="Calibri" w:hAnsi="Calibri"/>
                <w:u w:color="000000"/>
              </w:rPr>
              <w:t>d</w:t>
            </w:r>
            <w:r w:rsidRPr="007354D0">
              <w:rPr>
                <w:rFonts w:ascii="Calibri" w:hAnsi="Calibri"/>
                <w:u w:color="000000"/>
              </w:rPr>
              <w:t xml:space="preserve"> may occur</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6C1C" w:rsidRPr="007354D0" w:rsidRDefault="00606C1C">
            <w:pPr>
              <w:pStyle w:val="BodyA"/>
              <w:rPr>
                <w:rFonts w:ascii="Calibri" w:hAnsi="Calibri" w:cs="Helvetica"/>
                <w:sz w:val="20"/>
                <w:szCs w:val="20"/>
              </w:rPr>
            </w:pPr>
            <w:r w:rsidRPr="007354D0">
              <w:rPr>
                <w:rFonts w:ascii="Calibri" w:hAnsi="Calibri" w:cs="Helvetica"/>
                <w:sz w:val="20"/>
                <w:szCs w:val="20"/>
              </w:rPr>
              <w:t>Not applicable</w:t>
            </w:r>
          </w:p>
        </w:tc>
      </w:tr>
      <w:tr w:rsidR="00F41086" w:rsidRPr="007354D0" w:rsidTr="00AC604A">
        <w:trPr>
          <w:trHeight w:val="1170"/>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1086" w:rsidRPr="007354D0" w:rsidRDefault="00F41086">
            <w:pPr>
              <w:pStyle w:val="BodyA"/>
              <w:rPr>
                <w:rFonts w:ascii="Calibri" w:hAnsi="Calibri"/>
                <w:b/>
              </w:rPr>
            </w:pPr>
            <w:r>
              <w:rPr>
                <w:rFonts w:ascii="Calibri" w:hAnsi="Calibri"/>
                <w:b/>
              </w:rPr>
              <w:t>Thermal Generation</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1086" w:rsidRPr="007354D0" w:rsidRDefault="00F41086">
            <w:pPr>
              <w:pStyle w:val="BodyA"/>
              <w:rPr>
                <w:rFonts w:ascii="Calibri" w:hAnsi="Calibri" w:cs="Helvetica"/>
                <w:sz w:val="20"/>
                <w:szCs w:val="20"/>
              </w:rPr>
            </w:pPr>
            <w:r>
              <w:rPr>
                <w:rFonts w:ascii="Calibri" w:hAnsi="Calibri" w:cs="Helvetica"/>
                <w:sz w:val="20"/>
                <w:szCs w:val="20"/>
              </w:rPr>
              <w:t xml:space="preserve">Seasonal Net Maximum Sustainable </w:t>
            </w:r>
            <w:r w:rsidR="00F443AF">
              <w:rPr>
                <w:rFonts w:ascii="Calibri" w:hAnsi="Calibri" w:cs="Helvetica"/>
                <w:sz w:val="20"/>
                <w:szCs w:val="20"/>
              </w:rPr>
              <w:t xml:space="preserve">MW </w:t>
            </w:r>
            <w:r>
              <w:rPr>
                <w:rFonts w:ascii="Calibri" w:hAnsi="Calibri" w:cs="Helvetica"/>
                <w:sz w:val="20"/>
                <w:szCs w:val="20"/>
              </w:rPr>
              <w:t>Rating from RARF</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1086" w:rsidRPr="007354D0" w:rsidRDefault="00F443AF">
            <w:pPr>
              <w:pStyle w:val="BodyA"/>
              <w:rPr>
                <w:rFonts w:ascii="Calibri" w:hAnsi="Calibri" w:cs="Helvetica"/>
                <w:sz w:val="20"/>
                <w:szCs w:val="20"/>
              </w:rPr>
            </w:pPr>
            <w:r>
              <w:rPr>
                <w:rFonts w:ascii="Calibri" w:hAnsi="Calibri" w:cs="Helvetica"/>
                <w:sz w:val="20"/>
                <w:szCs w:val="20"/>
              </w:rPr>
              <w:t xml:space="preserve">Seasonal Net Maximum Sustainable MW Rating from RARF </w:t>
            </w:r>
            <w:r w:rsidR="00F41086">
              <w:rPr>
                <w:rFonts w:ascii="Calibri" w:hAnsi="Calibri" w:cs="Helvetica"/>
                <w:sz w:val="20"/>
                <w:szCs w:val="20"/>
              </w:rPr>
              <w:t xml:space="preserve">and Reactive </w:t>
            </w:r>
            <w:r>
              <w:rPr>
                <w:rFonts w:ascii="Calibri" w:hAnsi="Calibri" w:cs="Helvetica"/>
                <w:sz w:val="20"/>
                <w:szCs w:val="20"/>
              </w:rPr>
              <w:t xml:space="preserve">curve gross MVAR less auxiliary Load MVAR </w:t>
            </w:r>
            <w:r w:rsidR="00F41086">
              <w:rPr>
                <w:rFonts w:ascii="Calibri" w:hAnsi="Calibri" w:cs="Helvetica"/>
                <w:sz w:val="20"/>
                <w:szCs w:val="20"/>
              </w:rPr>
              <w:t>Ratings from RARF</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1086" w:rsidRPr="007354D0" w:rsidRDefault="00F443AF">
            <w:pPr>
              <w:pStyle w:val="TableStyle2"/>
              <w:rPr>
                <w:rFonts w:ascii="Calibri" w:hAnsi="Calibri"/>
                <w:u w:color="000000"/>
              </w:rPr>
            </w:pPr>
            <w:r>
              <w:rPr>
                <w:rFonts w:ascii="Calibri" w:hAnsi="Calibri"/>
              </w:rPr>
              <w:t>Seasonal Net Maximum Sustainable MW Rating from RARF and Reactive curve gross MVAR less auxiliary Load MVAR Ratings from RARF</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1086" w:rsidRPr="007354D0" w:rsidRDefault="00F443AF">
            <w:pPr>
              <w:pStyle w:val="BodyA"/>
              <w:rPr>
                <w:rFonts w:ascii="Calibri" w:hAnsi="Calibri" w:cs="Helvetica"/>
                <w:sz w:val="20"/>
                <w:szCs w:val="20"/>
              </w:rPr>
            </w:pPr>
            <w:r>
              <w:rPr>
                <w:rFonts w:ascii="Calibri" w:hAnsi="Calibri" w:cs="Helvetica"/>
                <w:sz w:val="20"/>
                <w:szCs w:val="20"/>
              </w:rPr>
              <w:t>Seasonal Net Maximum Sustainable MW Rating from RARF</w:t>
            </w:r>
          </w:p>
        </w:tc>
      </w:tr>
      <w:tr w:rsidR="008D1485" w:rsidRPr="007354D0" w:rsidTr="00AC604A">
        <w:trPr>
          <w:trHeight w:val="1170"/>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rPr>
            </w:pPr>
            <w:r w:rsidRPr="007354D0">
              <w:rPr>
                <w:rFonts w:ascii="Calibri" w:hAnsi="Calibri"/>
                <w:b/>
              </w:rPr>
              <w:t>Wind Generation</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900270">
            <w:pPr>
              <w:pStyle w:val="BodyA"/>
              <w:rPr>
                <w:rFonts w:ascii="Calibri" w:hAnsi="Calibri" w:cs="Helvetica"/>
                <w:sz w:val="20"/>
                <w:szCs w:val="20"/>
              </w:rPr>
            </w:pPr>
            <w:r w:rsidRPr="007354D0">
              <w:rPr>
                <w:rFonts w:ascii="Calibri" w:hAnsi="Calibri" w:cs="Helvetica"/>
                <w:sz w:val="20"/>
                <w:szCs w:val="20"/>
              </w:rPr>
              <w:t>Capacity contribution</w:t>
            </w:r>
            <w:r w:rsidR="00DB0CF3" w:rsidRPr="007354D0">
              <w:rPr>
                <w:rFonts w:ascii="Calibri" w:hAnsi="Calibri" w:cs="Helvetica"/>
                <w:sz w:val="20"/>
                <w:szCs w:val="20"/>
              </w:rPr>
              <w:t xml:space="preserve"> based on average of recent peak-season output (top 20 load hours)</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rsidP="00606C1C">
            <w:pPr>
              <w:pStyle w:val="BodyA"/>
              <w:rPr>
                <w:rFonts w:ascii="Calibri" w:hAnsi="Calibri" w:cs="Helvetica"/>
                <w:sz w:val="20"/>
                <w:szCs w:val="20"/>
              </w:rPr>
            </w:pPr>
            <w:r w:rsidRPr="007354D0">
              <w:rPr>
                <w:rFonts w:ascii="Calibri" w:hAnsi="Calibri" w:cs="Helvetica"/>
                <w:sz w:val="20"/>
                <w:szCs w:val="20"/>
              </w:rPr>
              <w:t xml:space="preserve">100% of capacity modeled.  Units dispatched </w:t>
            </w:r>
            <w:r w:rsidR="00606C1C" w:rsidRPr="007354D0">
              <w:rPr>
                <w:rFonts w:ascii="Calibri" w:hAnsi="Calibri" w:cs="Helvetica"/>
                <w:sz w:val="20"/>
                <w:szCs w:val="20"/>
              </w:rPr>
              <w:t>according to CDR</w:t>
            </w:r>
            <w:r w:rsidR="00236EC6">
              <w:rPr>
                <w:rFonts w:ascii="Calibri" w:hAnsi="Calibri" w:cs="Helvetica"/>
                <w:sz w:val="20"/>
                <w:szCs w:val="20"/>
              </w:rPr>
              <w:t xml:space="preserve"> Report</w:t>
            </w:r>
            <w:r w:rsidR="00606C1C" w:rsidRPr="007354D0">
              <w:rPr>
                <w:rFonts w:ascii="Calibri" w:hAnsi="Calibri" w:cs="Helvetica"/>
                <w:sz w:val="20"/>
                <w:szCs w:val="20"/>
              </w:rPr>
              <w:t xml:space="preserve"> unless needed in extraordinary dispatch</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TableStyle2"/>
              <w:rPr>
                <w:rFonts w:ascii="Calibri" w:hAnsi="Calibri"/>
              </w:rPr>
            </w:pPr>
            <w:r w:rsidRPr="007354D0">
              <w:rPr>
                <w:rFonts w:ascii="Calibri" w:hAnsi="Calibri"/>
                <w:u w:color="000000"/>
              </w:rPr>
              <w:t xml:space="preserve">100% of capacity modeled.  Units dispatched at </w:t>
            </w:r>
            <w:r w:rsidR="00AD4019" w:rsidRPr="007354D0">
              <w:rPr>
                <w:rFonts w:ascii="Calibri" w:hAnsi="Calibri"/>
                <w:u w:color="000000"/>
              </w:rPr>
              <w:t>varying levels, depending on the case</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Units dispatched based on  representative hourly patterns appropriate for weather assumptions</w:t>
            </w:r>
          </w:p>
        </w:tc>
      </w:tr>
      <w:tr w:rsidR="008D1485" w:rsidRPr="007354D0" w:rsidTr="00AC604A">
        <w:trPr>
          <w:trHeight w:val="1170"/>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rPr>
            </w:pPr>
            <w:r w:rsidRPr="007354D0">
              <w:rPr>
                <w:rFonts w:ascii="Calibri" w:hAnsi="Calibri"/>
                <w:b/>
              </w:rPr>
              <w:lastRenderedPageBreak/>
              <w:t>Solar Generation</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446312" w:rsidP="00446312">
            <w:pPr>
              <w:pStyle w:val="BodyA"/>
              <w:rPr>
                <w:rFonts w:ascii="Calibri" w:hAnsi="Calibri" w:cs="Helvetica"/>
                <w:sz w:val="20"/>
                <w:szCs w:val="20"/>
              </w:rPr>
            </w:pPr>
            <w:r w:rsidRPr="007354D0">
              <w:rPr>
                <w:rFonts w:ascii="Calibri" w:hAnsi="Calibri" w:cs="Helvetica"/>
                <w:sz w:val="20"/>
                <w:szCs w:val="20"/>
              </w:rPr>
              <w:t>100% of capacity reported</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TableStyle2"/>
              <w:rPr>
                <w:rFonts w:ascii="Calibri" w:hAnsi="Calibri"/>
              </w:rPr>
            </w:pPr>
            <w:r w:rsidRPr="007354D0">
              <w:rPr>
                <w:rFonts w:ascii="Calibri" w:hAnsi="Calibri"/>
                <w:u w:color="000000"/>
              </w:rPr>
              <w:t xml:space="preserve">100% of capacity modeled.  Units dispatched </w:t>
            </w:r>
            <w:r w:rsidR="00104E80" w:rsidRPr="007354D0">
              <w:rPr>
                <w:rFonts w:ascii="Calibri" w:hAnsi="Calibri"/>
                <w:u w:color="000000"/>
              </w:rPr>
              <w:t>based on review of historic seasonal output</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rsidP="00B76673">
            <w:pPr>
              <w:pStyle w:val="TableStyle2"/>
              <w:rPr>
                <w:rFonts w:ascii="Calibri" w:hAnsi="Calibri"/>
              </w:rPr>
            </w:pPr>
            <w:r w:rsidRPr="007354D0">
              <w:rPr>
                <w:rFonts w:ascii="Calibri" w:hAnsi="Calibri"/>
                <w:u w:color="000000"/>
              </w:rPr>
              <w:t xml:space="preserve">100% of capacity modeled.  Units dispatched at </w:t>
            </w:r>
            <w:r w:rsidR="00B76673" w:rsidRPr="007354D0">
              <w:rPr>
                <w:rFonts w:ascii="Calibri" w:hAnsi="Calibri"/>
                <w:u w:color="000000"/>
              </w:rPr>
              <w:t>70% of capacity</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rsidP="00B76673">
            <w:pPr>
              <w:pStyle w:val="TableStyle2"/>
              <w:rPr>
                <w:rFonts w:ascii="Calibri" w:hAnsi="Calibri"/>
              </w:rPr>
            </w:pPr>
            <w:r w:rsidRPr="007354D0">
              <w:rPr>
                <w:rFonts w:ascii="Calibri" w:hAnsi="Calibri"/>
                <w:u w:color="000000"/>
              </w:rPr>
              <w:t>Units dispatched based on  representative hourly patterns appropriate for weather assumptions</w:t>
            </w:r>
            <w:r w:rsidR="00104E80" w:rsidRPr="007354D0">
              <w:rPr>
                <w:rFonts w:ascii="Calibri" w:hAnsi="Calibri"/>
                <w:u w:color="000000"/>
              </w:rPr>
              <w:t xml:space="preserve">; using </w:t>
            </w:r>
            <w:r w:rsidR="00B76673" w:rsidRPr="007354D0">
              <w:rPr>
                <w:rFonts w:ascii="Calibri" w:hAnsi="Calibri"/>
                <w:u w:color="000000"/>
              </w:rPr>
              <w:t>vendor</w:t>
            </w:r>
            <w:r w:rsidR="00104E80" w:rsidRPr="007354D0">
              <w:rPr>
                <w:rFonts w:ascii="Calibri" w:hAnsi="Calibri"/>
                <w:u w:color="000000"/>
              </w:rPr>
              <w:t xml:space="preserve"> profiles</w:t>
            </w:r>
          </w:p>
        </w:tc>
      </w:tr>
      <w:tr w:rsidR="008D1485" w:rsidRPr="007354D0" w:rsidTr="00AC604A">
        <w:trPr>
          <w:trHeight w:val="918"/>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rPr>
            </w:pPr>
            <w:r w:rsidRPr="007354D0">
              <w:rPr>
                <w:rFonts w:ascii="Calibri" w:hAnsi="Calibri"/>
                <w:b/>
              </w:rPr>
              <w:t>DC-Ties</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Output levels based on average of recent peak-season output (top 20 load hours)</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TableStyle2"/>
              <w:rPr>
                <w:rFonts w:ascii="Calibri" w:hAnsi="Calibri"/>
              </w:rPr>
            </w:pPr>
            <w:r w:rsidRPr="007354D0">
              <w:rPr>
                <w:rFonts w:ascii="Calibri" w:hAnsi="Calibri"/>
                <w:u w:color="000000"/>
              </w:rPr>
              <w:t xml:space="preserve">100% of capacity modeled.  Units dispatched </w:t>
            </w:r>
            <w:r w:rsidR="00104E80" w:rsidRPr="007354D0">
              <w:rPr>
                <w:rFonts w:ascii="Calibri" w:hAnsi="Calibri"/>
                <w:u w:color="000000"/>
              </w:rPr>
              <w:t>based on review of historic seasonal operating levels</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TableStyle2"/>
              <w:rPr>
                <w:rFonts w:ascii="Calibri" w:hAnsi="Calibri"/>
              </w:rPr>
            </w:pPr>
            <w:r w:rsidRPr="007354D0">
              <w:rPr>
                <w:rFonts w:ascii="Calibri" w:hAnsi="Calibri"/>
                <w:u w:color="000000"/>
              </w:rPr>
              <w:t xml:space="preserve">100% of capacity modeled.  </w:t>
            </w:r>
            <w:r w:rsidR="00104E80" w:rsidRPr="007354D0">
              <w:rPr>
                <w:rFonts w:ascii="Calibri" w:hAnsi="Calibri"/>
                <w:u w:color="000000"/>
              </w:rPr>
              <w:t>Units dispatched based on review of historic seasonal operating levels</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TableStyle2"/>
              <w:rPr>
                <w:rFonts w:ascii="Calibri" w:hAnsi="Calibri"/>
              </w:rPr>
            </w:pPr>
            <w:r w:rsidRPr="007354D0">
              <w:rPr>
                <w:rFonts w:ascii="Calibri" w:hAnsi="Calibri"/>
                <w:u w:color="000000"/>
              </w:rPr>
              <w:t>Units dispatched based on  historical hourly patterns</w:t>
            </w:r>
          </w:p>
        </w:tc>
      </w:tr>
      <w:tr w:rsidR="008D1485" w:rsidRPr="007354D0" w:rsidTr="00AC604A">
        <w:trPr>
          <w:trHeight w:val="909"/>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rPr>
            </w:pPr>
            <w:r w:rsidRPr="007354D0">
              <w:rPr>
                <w:rFonts w:ascii="Calibri" w:hAnsi="Calibri"/>
                <w:b/>
              </w:rPr>
              <w:t>Hydro Generation</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Output levels based on average of recent peak-season output (top 20 load hours)</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16689" w:rsidP="007C6849">
            <w:pPr>
              <w:pStyle w:val="TableStyle2"/>
              <w:rPr>
                <w:rFonts w:ascii="Calibri" w:hAnsi="Calibri"/>
              </w:rPr>
            </w:pPr>
            <w:r w:rsidRPr="007354D0">
              <w:rPr>
                <w:rFonts w:ascii="Calibri" w:hAnsi="Calibri"/>
                <w:u w:color="000000"/>
              </w:rPr>
              <w:t xml:space="preserve">100% of capacity modeled.  </w:t>
            </w:r>
            <w:r w:rsidR="00DB0CF3" w:rsidRPr="007354D0">
              <w:rPr>
                <w:rFonts w:ascii="Calibri" w:hAnsi="Calibri"/>
                <w:u w:color="000000"/>
              </w:rPr>
              <w:t xml:space="preserve">Units </w:t>
            </w:r>
            <w:r w:rsidR="00104E80" w:rsidRPr="007354D0">
              <w:rPr>
                <w:rFonts w:ascii="Calibri" w:hAnsi="Calibri"/>
                <w:u w:color="000000"/>
              </w:rPr>
              <w:t>modeled offline</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16689">
            <w:pPr>
              <w:pStyle w:val="TableStyle2"/>
              <w:rPr>
                <w:rFonts w:ascii="Calibri" w:hAnsi="Calibri"/>
              </w:rPr>
            </w:pPr>
            <w:r w:rsidRPr="007354D0">
              <w:rPr>
                <w:rFonts w:ascii="Calibri" w:hAnsi="Calibri"/>
                <w:u w:color="000000"/>
              </w:rPr>
              <w:t xml:space="preserve">100% of capacity modeled.  </w:t>
            </w:r>
            <w:r w:rsidR="00DB0CF3" w:rsidRPr="007354D0">
              <w:rPr>
                <w:rFonts w:ascii="Calibri" w:hAnsi="Calibri"/>
                <w:u w:color="000000"/>
              </w:rPr>
              <w:t xml:space="preserve">Units </w:t>
            </w:r>
            <w:r w:rsidR="00104E80" w:rsidRPr="007354D0">
              <w:rPr>
                <w:rFonts w:ascii="Calibri" w:hAnsi="Calibri"/>
                <w:u w:color="000000"/>
              </w:rPr>
              <w:t>modeled offline</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TableStyle2"/>
              <w:rPr>
                <w:rFonts w:ascii="Calibri" w:hAnsi="Calibri"/>
              </w:rPr>
            </w:pPr>
            <w:r w:rsidRPr="007354D0">
              <w:rPr>
                <w:rFonts w:ascii="Calibri" w:hAnsi="Calibri"/>
                <w:u w:color="000000"/>
              </w:rPr>
              <w:t>Units dispatched based on  historical hourly patterns</w:t>
            </w:r>
          </w:p>
        </w:tc>
      </w:tr>
      <w:tr w:rsidR="008D1485" w:rsidRPr="007354D0" w:rsidTr="00AC604A">
        <w:trPr>
          <w:trHeight w:val="1269"/>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113A19" w:rsidP="003E595C">
            <w:pPr>
              <w:pStyle w:val="BodyA"/>
              <w:rPr>
                <w:rFonts w:ascii="Calibri" w:hAnsi="Calibri"/>
                <w:b/>
              </w:rPr>
            </w:pPr>
            <w:r w:rsidRPr="007354D0">
              <w:rPr>
                <w:rFonts w:ascii="Calibri" w:hAnsi="Calibri"/>
                <w:b/>
              </w:rPr>
              <w:t xml:space="preserve">Requirements for Including Planned </w:t>
            </w:r>
            <w:r w:rsidR="00DB0CF3" w:rsidRPr="007354D0">
              <w:rPr>
                <w:rFonts w:ascii="Calibri" w:hAnsi="Calibri"/>
                <w:b/>
              </w:rPr>
              <w:t>Generation</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5B24" w:rsidRPr="007354D0" w:rsidRDefault="00E35B24" w:rsidP="00102AE1">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S</w:t>
            </w:r>
            <w:r w:rsidR="00DB0CF3" w:rsidRPr="007354D0">
              <w:rPr>
                <w:rFonts w:ascii="Calibri" w:hAnsi="Calibri" w:cs="Helvetica"/>
                <w:sz w:val="20"/>
                <w:szCs w:val="20"/>
              </w:rPr>
              <w:t>igned interconnection agreement</w:t>
            </w:r>
            <w:r w:rsidRPr="007354D0">
              <w:rPr>
                <w:rFonts w:ascii="Calibri" w:hAnsi="Calibri" w:cs="Helvetica"/>
                <w:sz w:val="20"/>
                <w:szCs w:val="20"/>
              </w:rPr>
              <w:t>;</w:t>
            </w:r>
          </w:p>
          <w:p w:rsidR="00E35B24" w:rsidRPr="007354D0" w:rsidRDefault="00E35B24" w:rsidP="00102AE1">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A</w:t>
            </w:r>
            <w:r w:rsidR="00DB0CF3" w:rsidRPr="007354D0">
              <w:rPr>
                <w:rFonts w:ascii="Calibri" w:hAnsi="Calibri" w:cs="Helvetica"/>
                <w:sz w:val="20"/>
                <w:szCs w:val="20"/>
              </w:rPr>
              <w:t>ir permits (if needed)</w:t>
            </w:r>
            <w:r w:rsidRPr="007354D0">
              <w:rPr>
                <w:rFonts w:ascii="Calibri" w:hAnsi="Calibri" w:cs="Helvetica"/>
                <w:sz w:val="20"/>
                <w:szCs w:val="20"/>
              </w:rPr>
              <w:t>;</w:t>
            </w:r>
            <w:r w:rsidR="00DB0CF3" w:rsidRPr="007354D0">
              <w:rPr>
                <w:rFonts w:ascii="Calibri" w:hAnsi="Calibri" w:cs="Helvetica"/>
                <w:sz w:val="20"/>
                <w:szCs w:val="20"/>
              </w:rPr>
              <w:t xml:space="preserve"> and</w:t>
            </w:r>
          </w:p>
          <w:p w:rsidR="008D1485" w:rsidRPr="007354D0" w:rsidRDefault="00E35B24" w:rsidP="00102AE1">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C</w:t>
            </w:r>
            <w:r w:rsidR="00DB0CF3" w:rsidRPr="007354D0">
              <w:rPr>
                <w:rFonts w:ascii="Calibri" w:hAnsi="Calibri" w:cs="Helvetica"/>
                <w:sz w:val="20"/>
                <w:szCs w:val="20"/>
              </w:rPr>
              <w:t>ooling water attestation</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16689">
            <w:pPr>
              <w:rPr>
                <w:rFonts w:ascii="Calibri" w:hAnsi="Calibri" w:cs="Helvetica"/>
                <w:sz w:val="20"/>
                <w:szCs w:val="20"/>
              </w:rPr>
            </w:pPr>
            <w:r w:rsidRPr="007354D0">
              <w:rPr>
                <w:rFonts w:ascii="Calibri" w:hAnsi="Calibri" w:cs="Helvetica"/>
                <w:sz w:val="20"/>
                <w:szCs w:val="20"/>
              </w:rPr>
              <w:t>Planning Guide 6.9.</w:t>
            </w:r>
          </w:p>
          <w:p w:rsidR="00D16689" w:rsidRPr="007354D0" w:rsidRDefault="00D16689" w:rsidP="00D16689">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Signed interconnection agreement;</w:t>
            </w:r>
          </w:p>
          <w:p w:rsidR="00D16689" w:rsidRPr="007354D0" w:rsidRDefault="00D16689" w:rsidP="00D16689">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Air permits (if needed);</w:t>
            </w:r>
          </w:p>
          <w:p w:rsidR="00D16689" w:rsidRPr="007354D0" w:rsidRDefault="00D16689" w:rsidP="00D16689">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Cooling water attestation; and</w:t>
            </w:r>
          </w:p>
          <w:p w:rsidR="00D16689" w:rsidRPr="007354D0" w:rsidRDefault="00D16689" w:rsidP="00D16689">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 xml:space="preserve">Full financial commitment and notice to proceed </w:t>
            </w:r>
            <w:r w:rsidR="004D3C79" w:rsidRPr="007354D0">
              <w:rPr>
                <w:rFonts w:ascii="Calibri" w:hAnsi="Calibri" w:cs="Helvetica"/>
                <w:sz w:val="20"/>
                <w:szCs w:val="20"/>
              </w:rPr>
              <w:t>given to TSP</w:t>
            </w:r>
          </w:p>
          <w:p w:rsidR="00D16689" w:rsidRPr="007354D0" w:rsidRDefault="00D16689">
            <w:pPr>
              <w:rPr>
                <w:rFonts w:ascii="Calibri" w:hAnsi="Calibri" w:cs="Helvetica"/>
                <w:sz w:val="20"/>
                <w:szCs w:val="20"/>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6689" w:rsidRPr="007354D0" w:rsidRDefault="00D16689" w:rsidP="00D16689">
            <w:pPr>
              <w:rPr>
                <w:rFonts w:ascii="Calibri" w:hAnsi="Calibri" w:cs="Helvetica"/>
                <w:sz w:val="20"/>
                <w:szCs w:val="20"/>
              </w:rPr>
            </w:pPr>
            <w:r w:rsidRPr="007354D0">
              <w:rPr>
                <w:rFonts w:ascii="Calibri" w:hAnsi="Calibri" w:cs="Helvetica"/>
                <w:sz w:val="20"/>
                <w:szCs w:val="20"/>
              </w:rPr>
              <w:t>Planning Guide 6.9.</w:t>
            </w:r>
          </w:p>
          <w:p w:rsidR="00E35B24" w:rsidRPr="007354D0" w:rsidRDefault="00E35B24" w:rsidP="00E35B24">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Signed interconnection agreement;</w:t>
            </w:r>
          </w:p>
          <w:p w:rsidR="009426E4" w:rsidRPr="007354D0" w:rsidRDefault="00E35B24" w:rsidP="00102AE1">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Air permits (if needed);</w:t>
            </w:r>
          </w:p>
          <w:p w:rsidR="009426E4" w:rsidRPr="007354D0" w:rsidRDefault="00E35B24" w:rsidP="00102AE1">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Cooling water attestation</w:t>
            </w:r>
            <w:r w:rsidR="009426E4" w:rsidRPr="007354D0">
              <w:rPr>
                <w:rFonts w:ascii="Calibri" w:hAnsi="Calibri" w:cs="Helvetica"/>
                <w:sz w:val="20"/>
                <w:szCs w:val="20"/>
              </w:rPr>
              <w:t>; and</w:t>
            </w:r>
          </w:p>
          <w:p w:rsidR="008D1485" w:rsidRPr="007354D0" w:rsidRDefault="009426E4" w:rsidP="00102AE1">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F</w:t>
            </w:r>
            <w:r w:rsidR="00DB0CF3" w:rsidRPr="007354D0">
              <w:rPr>
                <w:rFonts w:ascii="Calibri" w:hAnsi="Calibri" w:cs="Helvetica"/>
                <w:sz w:val="20"/>
                <w:szCs w:val="20"/>
              </w:rPr>
              <w:t xml:space="preserve">ull financial commitment and notice to proceed </w:t>
            </w:r>
            <w:r w:rsidRPr="007354D0">
              <w:rPr>
                <w:rFonts w:ascii="Calibri" w:hAnsi="Calibri" w:cs="Helvetica"/>
                <w:sz w:val="20"/>
                <w:szCs w:val="20"/>
              </w:rPr>
              <w:t>given to TSP</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6689" w:rsidRPr="007354D0" w:rsidRDefault="00D16689" w:rsidP="00D16689">
            <w:pPr>
              <w:rPr>
                <w:rFonts w:ascii="Calibri" w:hAnsi="Calibri" w:cs="Helvetica"/>
                <w:sz w:val="20"/>
                <w:szCs w:val="20"/>
              </w:rPr>
            </w:pPr>
            <w:r w:rsidRPr="007354D0">
              <w:rPr>
                <w:rFonts w:ascii="Calibri" w:hAnsi="Calibri" w:cs="Helvetica"/>
                <w:sz w:val="20"/>
                <w:szCs w:val="20"/>
              </w:rPr>
              <w:t>Planning Guide 6.9.</w:t>
            </w:r>
          </w:p>
          <w:p w:rsidR="009426E4" w:rsidRPr="007354D0" w:rsidRDefault="009426E4" w:rsidP="009426E4">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Signed interconnection agreement;</w:t>
            </w:r>
          </w:p>
          <w:p w:rsidR="009426E4" w:rsidRPr="007354D0" w:rsidRDefault="009426E4" w:rsidP="009426E4">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Air permits (if needed);</w:t>
            </w:r>
          </w:p>
          <w:p w:rsidR="009426E4" w:rsidRPr="007354D0" w:rsidRDefault="009426E4" w:rsidP="00102AE1">
            <w:pPr>
              <w:pStyle w:val="BodyA"/>
              <w:numPr>
                <w:ilvl w:val="0"/>
                <w:numId w:val="52"/>
              </w:numPr>
              <w:ind w:left="202" w:hanging="180"/>
              <w:rPr>
                <w:rFonts w:ascii="Calibri" w:hAnsi="Calibri" w:cs="Helvetica"/>
                <w:sz w:val="20"/>
                <w:szCs w:val="20"/>
              </w:rPr>
            </w:pPr>
            <w:r w:rsidRPr="007354D0">
              <w:rPr>
                <w:rFonts w:ascii="Calibri" w:hAnsi="Calibri" w:cs="Helvetica"/>
                <w:sz w:val="20"/>
                <w:szCs w:val="20"/>
              </w:rPr>
              <w:t>Cooling water attestation; and</w:t>
            </w:r>
          </w:p>
          <w:p w:rsidR="008D1485" w:rsidRPr="007354D0" w:rsidRDefault="009426E4" w:rsidP="00102AE1">
            <w:pPr>
              <w:pStyle w:val="BodyA"/>
              <w:numPr>
                <w:ilvl w:val="0"/>
                <w:numId w:val="52"/>
              </w:numPr>
              <w:ind w:left="202" w:hanging="180"/>
              <w:rPr>
                <w:rFonts w:ascii="Calibri" w:hAnsi="Calibri" w:cs="Helvetica"/>
              </w:rPr>
            </w:pPr>
            <w:r w:rsidRPr="007354D0">
              <w:rPr>
                <w:rFonts w:ascii="Calibri" w:hAnsi="Calibri" w:cs="Helvetica"/>
                <w:sz w:val="20"/>
                <w:szCs w:val="20"/>
              </w:rPr>
              <w:t>Full financial commitment and notice to proceed given to TSP</w:t>
            </w:r>
          </w:p>
        </w:tc>
      </w:tr>
      <w:tr w:rsidR="008D1485" w:rsidRPr="007354D0" w:rsidTr="00AC604A">
        <w:trPr>
          <w:trHeight w:val="540"/>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B5740F">
            <w:pPr>
              <w:pStyle w:val="BodyA"/>
              <w:rPr>
                <w:rFonts w:ascii="Calibri" w:hAnsi="Calibri"/>
                <w:b/>
              </w:rPr>
            </w:pPr>
            <w:r w:rsidRPr="007354D0">
              <w:rPr>
                <w:rFonts w:ascii="Calibri" w:hAnsi="Calibri"/>
                <w:b/>
              </w:rPr>
              <w:t>Self-Serve</w:t>
            </w:r>
            <w:r w:rsidR="00DB0CF3" w:rsidRPr="007354D0">
              <w:rPr>
                <w:rFonts w:ascii="Calibri" w:hAnsi="Calibri"/>
                <w:b/>
              </w:rPr>
              <w:t xml:space="preserve"> Generation</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 xml:space="preserve">Net to grid during peak hours of recent peak season </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Full capacity available</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TableStyle2"/>
              <w:rPr>
                <w:rFonts w:ascii="Calibri" w:hAnsi="Calibri"/>
              </w:rPr>
            </w:pPr>
            <w:r w:rsidRPr="007354D0">
              <w:rPr>
                <w:rFonts w:ascii="Calibri" w:hAnsi="Calibri"/>
                <w:u w:color="000000"/>
              </w:rPr>
              <w:t>Full capacity available</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TableStyle2"/>
              <w:rPr>
                <w:rFonts w:ascii="Calibri" w:hAnsi="Calibri"/>
              </w:rPr>
            </w:pPr>
            <w:r w:rsidRPr="007354D0">
              <w:rPr>
                <w:rFonts w:ascii="Calibri" w:hAnsi="Calibri"/>
                <w:u w:color="000000"/>
              </w:rPr>
              <w:t>Full capacity available</w:t>
            </w:r>
          </w:p>
        </w:tc>
      </w:tr>
      <w:tr w:rsidR="008D1485" w:rsidRPr="007354D0" w:rsidTr="00AC604A">
        <w:trPr>
          <w:trHeight w:val="540"/>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rPr>
            </w:pPr>
            <w:r w:rsidRPr="007354D0">
              <w:rPr>
                <w:rFonts w:ascii="Calibri" w:hAnsi="Calibri"/>
                <w:b/>
              </w:rPr>
              <w:t>Switchable Units</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Capacity contracted to other region is not included</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104E80">
            <w:pPr>
              <w:rPr>
                <w:rFonts w:ascii="Calibri" w:hAnsi="Calibri" w:cs="Helvetica"/>
                <w:sz w:val="20"/>
                <w:szCs w:val="20"/>
              </w:rPr>
            </w:pPr>
            <w:r w:rsidRPr="007354D0">
              <w:rPr>
                <w:rFonts w:ascii="Calibri" w:hAnsi="Calibri" w:cs="Helvetica"/>
                <w:color w:val="000000"/>
                <w:sz w:val="20"/>
                <w:szCs w:val="20"/>
                <w:u w:color="000000"/>
              </w:rPr>
              <w:t>Capacity contracted to other region is considered unavailable</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TableStyle2"/>
              <w:rPr>
                <w:rFonts w:ascii="Calibri" w:hAnsi="Calibri"/>
              </w:rPr>
            </w:pPr>
            <w:r w:rsidRPr="007354D0">
              <w:rPr>
                <w:rFonts w:ascii="Calibri" w:hAnsi="Calibri"/>
                <w:u w:color="000000"/>
              </w:rPr>
              <w:t>Capacity contracted to other region is considered unavailable</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TableStyle2"/>
              <w:rPr>
                <w:rFonts w:ascii="Calibri" w:hAnsi="Calibri"/>
              </w:rPr>
            </w:pPr>
            <w:r w:rsidRPr="007354D0">
              <w:rPr>
                <w:rFonts w:ascii="Calibri" w:hAnsi="Calibri"/>
                <w:u w:color="000000"/>
              </w:rPr>
              <w:t>Capacity contracted to other region is considered unavailable</w:t>
            </w:r>
          </w:p>
        </w:tc>
      </w:tr>
      <w:tr w:rsidR="008D1485" w:rsidRPr="007354D0" w:rsidTr="00AC604A">
        <w:trPr>
          <w:trHeight w:val="810"/>
        </w:trPr>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b/>
              </w:rPr>
            </w:pPr>
            <w:r w:rsidRPr="007354D0">
              <w:rPr>
                <w:rFonts w:ascii="Calibri" w:hAnsi="Calibri"/>
                <w:b/>
              </w:rPr>
              <w:t>Mothball Generation</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Capacity is included if unit owner states likelihood of return is greater than 50%</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606C1C">
            <w:pPr>
              <w:pStyle w:val="BodyA"/>
              <w:rPr>
                <w:rFonts w:ascii="Calibri" w:hAnsi="Calibri" w:cs="Helvetica"/>
                <w:sz w:val="20"/>
                <w:szCs w:val="20"/>
              </w:rPr>
            </w:pPr>
            <w:r w:rsidRPr="007354D0">
              <w:rPr>
                <w:rFonts w:ascii="Calibri" w:hAnsi="Calibri" w:cs="Helvetica"/>
                <w:sz w:val="20"/>
                <w:szCs w:val="20"/>
              </w:rPr>
              <w:t>Designated as a mothball unit and status set to “out-of-servic</w:t>
            </w:r>
            <w:r w:rsidR="006925F8" w:rsidRPr="007354D0">
              <w:rPr>
                <w:rFonts w:ascii="Calibri" w:hAnsi="Calibri" w:cs="Helvetica"/>
                <w:sz w:val="20"/>
                <w:szCs w:val="20"/>
              </w:rPr>
              <w:t>e</w:t>
            </w:r>
            <w:r w:rsidRPr="007354D0">
              <w:rPr>
                <w:rFonts w:ascii="Calibri" w:hAnsi="Calibri" w:cs="Helvetica"/>
                <w:sz w:val="20"/>
                <w:szCs w:val="20"/>
              </w:rPr>
              <w:t>”</w:t>
            </w:r>
            <w:r w:rsidR="006925F8" w:rsidRPr="007354D0">
              <w:rPr>
                <w:rFonts w:ascii="Calibri" w:hAnsi="Calibri" w:cs="Helvetica"/>
                <w:sz w:val="20"/>
                <w:szCs w:val="20"/>
              </w:rPr>
              <w:t xml:space="preserve"> unless needed for </w:t>
            </w:r>
            <w:r w:rsidR="009A54F9" w:rsidRPr="007354D0">
              <w:rPr>
                <w:rFonts w:ascii="Calibri" w:hAnsi="Calibri" w:cs="Helvetica"/>
                <w:sz w:val="20"/>
                <w:szCs w:val="20"/>
              </w:rPr>
              <w:lastRenderedPageBreak/>
              <w:t>extraordinary</w:t>
            </w:r>
            <w:r w:rsidR="006925F8" w:rsidRPr="007354D0">
              <w:rPr>
                <w:rFonts w:ascii="Calibri" w:hAnsi="Calibri" w:cs="Helvetica"/>
                <w:sz w:val="20"/>
                <w:szCs w:val="20"/>
              </w:rPr>
              <w:t xml:space="preserve"> dispatch</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104E80" w:rsidP="008A5F14">
            <w:pPr>
              <w:pStyle w:val="TableStyle2"/>
              <w:rPr>
                <w:rFonts w:ascii="Calibri" w:hAnsi="Calibri"/>
              </w:rPr>
            </w:pPr>
            <w:r w:rsidRPr="007354D0">
              <w:rPr>
                <w:rFonts w:ascii="Calibri" w:hAnsi="Calibri"/>
              </w:rPr>
              <w:lastRenderedPageBreak/>
              <w:t>Mothball units not available</w:t>
            </w:r>
            <w:r w:rsidR="008A5F14" w:rsidRPr="007354D0">
              <w:rPr>
                <w:rFonts w:ascii="Calibri" w:hAnsi="Calibri"/>
              </w:rPr>
              <w:t xml:space="preserve"> (new for 2015 as a result of TPL-001-4)</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1485" w:rsidRPr="007354D0" w:rsidRDefault="00DB0CF3">
            <w:pPr>
              <w:pStyle w:val="BodyA"/>
              <w:rPr>
                <w:rFonts w:ascii="Calibri" w:hAnsi="Calibri" w:cs="Helvetica"/>
                <w:sz w:val="20"/>
                <w:szCs w:val="20"/>
              </w:rPr>
            </w:pPr>
            <w:r w:rsidRPr="007354D0">
              <w:rPr>
                <w:rFonts w:ascii="Calibri" w:hAnsi="Calibri" w:cs="Helvetica"/>
                <w:sz w:val="20"/>
                <w:szCs w:val="20"/>
              </w:rPr>
              <w:t>Mothball units not available</w:t>
            </w:r>
          </w:p>
        </w:tc>
      </w:tr>
    </w:tbl>
    <w:p w:rsidR="008D1485" w:rsidRPr="007354D0" w:rsidRDefault="008D1485" w:rsidP="0048367B">
      <w:pPr>
        <w:pStyle w:val="BodyA"/>
        <w:rPr>
          <w:rFonts w:ascii="Calibri" w:hAnsi="Calibri"/>
        </w:rPr>
      </w:pPr>
    </w:p>
    <w:p w:rsidR="008D1485" w:rsidRPr="007354D0" w:rsidRDefault="008D1485" w:rsidP="0048367B">
      <w:pPr>
        <w:pStyle w:val="BodyA"/>
        <w:rPr>
          <w:rFonts w:ascii="Calibri" w:hAnsi="Calibri"/>
        </w:rPr>
      </w:pPr>
    </w:p>
    <w:p w:rsidR="008D1485" w:rsidRPr="007354D0" w:rsidRDefault="008D1485">
      <w:pPr>
        <w:pStyle w:val="BodyA"/>
        <w:rPr>
          <w:rFonts w:ascii="Calibri" w:hAnsi="Calibri"/>
        </w:rPr>
        <w:sectPr w:rsidR="008D1485" w:rsidRPr="007354D0" w:rsidSect="007D21D6">
          <w:pgSz w:w="15840" w:h="12240" w:orient="landscape" w:code="1"/>
          <w:pgMar w:top="1008" w:right="1440" w:bottom="1008" w:left="1440" w:header="720" w:footer="432" w:gutter="0"/>
          <w:cols w:space="720"/>
          <w:docGrid w:linePitch="326"/>
        </w:sectPr>
      </w:pPr>
    </w:p>
    <w:p w:rsidR="008D1485" w:rsidRPr="007354D0" w:rsidRDefault="00295965" w:rsidP="007354D0">
      <w:pPr>
        <w:pStyle w:val="BodyA"/>
        <w:rPr>
          <w:rFonts w:ascii="Calibri" w:hAnsi="Calibri"/>
          <w:b/>
          <w:sz w:val="28"/>
          <w:szCs w:val="28"/>
        </w:rPr>
      </w:pPr>
      <w:r w:rsidRPr="007354D0">
        <w:rPr>
          <w:rFonts w:ascii="Calibri" w:hAnsi="Calibri"/>
          <w:b/>
          <w:sz w:val="28"/>
          <w:szCs w:val="28"/>
        </w:rPr>
        <w:lastRenderedPageBreak/>
        <w:t>CDR</w:t>
      </w:r>
      <w:r w:rsidR="00DB0CF3" w:rsidRPr="007354D0">
        <w:rPr>
          <w:rFonts w:ascii="Calibri" w:hAnsi="Calibri"/>
          <w:b/>
          <w:sz w:val="28"/>
          <w:szCs w:val="28"/>
        </w:rPr>
        <w:t xml:space="preserve"> Report</w:t>
      </w:r>
    </w:p>
    <w:p w:rsidR="008D1485" w:rsidRPr="007354D0" w:rsidRDefault="008D1485">
      <w:pPr>
        <w:pStyle w:val="BodyA"/>
        <w:rPr>
          <w:rFonts w:ascii="Calibri" w:hAnsi="Calibri"/>
        </w:rPr>
      </w:pPr>
    </w:p>
    <w:p w:rsidR="008D1485" w:rsidRPr="007354D0" w:rsidRDefault="00DB0CF3">
      <w:pPr>
        <w:pStyle w:val="BodyA"/>
        <w:rPr>
          <w:rFonts w:ascii="Calibri" w:hAnsi="Calibri"/>
          <w:sz w:val="24"/>
          <w:szCs w:val="24"/>
        </w:rPr>
      </w:pPr>
      <w:r w:rsidRPr="007354D0">
        <w:rPr>
          <w:rFonts w:ascii="Calibri" w:hAnsi="Calibri"/>
          <w:sz w:val="24"/>
          <w:szCs w:val="24"/>
        </w:rPr>
        <w:t xml:space="preserve">The </w:t>
      </w:r>
      <w:r w:rsidR="00BF238B" w:rsidRPr="007354D0">
        <w:rPr>
          <w:rFonts w:ascii="Calibri" w:hAnsi="Calibri"/>
          <w:sz w:val="24"/>
          <w:szCs w:val="24"/>
        </w:rPr>
        <w:t>CDR Report</w:t>
      </w:r>
      <w:r w:rsidRPr="007354D0">
        <w:rPr>
          <w:rFonts w:ascii="Calibri" w:hAnsi="Calibri"/>
          <w:sz w:val="24"/>
          <w:szCs w:val="24"/>
        </w:rPr>
        <w:t xml:space="preserve"> </w:t>
      </w:r>
      <w:r w:rsidR="00D725B9" w:rsidRPr="007354D0">
        <w:rPr>
          <w:rFonts w:ascii="Calibri" w:hAnsi="Calibri"/>
          <w:sz w:val="24"/>
          <w:szCs w:val="24"/>
        </w:rPr>
        <w:t>is a</w:t>
      </w:r>
      <w:r w:rsidR="00662D5F" w:rsidRPr="007354D0">
        <w:rPr>
          <w:rFonts w:ascii="Calibri" w:hAnsi="Calibri"/>
          <w:sz w:val="24"/>
          <w:szCs w:val="24"/>
        </w:rPr>
        <w:t>n</w:t>
      </w:r>
      <w:r w:rsidR="00D725B9" w:rsidRPr="007354D0">
        <w:rPr>
          <w:rFonts w:ascii="Calibri" w:hAnsi="Calibri"/>
          <w:sz w:val="24"/>
          <w:szCs w:val="24"/>
        </w:rPr>
        <w:t xml:space="preserve"> accounting of expected loads and resources that </w:t>
      </w:r>
      <w:r w:rsidRPr="007354D0">
        <w:rPr>
          <w:rFonts w:ascii="Calibri" w:hAnsi="Calibri"/>
          <w:sz w:val="24"/>
          <w:szCs w:val="24"/>
        </w:rPr>
        <w:t>provide</w:t>
      </w:r>
      <w:r w:rsidR="00D725B9" w:rsidRPr="007354D0">
        <w:rPr>
          <w:rFonts w:ascii="Calibri" w:hAnsi="Calibri"/>
          <w:sz w:val="24"/>
          <w:szCs w:val="24"/>
        </w:rPr>
        <w:t>s</w:t>
      </w:r>
      <w:r w:rsidRPr="007354D0">
        <w:rPr>
          <w:rFonts w:ascii="Calibri" w:hAnsi="Calibri"/>
          <w:sz w:val="24"/>
          <w:szCs w:val="24"/>
        </w:rPr>
        <w:t xml:space="preserve"> </w:t>
      </w:r>
      <w:r w:rsidR="00D725B9" w:rsidRPr="007354D0">
        <w:rPr>
          <w:rFonts w:ascii="Calibri" w:hAnsi="Calibri"/>
          <w:sz w:val="24"/>
          <w:szCs w:val="24"/>
        </w:rPr>
        <w:t xml:space="preserve">a forecast of </w:t>
      </w:r>
      <w:r w:rsidRPr="007354D0">
        <w:rPr>
          <w:rFonts w:ascii="Calibri" w:hAnsi="Calibri"/>
          <w:sz w:val="24"/>
          <w:szCs w:val="24"/>
        </w:rPr>
        <w:t xml:space="preserve">future year </w:t>
      </w:r>
      <w:r w:rsidR="00631375" w:rsidRPr="007354D0">
        <w:rPr>
          <w:rFonts w:ascii="Calibri" w:hAnsi="Calibri"/>
          <w:sz w:val="24"/>
          <w:szCs w:val="24"/>
        </w:rPr>
        <w:t xml:space="preserve">planning </w:t>
      </w:r>
      <w:r w:rsidRPr="007354D0">
        <w:rPr>
          <w:rFonts w:ascii="Calibri" w:hAnsi="Calibri"/>
          <w:sz w:val="24"/>
          <w:szCs w:val="24"/>
        </w:rPr>
        <w:t>reserve margin</w:t>
      </w:r>
      <w:r w:rsidR="00D725B9" w:rsidRPr="007354D0">
        <w:rPr>
          <w:rFonts w:ascii="Calibri" w:hAnsi="Calibri"/>
          <w:sz w:val="24"/>
          <w:szCs w:val="24"/>
        </w:rPr>
        <w:t>s.</w:t>
      </w:r>
      <w:r w:rsidRPr="007354D0">
        <w:rPr>
          <w:rFonts w:ascii="Calibri" w:hAnsi="Calibri"/>
          <w:sz w:val="24"/>
          <w:szCs w:val="24"/>
        </w:rPr>
        <w:t xml:space="preserve"> </w:t>
      </w:r>
      <w:r w:rsidR="00BF6327" w:rsidRPr="007354D0">
        <w:rPr>
          <w:rFonts w:ascii="Calibri" w:hAnsi="Calibri"/>
          <w:sz w:val="24"/>
          <w:szCs w:val="24"/>
        </w:rPr>
        <w:t>Resource information in the CDR Report is derived from the Resource Asset Registration forms (RARFs) submitted by resource owners.</w:t>
      </w:r>
      <w:r w:rsidR="001C1B67" w:rsidRPr="007354D0">
        <w:rPr>
          <w:rFonts w:ascii="Calibri" w:hAnsi="Calibri"/>
          <w:sz w:val="24"/>
          <w:szCs w:val="24"/>
        </w:rPr>
        <w:t xml:space="preserve"> </w:t>
      </w:r>
      <w:r w:rsidR="00BF6327" w:rsidRPr="007354D0">
        <w:rPr>
          <w:rFonts w:ascii="Calibri" w:hAnsi="Calibri"/>
          <w:sz w:val="24"/>
          <w:szCs w:val="24"/>
        </w:rPr>
        <w:t xml:space="preserve"> </w:t>
      </w:r>
      <w:r w:rsidR="001C1B67" w:rsidRPr="007354D0">
        <w:rPr>
          <w:rFonts w:ascii="Calibri" w:hAnsi="Calibri"/>
          <w:sz w:val="24"/>
          <w:szCs w:val="24"/>
        </w:rPr>
        <w:t xml:space="preserve">Additional information regarding the expected output of renewable generation, the net output of self-serve generation (behind the fence), and the net import from DC-ties is calculated from operational data. </w:t>
      </w:r>
      <w:r w:rsidR="00BF6327" w:rsidRPr="007354D0">
        <w:rPr>
          <w:rFonts w:ascii="Calibri" w:hAnsi="Calibri"/>
          <w:sz w:val="24"/>
          <w:szCs w:val="24"/>
        </w:rPr>
        <w:t xml:space="preserve"> The </w:t>
      </w:r>
      <w:r w:rsidR="0083432B" w:rsidRPr="007354D0">
        <w:rPr>
          <w:rFonts w:ascii="Calibri" w:hAnsi="Calibri"/>
          <w:sz w:val="24"/>
          <w:szCs w:val="24"/>
        </w:rPr>
        <w:t>composition of the CDR</w:t>
      </w:r>
      <w:r w:rsidR="00BF6327" w:rsidRPr="007354D0">
        <w:rPr>
          <w:rFonts w:ascii="Calibri" w:hAnsi="Calibri"/>
          <w:sz w:val="24"/>
          <w:szCs w:val="24"/>
        </w:rPr>
        <w:t xml:space="preserve"> </w:t>
      </w:r>
      <w:r w:rsidR="00236EC6">
        <w:rPr>
          <w:rFonts w:ascii="Calibri" w:hAnsi="Calibri"/>
          <w:sz w:val="24"/>
          <w:szCs w:val="24"/>
        </w:rPr>
        <w:t xml:space="preserve">Report </w:t>
      </w:r>
      <w:r w:rsidR="00BF6327" w:rsidRPr="007354D0">
        <w:rPr>
          <w:rFonts w:ascii="Calibri" w:hAnsi="Calibri"/>
          <w:sz w:val="24"/>
          <w:szCs w:val="24"/>
        </w:rPr>
        <w:t xml:space="preserve">is prescribed in the ERCOT Nodal Protocols </w:t>
      </w:r>
      <w:r w:rsidR="0083432B" w:rsidRPr="007354D0">
        <w:rPr>
          <w:rFonts w:ascii="Calibri" w:hAnsi="Calibri"/>
          <w:sz w:val="24"/>
          <w:szCs w:val="24"/>
        </w:rPr>
        <w:t>3.2.6.2</w:t>
      </w:r>
      <w:r w:rsidR="00142BEE">
        <w:rPr>
          <w:rFonts w:ascii="Calibri" w:hAnsi="Calibri"/>
          <w:sz w:val="24"/>
          <w:szCs w:val="24"/>
        </w:rPr>
        <w:t xml:space="preserve">., </w:t>
      </w:r>
      <w:r w:rsidR="0083432B" w:rsidRPr="007354D0">
        <w:rPr>
          <w:rFonts w:ascii="Calibri" w:hAnsi="Calibri"/>
          <w:sz w:val="24"/>
          <w:szCs w:val="24"/>
        </w:rPr>
        <w:t xml:space="preserve">ERCOT Planning Reserve Margin Calculation Methodology. </w:t>
      </w:r>
      <w:r w:rsidR="007131A4" w:rsidRPr="007354D0">
        <w:rPr>
          <w:rFonts w:ascii="Calibri" w:hAnsi="Calibri"/>
          <w:sz w:val="24"/>
          <w:szCs w:val="24"/>
        </w:rPr>
        <w:t xml:space="preserve">A primary benefit of the CDR </w:t>
      </w:r>
      <w:r w:rsidR="00236EC6">
        <w:rPr>
          <w:rFonts w:ascii="Calibri" w:hAnsi="Calibri"/>
          <w:sz w:val="24"/>
          <w:szCs w:val="24"/>
        </w:rPr>
        <w:t xml:space="preserve">Report </w:t>
      </w:r>
      <w:r w:rsidR="007131A4" w:rsidRPr="007354D0">
        <w:rPr>
          <w:rFonts w:ascii="Calibri" w:hAnsi="Calibri"/>
          <w:sz w:val="24"/>
          <w:szCs w:val="24"/>
        </w:rPr>
        <w:t>is the calculation of the Planning Reserve Margin (PRM) for future years.</w:t>
      </w:r>
      <w:r w:rsidR="00480A79" w:rsidRPr="007354D0">
        <w:rPr>
          <w:rFonts w:ascii="Calibri" w:hAnsi="Calibri"/>
          <w:sz w:val="24"/>
          <w:szCs w:val="24"/>
        </w:rPr>
        <w:t xml:space="preserve">  The minimum PRM required for ERCOT is determined by the ERCOT Board of Directors in accordance with Nodal Protocol Section 3.2.6.1</w:t>
      </w:r>
      <w:r w:rsidR="00142BEE">
        <w:rPr>
          <w:rFonts w:ascii="Calibri" w:hAnsi="Calibri"/>
          <w:sz w:val="24"/>
          <w:szCs w:val="24"/>
        </w:rPr>
        <w:t>.,</w:t>
      </w:r>
      <w:r w:rsidR="00480A79" w:rsidRPr="007354D0">
        <w:rPr>
          <w:rFonts w:ascii="Calibri" w:hAnsi="Calibri"/>
          <w:sz w:val="24"/>
          <w:szCs w:val="24"/>
        </w:rPr>
        <w:t xml:space="preserve"> Minimum ERCOT Planning Reserve Margin Criterion. ERCOT staff performs a study called the Loss </w:t>
      </w:r>
      <w:r w:rsidR="00142BEE">
        <w:rPr>
          <w:rFonts w:ascii="Calibri" w:hAnsi="Calibri"/>
          <w:sz w:val="24"/>
          <w:szCs w:val="24"/>
        </w:rPr>
        <w:t>o</w:t>
      </w:r>
      <w:r w:rsidR="00480A79" w:rsidRPr="007354D0">
        <w:rPr>
          <w:rFonts w:ascii="Calibri" w:hAnsi="Calibri"/>
          <w:sz w:val="24"/>
          <w:szCs w:val="24"/>
        </w:rPr>
        <w:t>f Load Expectation (LOLE) study to provide a measure of the reliability that can be anticipated at various PRM.</w:t>
      </w:r>
      <w:r w:rsidR="008D0599" w:rsidRPr="007354D0">
        <w:rPr>
          <w:rFonts w:ascii="Calibri" w:hAnsi="Calibri"/>
          <w:sz w:val="24"/>
          <w:szCs w:val="24"/>
        </w:rPr>
        <w:t xml:space="preserve"> </w:t>
      </w:r>
      <w:r w:rsidR="00F86710" w:rsidRPr="007354D0">
        <w:rPr>
          <w:rFonts w:ascii="Calibri" w:hAnsi="Calibri"/>
          <w:sz w:val="24"/>
          <w:szCs w:val="24"/>
        </w:rPr>
        <w:t>In order for the CDR Report</w:t>
      </w:r>
      <w:r w:rsidR="008D0599" w:rsidRPr="007354D0">
        <w:rPr>
          <w:rFonts w:ascii="Calibri" w:hAnsi="Calibri"/>
          <w:sz w:val="24"/>
          <w:szCs w:val="24"/>
        </w:rPr>
        <w:t xml:space="preserve"> to be meaningful in the context of a stated minimum PRM requirement, </w:t>
      </w:r>
      <w:r w:rsidR="00F86710" w:rsidRPr="007354D0">
        <w:rPr>
          <w:rFonts w:ascii="Calibri" w:hAnsi="Calibri"/>
          <w:color w:val="auto"/>
          <w:sz w:val="24"/>
          <w:szCs w:val="24"/>
        </w:rPr>
        <w:t>the assumptions</w:t>
      </w:r>
      <w:r w:rsidR="00387246" w:rsidRPr="007354D0">
        <w:rPr>
          <w:rFonts w:ascii="Calibri" w:hAnsi="Calibri"/>
          <w:color w:val="auto"/>
          <w:sz w:val="24"/>
          <w:szCs w:val="24"/>
        </w:rPr>
        <w:t xml:space="preserve"> about capacity and load</w:t>
      </w:r>
      <w:r w:rsidR="00F86710" w:rsidRPr="007354D0">
        <w:rPr>
          <w:rFonts w:ascii="Calibri" w:hAnsi="Calibri"/>
          <w:color w:val="auto"/>
          <w:sz w:val="24"/>
          <w:szCs w:val="24"/>
        </w:rPr>
        <w:t xml:space="preserve"> used to</w:t>
      </w:r>
      <w:r w:rsidR="00387246" w:rsidRPr="007354D0">
        <w:rPr>
          <w:rFonts w:ascii="Calibri" w:hAnsi="Calibri"/>
          <w:color w:val="auto"/>
          <w:sz w:val="24"/>
          <w:szCs w:val="24"/>
        </w:rPr>
        <w:t xml:space="preserve"> perform the LOLE </w:t>
      </w:r>
      <w:r w:rsidR="00142BEE">
        <w:rPr>
          <w:rFonts w:ascii="Calibri" w:hAnsi="Calibri"/>
          <w:color w:val="auto"/>
          <w:sz w:val="24"/>
          <w:szCs w:val="24"/>
        </w:rPr>
        <w:t>S</w:t>
      </w:r>
      <w:r w:rsidR="00387246" w:rsidRPr="007354D0">
        <w:rPr>
          <w:rFonts w:ascii="Calibri" w:hAnsi="Calibri"/>
          <w:color w:val="auto"/>
          <w:sz w:val="24"/>
          <w:szCs w:val="24"/>
        </w:rPr>
        <w:t>tudy must be consistent with those use</w:t>
      </w:r>
      <w:r w:rsidR="00142BEE">
        <w:rPr>
          <w:rFonts w:ascii="Calibri" w:hAnsi="Calibri"/>
          <w:color w:val="auto"/>
          <w:sz w:val="24"/>
          <w:szCs w:val="24"/>
        </w:rPr>
        <w:t>d</w:t>
      </w:r>
      <w:r w:rsidR="00387246" w:rsidRPr="007354D0">
        <w:rPr>
          <w:rFonts w:ascii="Calibri" w:hAnsi="Calibri"/>
          <w:color w:val="auto"/>
          <w:sz w:val="24"/>
          <w:szCs w:val="24"/>
        </w:rPr>
        <w:t xml:space="preserve"> to</w:t>
      </w:r>
      <w:r w:rsidR="00F86710" w:rsidRPr="007354D0">
        <w:rPr>
          <w:rFonts w:ascii="Calibri" w:hAnsi="Calibri"/>
          <w:color w:val="auto"/>
          <w:sz w:val="24"/>
          <w:szCs w:val="24"/>
        </w:rPr>
        <w:t xml:space="preserve"> develop the CDR Report</w:t>
      </w:r>
      <w:r w:rsidR="00387246" w:rsidRPr="007354D0">
        <w:rPr>
          <w:rFonts w:ascii="Calibri" w:hAnsi="Calibri"/>
          <w:color w:val="auto"/>
          <w:sz w:val="24"/>
          <w:szCs w:val="24"/>
        </w:rPr>
        <w:t>.</w:t>
      </w:r>
      <w:r w:rsidR="00F86710" w:rsidRPr="007354D0">
        <w:rPr>
          <w:rFonts w:ascii="Calibri" w:hAnsi="Calibri"/>
          <w:sz w:val="24"/>
          <w:szCs w:val="24"/>
        </w:rPr>
        <w:t xml:space="preserve">  These assumptions include the assumed capacity contribution of variable resources such as wind and solar generation and the specific weather conditions used to develop the load forecast</w:t>
      </w:r>
      <w:r w:rsidR="008D0599" w:rsidRPr="007354D0">
        <w:rPr>
          <w:rFonts w:ascii="Calibri" w:hAnsi="Calibri"/>
          <w:sz w:val="24"/>
          <w:szCs w:val="24"/>
        </w:rPr>
        <w:t>.</w:t>
      </w:r>
      <w:r w:rsidRPr="007354D0">
        <w:rPr>
          <w:rFonts w:ascii="Calibri" w:hAnsi="Calibri"/>
          <w:sz w:val="24"/>
          <w:szCs w:val="24"/>
        </w:rPr>
        <w:t xml:space="preserve"> While </w:t>
      </w:r>
      <w:r w:rsidR="001F12CE" w:rsidRPr="007354D0">
        <w:rPr>
          <w:rFonts w:ascii="Calibri" w:hAnsi="Calibri"/>
          <w:sz w:val="24"/>
          <w:szCs w:val="24"/>
        </w:rPr>
        <w:t xml:space="preserve">ERCOT </w:t>
      </w:r>
      <w:r w:rsidRPr="007354D0">
        <w:rPr>
          <w:rFonts w:ascii="Calibri" w:hAnsi="Calibri"/>
          <w:sz w:val="24"/>
          <w:szCs w:val="24"/>
        </w:rPr>
        <w:t>currently use</w:t>
      </w:r>
      <w:r w:rsidR="001F12CE" w:rsidRPr="007354D0">
        <w:rPr>
          <w:rFonts w:ascii="Calibri" w:hAnsi="Calibri"/>
          <w:sz w:val="24"/>
          <w:szCs w:val="24"/>
        </w:rPr>
        <w:t>s</w:t>
      </w:r>
      <w:r w:rsidRPr="007354D0">
        <w:rPr>
          <w:rFonts w:ascii="Calibri" w:hAnsi="Calibri"/>
          <w:sz w:val="24"/>
          <w:szCs w:val="24"/>
        </w:rPr>
        <w:t xml:space="preserve"> average weather conditions to develop the load forecast in the CDR</w:t>
      </w:r>
      <w:r w:rsidR="00142BEE">
        <w:rPr>
          <w:rFonts w:ascii="Calibri" w:hAnsi="Calibri"/>
          <w:sz w:val="24"/>
          <w:szCs w:val="24"/>
        </w:rPr>
        <w:t xml:space="preserve"> Report</w:t>
      </w:r>
      <w:r w:rsidRPr="007354D0">
        <w:rPr>
          <w:rFonts w:ascii="Calibri" w:hAnsi="Calibri"/>
          <w:sz w:val="24"/>
          <w:szCs w:val="24"/>
        </w:rPr>
        <w:t xml:space="preserve">, this and other input assumptions can be varied without reducing the validity of the </w:t>
      </w:r>
      <w:r w:rsidR="00BF238B" w:rsidRPr="007354D0">
        <w:rPr>
          <w:rFonts w:ascii="Calibri" w:hAnsi="Calibri"/>
          <w:sz w:val="24"/>
          <w:szCs w:val="24"/>
        </w:rPr>
        <w:t>CDR Report</w:t>
      </w:r>
      <w:r w:rsidRPr="007354D0">
        <w:rPr>
          <w:rFonts w:ascii="Calibri" w:hAnsi="Calibri"/>
          <w:sz w:val="24"/>
          <w:szCs w:val="24"/>
        </w:rPr>
        <w:t xml:space="preserve"> as long as similar changes are made to the input assumptions included in the corresponding </w:t>
      </w:r>
      <w:r w:rsidR="001F12CE" w:rsidRPr="007354D0">
        <w:rPr>
          <w:rFonts w:ascii="Calibri" w:hAnsi="Calibri"/>
          <w:sz w:val="24"/>
          <w:szCs w:val="24"/>
        </w:rPr>
        <w:t>LOLE Study</w:t>
      </w:r>
      <w:r w:rsidRPr="007354D0">
        <w:rPr>
          <w:rFonts w:ascii="Calibri" w:hAnsi="Calibri"/>
          <w:sz w:val="24"/>
          <w:szCs w:val="24"/>
        </w:rPr>
        <w:t xml:space="preserve">.  Similarly, the impact of resource outages, both planned and unplanned, on system reliability </w:t>
      </w:r>
      <w:r w:rsidR="001F12CE" w:rsidRPr="007354D0">
        <w:rPr>
          <w:rFonts w:ascii="Calibri" w:hAnsi="Calibri"/>
          <w:sz w:val="24"/>
          <w:szCs w:val="24"/>
        </w:rPr>
        <w:t xml:space="preserve">is </w:t>
      </w:r>
      <w:r w:rsidRPr="007354D0">
        <w:rPr>
          <w:rFonts w:ascii="Calibri" w:hAnsi="Calibri"/>
          <w:sz w:val="24"/>
          <w:szCs w:val="24"/>
        </w:rPr>
        <w:t xml:space="preserve">included in the development of the </w:t>
      </w:r>
      <w:r w:rsidR="001F12CE" w:rsidRPr="007354D0">
        <w:rPr>
          <w:rFonts w:ascii="Calibri" w:hAnsi="Calibri"/>
          <w:sz w:val="24"/>
          <w:szCs w:val="24"/>
        </w:rPr>
        <w:t>LOLE Study</w:t>
      </w:r>
      <w:r w:rsidR="001C1B67" w:rsidRPr="007354D0">
        <w:rPr>
          <w:rFonts w:ascii="Calibri" w:hAnsi="Calibri"/>
          <w:sz w:val="24"/>
          <w:szCs w:val="24"/>
        </w:rPr>
        <w:t xml:space="preserve"> and</w:t>
      </w:r>
      <w:r w:rsidRPr="007354D0">
        <w:rPr>
          <w:rFonts w:ascii="Calibri" w:hAnsi="Calibri"/>
          <w:sz w:val="24"/>
          <w:szCs w:val="24"/>
        </w:rPr>
        <w:t xml:space="preserve"> the </w:t>
      </w:r>
      <w:r w:rsidR="00BF238B" w:rsidRPr="007354D0">
        <w:rPr>
          <w:rFonts w:ascii="Calibri" w:hAnsi="Calibri"/>
          <w:sz w:val="24"/>
          <w:szCs w:val="24"/>
        </w:rPr>
        <w:t>CDR Report</w:t>
      </w:r>
      <w:r w:rsidRPr="007354D0">
        <w:rPr>
          <w:rFonts w:ascii="Calibri" w:hAnsi="Calibri"/>
          <w:sz w:val="24"/>
          <w:szCs w:val="24"/>
        </w:rPr>
        <w:t xml:space="preserve"> does not include deration of available resources to reflect possible outages.</w:t>
      </w:r>
    </w:p>
    <w:p w:rsidR="008D1485" w:rsidRPr="007354D0" w:rsidRDefault="008D1485">
      <w:pPr>
        <w:pStyle w:val="BodyA"/>
        <w:rPr>
          <w:rFonts w:ascii="Calibri" w:hAnsi="Calibri"/>
          <w:sz w:val="24"/>
          <w:szCs w:val="24"/>
        </w:rPr>
      </w:pPr>
    </w:p>
    <w:p w:rsidR="008D1485" w:rsidRPr="007354D0" w:rsidRDefault="00717AA0">
      <w:pPr>
        <w:pStyle w:val="BodyA"/>
        <w:rPr>
          <w:rFonts w:ascii="Calibri" w:hAnsi="Calibri"/>
          <w:sz w:val="24"/>
          <w:szCs w:val="24"/>
        </w:rPr>
      </w:pPr>
      <w:r w:rsidRPr="007354D0">
        <w:rPr>
          <w:rFonts w:ascii="Calibri" w:hAnsi="Calibri"/>
          <w:sz w:val="24"/>
          <w:szCs w:val="24"/>
        </w:rPr>
        <w:t>A LOLE Study</w:t>
      </w:r>
      <w:r w:rsidR="00DB0CF3" w:rsidRPr="007354D0">
        <w:rPr>
          <w:rFonts w:ascii="Calibri" w:hAnsi="Calibri"/>
          <w:sz w:val="24"/>
          <w:szCs w:val="24"/>
        </w:rPr>
        <w:t xml:space="preserve"> include</w:t>
      </w:r>
      <w:r w:rsidRPr="007354D0">
        <w:rPr>
          <w:rFonts w:ascii="Calibri" w:hAnsi="Calibri"/>
          <w:sz w:val="24"/>
          <w:szCs w:val="24"/>
        </w:rPr>
        <w:t>s</w:t>
      </w:r>
      <w:r w:rsidR="00DB0CF3" w:rsidRPr="007354D0">
        <w:rPr>
          <w:rFonts w:ascii="Calibri" w:hAnsi="Calibri"/>
          <w:sz w:val="24"/>
          <w:szCs w:val="24"/>
        </w:rPr>
        <w:t xml:space="preserve"> multiple scenarios based on a range of possible weather conditions.  Derived from historical weather patterns, these load scenarios are consistent with weather expectations ranging from mild to extreme, with appropriate probabilities of occurrence assigned to each weather scenario.  Similarly, resource outages are included in the study based on historical operational data reflecting by</w:t>
      </w:r>
      <w:r w:rsidRPr="007354D0">
        <w:rPr>
          <w:rFonts w:ascii="Calibri" w:hAnsi="Calibri"/>
          <w:sz w:val="24"/>
          <w:szCs w:val="24"/>
        </w:rPr>
        <w:t xml:space="preserve"> </w:t>
      </w:r>
      <w:r w:rsidR="00DB0CF3" w:rsidRPr="007354D0">
        <w:rPr>
          <w:rFonts w:ascii="Calibri" w:hAnsi="Calibri"/>
          <w:sz w:val="24"/>
          <w:szCs w:val="24"/>
        </w:rPr>
        <w:t>unit maintenance schedules and forced outage probabilities.  Variable generation units, such as wind, solar and hydro generation, are included in the study as hourly output based on weather patterns that are consistent with the load used for each specific scenario.  In this way the net impact of weather on both load and variable generation is consistent with actual historical data.</w:t>
      </w:r>
    </w:p>
    <w:p w:rsidR="008D1485" w:rsidRPr="007354D0" w:rsidRDefault="008D1485">
      <w:pPr>
        <w:pStyle w:val="BodyA"/>
        <w:rPr>
          <w:rFonts w:ascii="Calibri" w:hAnsi="Calibri"/>
          <w:sz w:val="24"/>
          <w:szCs w:val="24"/>
        </w:rPr>
      </w:pPr>
    </w:p>
    <w:p w:rsidR="00F9541E" w:rsidRDefault="00717AA0" w:rsidP="007354D0">
      <w:pPr>
        <w:pStyle w:val="BodyA"/>
        <w:rPr>
          <w:rFonts w:ascii="Calibri" w:hAnsi="Calibri"/>
        </w:rPr>
      </w:pPr>
      <w:r w:rsidRPr="007354D0">
        <w:rPr>
          <w:rFonts w:ascii="Calibri" w:hAnsi="Calibri"/>
          <w:sz w:val="24"/>
          <w:szCs w:val="24"/>
        </w:rPr>
        <w:t>T</w:t>
      </w:r>
      <w:r w:rsidR="00DB0CF3" w:rsidRPr="007354D0">
        <w:rPr>
          <w:rFonts w:ascii="Calibri" w:hAnsi="Calibri"/>
          <w:sz w:val="24"/>
          <w:szCs w:val="24"/>
        </w:rPr>
        <w:t xml:space="preserve">he </w:t>
      </w:r>
      <w:r w:rsidR="00BF238B" w:rsidRPr="007354D0">
        <w:rPr>
          <w:rFonts w:ascii="Calibri" w:hAnsi="Calibri"/>
          <w:sz w:val="24"/>
          <w:szCs w:val="24"/>
        </w:rPr>
        <w:t>CDR Report</w:t>
      </w:r>
      <w:r w:rsidR="00DB0CF3" w:rsidRPr="007354D0">
        <w:rPr>
          <w:rFonts w:ascii="Calibri" w:hAnsi="Calibri"/>
          <w:sz w:val="24"/>
          <w:szCs w:val="24"/>
        </w:rPr>
        <w:t xml:space="preserve"> and </w:t>
      </w:r>
      <w:r w:rsidRPr="007354D0">
        <w:rPr>
          <w:rFonts w:ascii="Calibri" w:hAnsi="Calibri"/>
          <w:sz w:val="24"/>
          <w:szCs w:val="24"/>
        </w:rPr>
        <w:t xml:space="preserve">LOLE Study both assume unlimited transmission capacity and, therefore, </w:t>
      </w:r>
      <w:r w:rsidR="00DB0CF3" w:rsidRPr="007354D0">
        <w:rPr>
          <w:rFonts w:ascii="Calibri" w:hAnsi="Calibri"/>
          <w:sz w:val="24"/>
          <w:szCs w:val="24"/>
        </w:rPr>
        <w:t xml:space="preserve">do not </w:t>
      </w:r>
      <w:r w:rsidRPr="007354D0">
        <w:rPr>
          <w:rFonts w:ascii="Calibri" w:hAnsi="Calibri"/>
          <w:sz w:val="24"/>
          <w:szCs w:val="24"/>
        </w:rPr>
        <w:t xml:space="preserve">account for transmission constraints that exist in actual grid operations.  This assumption </w:t>
      </w:r>
      <w:r w:rsidR="00C2010C" w:rsidRPr="007354D0">
        <w:rPr>
          <w:rFonts w:ascii="Calibri" w:hAnsi="Calibri"/>
          <w:sz w:val="24"/>
          <w:szCs w:val="24"/>
        </w:rPr>
        <w:t xml:space="preserve">provides a </w:t>
      </w:r>
      <w:r w:rsidR="00DB0CF3" w:rsidRPr="007354D0">
        <w:rPr>
          <w:rFonts w:ascii="Calibri" w:hAnsi="Calibri"/>
          <w:sz w:val="24"/>
          <w:szCs w:val="24"/>
        </w:rPr>
        <w:t>system-wide</w:t>
      </w:r>
      <w:r w:rsidR="00C2010C" w:rsidRPr="007354D0">
        <w:rPr>
          <w:rFonts w:ascii="Calibri" w:hAnsi="Calibri"/>
          <w:sz w:val="24"/>
          <w:szCs w:val="24"/>
        </w:rPr>
        <w:t xml:space="preserve"> perspective of</w:t>
      </w:r>
      <w:r w:rsidR="00DB0CF3" w:rsidRPr="007354D0">
        <w:rPr>
          <w:rFonts w:ascii="Calibri" w:hAnsi="Calibri"/>
          <w:sz w:val="24"/>
          <w:szCs w:val="24"/>
        </w:rPr>
        <w:t xml:space="preserve"> resource adequacy</w:t>
      </w:r>
      <w:r w:rsidR="00C2010C" w:rsidRPr="007354D0">
        <w:rPr>
          <w:rFonts w:ascii="Calibri" w:hAnsi="Calibri"/>
          <w:sz w:val="24"/>
          <w:szCs w:val="24"/>
        </w:rPr>
        <w:t xml:space="preserve"> and not a</w:t>
      </w:r>
      <w:r w:rsidR="00DB0CF3" w:rsidRPr="007354D0">
        <w:rPr>
          <w:rFonts w:ascii="Calibri" w:hAnsi="Calibri"/>
          <w:sz w:val="24"/>
          <w:szCs w:val="24"/>
        </w:rPr>
        <w:t xml:space="preserve"> </w:t>
      </w:r>
      <w:r w:rsidRPr="007354D0">
        <w:rPr>
          <w:rFonts w:ascii="Calibri" w:hAnsi="Calibri"/>
          <w:sz w:val="24"/>
          <w:szCs w:val="24"/>
        </w:rPr>
        <w:t xml:space="preserve">locational </w:t>
      </w:r>
      <w:r w:rsidR="00DB0CF3" w:rsidRPr="007354D0">
        <w:rPr>
          <w:rFonts w:ascii="Calibri" w:hAnsi="Calibri"/>
          <w:sz w:val="24"/>
          <w:szCs w:val="24"/>
        </w:rPr>
        <w:t>assessment of the reliability of electric service.  I</w:t>
      </w:r>
      <w:r w:rsidR="00C2010C" w:rsidRPr="007354D0">
        <w:rPr>
          <w:rFonts w:ascii="Calibri" w:hAnsi="Calibri"/>
          <w:sz w:val="24"/>
          <w:szCs w:val="24"/>
        </w:rPr>
        <w:t>n other words, constraints in the transfer of power caused by i</w:t>
      </w:r>
      <w:r w:rsidR="00DB0CF3" w:rsidRPr="007354D0">
        <w:rPr>
          <w:rFonts w:ascii="Calibri" w:hAnsi="Calibri"/>
          <w:sz w:val="24"/>
          <w:szCs w:val="24"/>
        </w:rPr>
        <w:t xml:space="preserve">nsufficient transmission serving </w:t>
      </w:r>
      <w:r w:rsidRPr="007354D0">
        <w:rPr>
          <w:rFonts w:ascii="Calibri" w:hAnsi="Calibri"/>
          <w:sz w:val="24"/>
          <w:szCs w:val="24"/>
        </w:rPr>
        <w:t>locations in</w:t>
      </w:r>
      <w:r w:rsidR="00DB0CF3" w:rsidRPr="007354D0">
        <w:rPr>
          <w:rFonts w:ascii="Calibri" w:hAnsi="Calibri"/>
          <w:sz w:val="24"/>
          <w:szCs w:val="24"/>
        </w:rPr>
        <w:t xml:space="preserve"> ERCOT</w:t>
      </w:r>
      <w:r w:rsidR="00C2010C" w:rsidRPr="007354D0">
        <w:rPr>
          <w:rFonts w:ascii="Calibri" w:hAnsi="Calibri"/>
          <w:sz w:val="24"/>
          <w:szCs w:val="24"/>
        </w:rPr>
        <w:t xml:space="preserve"> where loads exceed resources</w:t>
      </w:r>
      <w:r w:rsidR="00DB0CF3" w:rsidRPr="007354D0">
        <w:rPr>
          <w:rFonts w:ascii="Calibri" w:hAnsi="Calibri"/>
          <w:sz w:val="24"/>
          <w:szCs w:val="24"/>
        </w:rPr>
        <w:t xml:space="preserve"> will create </w:t>
      </w:r>
      <w:r w:rsidR="00C2010C" w:rsidRPr="007354D0">
        <w:rPr>
          <w:rFonts w:ascii="Calibri" w:hAnsi="Calibri"/>
          <w:sz w:val="24"/>
          <w:szCs w:val="24"/>
        </w:rPr>
        <w:t>locations</w:t>
      </w:r>
      <w:r w:rsidR="00DB0CF3" w:rsidRPr="007354D0">
        <w:rPr>
          <w:rFonts w:ascii="Calibri" w:hAnsi="Calibri"/>
          <w:sz w:val="24"/>
          <w:szCs w:val="24"/>
        </w:rPr>
        <w:t xml:space="preserve"> in which outage expectations are higher than for the system as a whole</w:t>
      </w:r>
      <w:r w:rsidR="00C2010C" w:rsidRPr="007354D0">
        <w:rPr>
          <w:rFonts w:ascii="Calibri" w:hAnsi="Calibri"/>
          <w:sz w:val="24"/>
          <w:szCs w:val="24"/>
        </w:rPr>
        <w:t xml:space="preserve">. </w:t>
      </w:r>
    </w:p>
    <w:p w:rsidR="00F9541E" w:rsidRDefault="00F9541E" w:rsidP="007354D0">
      <w:pPr>
        <w:pStyle w:val="BodyA"/>
        <w:rPr>
          <w:rFonts w:ascii="Calibri" w:hAnsi="Calibri"/>
        </w:rPr>
      </w:pPr>
    </w:p>
    <w:p w:rsidR="00F9541E" w:rsidRDefault="00F9541E" w:rsidP="007354D0">
      <w:pPr>
        <w:pStyle w:val="BodyA"/>
        <w:rPr>
          <w:rFonts w:ascii="Calibri" w:hAnsi="Calibri"/>
        </w:rPr>
      </w:pPr>
    </w:p>
    <w:p w:rsidR="008D1485" w:rsidRPr="007354D0" w:rsidRDefault="00D77CDA" w:rsidP="007354D0">
      <w:pPr>
        <w:pStyle w:val="BodyA"/>
        <w:rPr>
          <w:rFonts w:ascii="Calibri" w:hAnsi="Calibri"/>
          <w:b/>
          <w:sz w:val="28"/>
          <w:szCs w:val="28"/>
        </w:rPr>
      </w:pPr>
      <w:r w:rsidRPr="007354D0">
        <w:rPr>
          <w:rFonts w:ascii="Calibri" w:hAnsi="Calibri"/>
          <w:b/>
          <w:sz w:val="28"/>
          <w:szCs w:val="28"/>
        </w:rPr>
        <w:t>Transmission Planning Models</w:t>
      </w:r>
    </w:p>
    <w:p w:rsidR="008D1485" w:rsidRPr="007354D0" w:rsidRDefault="008D1485">
      <w:pPr>
        <w:pStyle w:val="BodyA"/>
        <w:rPr>
          <w:rFonts w:ascii="Calibri" w:hAnsi="Calibri"/>
        </w:rPr>
      </w:pPr>
    </w:p>
    <w:p w:rsidR="008D1485" w:rsidRPr="007354D0" w:rsidRDefault="00DB0CF3">
      <w:pPr>
        <w:pStyle w:val="BodyA"/>
        <w:rPr>
          <w:rFonts w:ascii="Calibri" w:hAnsi="Calibri"/>
          <w:sz w:val="24"/>
          <w:szCs w:val="24"/>
        </w:rPr>
      </w:pPr>
      <w:r w:rsidRPr="007354D0">
        <w:rPr>
          <w:rFonts w:ascii="Calibri" w:hAnsi="Calibri"/>
          <w:sz w:val="24"/>
          <w:szCs w:val="24"/>
        </w:rPr>
        <w:t xml:space="preserve">There are numerous future year </w:t>
      </w:r>
      <w:r w:rsidR="00B64657" w:rsidRPr="007354D0">
        <w:rPr>
          <w:rFonts w:ascii="Calibri" w:hAnsi="Calibri"/>
          <w:sz w:val="24"/>
          <w:szCs w:val="24"/>
        </w:rPr>
        <w:t>Transmission Planning Models</w:t>
      </w:r>
      <w:r w:rsidRPr="007354D0">
        <w:rPr>
          <w:rFonts w:ascii="Calibri" w:hAnsi="Calibri"/>
          <w:sz w:val="24"/>
          <w:szCs w:val="24"/>
        </w:rPr>
        <w:t xml:space="preserve"> used by ERCOT and the Transmission Service Providers (TSPs) to assess transmission adequacy and reliability.  ERCOT, the TSPs, along with many other involved stakeholders who submit model data representing their grid-connected equipment, develop sixteen steady-state planning </w:t>
      </w:r>
      <w:r w:rsidR="005A05F5">
        <w:rPr>
          <w:rFonts w:ascii="Calibri" w:hAnsi="Calibri"/>
          <w:sz w:val="24"/>
          <w:szCs w:val="24"/>
        </w:rPr>
        <w:t>models</w:t>
      </w:r>
      <w:r w:rsidR="005A05F5" w:rsidRPr="007354D0">
        <w:rPr>
          <w:rFonts w:ascii="Calibri" w:hAnsi="Calibri"/>
          <w:sz w:val="24"/>
          <w:szCs w:val="24"/>
        </w:rPr>
        <w:t xml:space="preserve"> </w:t>
      </w:r>
      <w:r w:rsidRPr="007354D0">
        <w:rPr>
          <w:rFonts w:ascii="Calibri" w:hAnsi="Calibri"/>
          <w:sz w:val="24"/>
          <w:szCs w:val="24"/>
        </w:rPr>
        <w:t xml:space="preserve">representing the current and future years, three transient stability cases and a short-circuit case.  The intent of all of these models is to allow planners to assess the capability of the transmission infrastructure to move power reliably from existing and </w:t>
      </w:r>
      <w:r w:rsidR="00B64657" w:rsidRPr="007354D0">
        <w:rPr>
          <w:rFonts w:ascii="Calibri" w:hAnsi="Calibri"/>
          <w:sz w:val="24"/>
          <w:szCs w:val="24"/>
        </w:rPr>
        <w:t xml:space="preserve">planned </w:t>
      </w:r>
      <w:r w:rsidRPr="007354D0">
        <w:rPr>
          <w:rFonts w:ascii="Calibri" w:hAnsi="Calibri"/>
          <w:sz w:val="24"/>
          <w:szCs w:val="24"/>
        </w:rPr>
        <w:t>resources to every load-serving substation in the system under</w:t>
      </w:r>
      <w:r w:rsidR="00240B2E" w:rsidRPr="007354D0">
        <w:rPr>
          <w:rFonts w:ascii="Calibri" w:hAnsi="Calibri"/>
          <w:sz w:val="24"/>
          <w:szCs w:val="24"/>
        </w:rPr>
        <w:t xml:space="preserve"> a range of</w:t>
      </w:r>
      <w:r w:rsidRPr="007354D0">
        <w:rPr>
          <w:rFonts w:ascii="Calibri" w:hAnsi="Calibri"/>
          <w:sz w:val="24"/>
          <w:szCs w:val="24"/>
        </w:rPr>
        <w:t xml:space="preserve"> reasonably likely future system conditions. Each of these models includes input assumptions, such as the customer demand levels assigned by bus (</w:t>
      </w:r>
      <w:r w:rsidR="00B64657" w:rsidRPr="007354D0">
        <w:rPr>
          <w:rFonts w:ascii="Calibri" w:hAnsi="Calibri"/>
          <w:sz w:val="24"/>
          <w:szCs w:val="24"/>
        </w:rPr>
        <w:t xml:space="preserve">e.g., a </w:t>
      </w:r>
      <w:r w:rsidRPr="007354D0">
        <w:rPr>
          <w:rFonts w:ascii="Calibri" w:hAnsi="Calibri"/>
          <w:sz w:val="24"/>
          <w:szCs w:val="24"/>
        </w:rPr>
        <w:t>load forecast), that have been selected to allow planners an opportunity to assess any system weaknesses.</w:t>
      </w:r>
    </w:p>
    <w:p w:rsidR="008D1485" w:rsidRPr="007354D0" w:rsidRDefault="008D1485">
      <w:pPr>
        <w:pStyle w:val="BodyA"/>
        <w:rPr>
          <w:rFonts w:ascii="Calibri" w:hAnsi="Calibri"/>
          <w:color w:val="auto"/>
          <w:sz w:val="24"/>
          <w:szCs w:val="24"/>
        </w:rPr>
      </w:pPr>
    </w:p>
    <w:p w:rsidR="008D1485" w:rsidRPr="007354D0" w:rsidRDefault="00DB0CF3">
      <w:pPr>
        <w:pStyle w:val="BodyA"/>
        <w:rPr>
          <w:rFonts w:ascii="Calibri" w:hAnsi="Calibri"/>
          <w:sz w:val="24"/>
          <w:szCs w:val="24"/>
        </w:rPr>
      </w:pPr>
      <w:r w:rsidRPr="007354D0">
        <w:rPr>
          <w:rFonts w:ascii="Calibri" w:hAnsi="Calibri"/>
          <w:color w:val="auto"/>
          <w:sz w:val="24"/>
          <w:szCs w:val="24"/>
        </w:rPr>
        <w:t xml:space="preserve">The Steady-State Working Group (SSWG) develops the </w:t>
      </w:r>
      <w:r w:rsidR="00240B2E" w:rsidRPr="007354D0">
        <w:rPr>
          <w:rFonts w:ascii="Calibri" w:hAnsi="Calibri"/>
          <w:color w:val="auto"/>
          <w:sz w:val="24"/>
          <w:szCs w:val="24"/>
        </w:rPr>
        <w:t xml:space="preserve">base Transmission Planning Models </w:t>
      </w:r>
      <w:r w:rsidRPr="007354D0">
        <w:rPr>
          <w:rFonts w:ascii="Calibri" w:hAnsi="Calibri"/>
          <w:color w:val="auto"/>
          <w:sz w:val="24"/>
          <w:szCs w:val="24"/>
        </w:rPr>
        <w:t>to analyze future system capability</w:t>
      </w:r>
      <w:r w:rsidR="00AD71EE">
        <w:rPr>
          <w:rFonts w:ascii="Calibri" w:hAnsi="Calibri"/>
          <w:color w:val="auto"/>
          <w:sz w:val="24"/>
          <w:szCs w:val="24"/>
        </w:rPr>
        <w:t>.</w:t>
      </w:r>
      <w:r w:rsidRPr="007354D0">
        <w:rPr>
          <w:rFonts w:ascii="Calibri" w:hAnsi="Calibri"/>
          <w:sz w:val="24"/>
          <w:szCs w:val="24"/>
        </w:rPr>
        <w:t xml:space="preserve"> </w:t>
      </w:r>
      <w:r w:rsidR="00240B2E" w:rsidRPr="007354D0">
        <w:rPr>
          <w:rFonts w:ascii="Calibri" w:hAnsi="Calibri"/>
          <w:sz w:val="24"/>
          <w:szCs w:val="24"/>
        </w:rPr>
        <w:t>The</w:t>
      </w:r>
      <w:r w:rsidR="00B64657" w:rsidRPr="007354D0">
        <w:rPr>
          <w:rFonts w:ascii="Calibri" w:hAnsi="Calibri"/>
          <w:sz w:val="24"/>
          <w:szCs w:val="24"/>
        </w:rPr>
        <w:t xml:space="preserve"> SSWG </w:t>
      </w:r>
      <w:r w:rsidR="005A05F5">
        <w:rPr>
          <w:rFonts w:ascii="Calibri" w:hAnsi="Calibri"/>
          <w:sz w:val="24"/>
          <w:szCs w:val="24"/>
        </w:rPr>
        <w:t>models</w:t>
      </w:r>
      <w:r w:rsidR="00240B2E" w:rsidRPr="007354D0">
        <w:rPr>
          <w:rFonts w:ascii="Calibri" w:hAnsi="Calibri"/>
          <w:sz w:val="24"/>
          <w:szCs w:val="24"/>
        </w:rPr>
        <w:t xml:space="preserve"> </w:t>
      </w:r>
      <w:r w:rsidRPr="007354D0">
        <w:rPr>
          <w:rFonts w:ascii="Calibri" w:hAnsi="Calibri"/>
          <w:sz w:val="24"/>
          <w:szCs w:val="24"/>
        </w:rPr>
        <w:t xml:space="preserve">are designed to provide transmission planners with a </w:t>
      </w:r>
      <w:r w:rsidR="003A3157">
        <w:rPr>
          <w:rFonts w:ascii="Calibri" w:hAnsi="Calibri"/>
          <w:sz w:val="24"/>
          <w:szCs w:val="24"/>
        </w:rPr>
        <w:t xml:space="preserve">set of </w:t>
      </w:r>
      <w:r w:rsidRPr="007354D0">
        <w:rPr>
          <w:rFonts w:ascii="Calibri" w:hAnsi="Calibri"/>
          <w:sz w:val="24"/>
          <w:szCs w:val="24"/>
        </w:rPr>
        <w:t>base</w:t>
      </w:r>
      <w:r w:rsidR="003A3157">
        <w:rPr>
          <w:rFonts w:ascii="Calibri" w:hAnsi="Calibri"/>
          <w:sz w:val="24"/>
          <w:szCs w:val="24"/>
        </w:rPr>
        <w:t xml:space="preserve"> case</w:t>
      </w:r>
      <w:r w:rsidRPr="007354D0">
        <w:rPr>
          <w:rFonts w:ascii="Calibri" w:hAnsi="Calibri"/>
          <w:sz w:val="24"/>
          <w:szCs w:val="24"/>
        </w:rPr>
        <w:t xml:space="preserve"> model</w:t>
      </w:r>
      <w:r w:rsidR="003A3157">
        <w:rPr>
          <w:rFonts w:ascii="Calibri" w:hAnsi="Calibri"/>
          <w:sz w:val="24"/>
          <w:szCs w:val="24"/>
        </w:rPr>
        <w:t>s</w:t>
      </w:r>
      <w:r w:rsidRPr="007354D0">
        <w:rPr>
          <w:rFonts w:ascii="Calibri" w:hAnsi="Calibri"/>
          <w:sz w:val="24"/>
          <w:szCs w:val="24"/>
        </w:rPr>
        <w:t xml:space="preserve"> containing the possible future infrastructure and capabilities and limitations required for planners to develop study-specific </w:t>
      </w:r>
      <w:r w:rsidR="0014698F" w:rsidRPr="007354D0">
        <w:rPr>
          <w:rFonts w:ascii="Calibri" w:hAnsi="Calibri"/>
          <w:sz w:val="24"/>
          <w:szCs w:val="24"/>
        </w:rPr>
        <w:t xml:space="preserve">planning </w:t>
      </w:r>
      <w:r w:rsidRPr="007354D0">
        <w:rPr>
          <w:rFonts w:ascii="Calibri" w:hAnsi="Calibri"/>
          <w:sz w:val="24"/>
          <w:szCs w:val="24"/>
        </w:rPr>
        <w:t>cases</w:t>
      </w:r>
      <w:r w:rsidR="0014698F" w:rsidRPr="007354D0">
        <w:rPr>
          <w:rFonts w:ascii="Calibri" w:hAnsi="Calibri"/>
          <w:sz w:val="24"/>
          <w:szCs w:val="24"/>
        </w:rPr>
        <w:t xml:space="preserve">.  </w:t>
      </w:r>
      <w:r w:rsidRPr="007354D0">
        <w:rPr>
          <w:rFonts w:ascii="Calibri" w:hAnsi="Calibri"/>
          <w:sz w:val="24"/>
          <w:szCs w:val="24"/>
        </w:rPr>
        <w:t xml:space="preserve">These studies begin with an engineering assessment of the model components and adjustments needed to reflect the appropriate assumptions for the specific study. </w:t>
      </w:r>
      <w:r w:rsidR="00B64657" w:rsidRPr="007354D0">
        <w:rPr>
          <w:rFonts w:ascii="Calibri" w:hAnsi="Calibri"/>
          <w:sz w:val="24"/>
          <w:szCs w:val="24"/>
        </w:rPr>
        <w:t>For example</w:t>
      </w:r>
      <w:r w:rsidRPr="007354D0">
        <w:rPr>
          <w:rFonts w:ascii="Calibri" w:hAnsi="Calibri"/>
          <w:sz w:val="24"/>
          <w:szCs w:val="24"/>
        </w:rPr>
        <w:t xml:space="preserve">, ERCOT planners </w:t>
      </w:r>
      <w:r w:rsidR="00B64657" w:rsidRPr="007354D0">
        <w:rPr>
          <w:rFonts w:ascii="Calibri" w:hAnsi="Calibri"/>
          <w:sz w:val="24"/>
          <w:szCs w:val="24"/>
        </w:rPr>
        <w:t xml:space="preserve">adjust </w:t>
      </w:r>
      <w:r w:rsidRPr="007354D0">
        <w:rPr>
          <w:rFonts w:ascii="Calibri" w:hAnsi="Calibri"/>
          <w:sz w:val="24"/>
          <w:szCs w:val="24"/>
        </w:rPr>
        <w:t xml:space="preserve">components in the SSWG </w:t>
      </w:r>
      <w:r w:rsidR="003A3157">
        <w:rPr>
          <w:rFonts w:ascii="Calibri" w:hAnsi="Calibri"/>
          <w:sz w:val="24"/>
          <w:szCs w:val="24"/>
        </w:rPr>
        <w:t>models</w:t>
      </w:r>
      <w:r w:rsidR="003A3157" w:rsidRPr="007354D0">
        <w:rPr>
          <w:rFonts w:ascii="Calibri" w:hAnsi="Calibri"/>
          <w:sz w:val="24"/>
          <w:szCs w:val="24"/>
        </w:rPr>
        <w:t xml:space="preserve"> </w:t>
      </w:r>
      <w:r w:rsidRPr="007354D0">
        <w:rPr>
          <w:rFonts w:ascii="Calibri" w:hAnsi="Calibri"/>
          <w:sz w:val="24"/>
          <w:szCs w:val="24"/>
        </w:rPr>
        <w:t>to develop the models for the Regional Transmission Plan (RTP) assessment.  Some of these adjustments are stipulated in ERCOT binding documents, while other</w:t>
      </w:r>
      <w:r w:rsidR="00B64657" w:rsidRPr="007354D0">
        <w:rPr>
          <w:rFonts w:ascii="Calibri" w:hAnsi="Calibri"/>
          <w:sz w:val="24"/>
          <w:szCs w:val="24"/>
        </w:rPr>
        <w:t>s</w:t>
      </w:r>
      <w:r w:rsidRPr="007354D0">
        <w:rPr>
          <w:rFonts w:ascii="Calibri" w:hAnsi="Calibri"/>
          <w:sz w:val="24"/>
          <w:szCs w:val="24"/>
        </w:rPr>
        <w:t xml:space="preserve"> are communicated to stakeholders through the </w:t>
      </w:r>
      <w:r w:rsidR="00B64657" w:rsidRPr="007354D0">
        <w:rPr>
          <w:rFonts w:ascii="Calibri" w:hAnsi="Calibri"/>
          <w:sz w:val="24"/>
          <w:szCs w:val="24"/>
        </w:rPr>
        <w:t xml:space="preserve">annual </w:t>
      </w:r>
      <w:r w:rsidRPr="007354D0">
        <w:rPr>
          <w:rFonts w:ascii="Calibri" w:hAnsi="Calibri"/>
          <w:sz w:val="24"/>
          <w:szCs w:val="24"/>
        </w:rPr>
        <w:t>RTP scope document.  ERCOT develops RTP transmission models for both a reliability assessment and for an economic assessment of transmission projects.</w:t>
      </w:r>
    </w:p>
    <w:p w:rsidR="008D1485" w:rsidRPr="007354D0" w:rsidRDefault="008D1485">
      <w:pPr>
        <w:pStyle w:val="BodyA"/>
        <w:rPr>
          <w:rFonts w:ascii="Calibri" w:hAnsi="Calibri"/>
          <w:sz w:val="24"/>
          <w:szCs w:val="24"/>
        </w:rPr>
      </w:pPr>
    </w:p>
    <w:p w:rsidR="008D1485" w:rsidRPr="007354D0" w:rsidRDefault="00DB0CF3">
      <w:pPr>
        <w:pStyle w:val="BodyA"/>
        <w:rPr>
          <w:rFonts w:ascii="Calibri" w:hAnsi="Calibri"/>
          <w:sz w:val="26"/>
          <w:szCs w:val="26"/>
          <w:u w:val="single"/>
        </w:rPr>
      </w:pPr>
      <w:r w:rsidRPr="007354D0">
        <w:rPr>
          <w:rFonts w:ascii="Calibri" w:hAnsi="Calibri"/>
          <w:sz w:val="26"/>
          <w:szCs w:val="26"/>
          <w:u w:val="single"/>
        </w:rPr>
        <w:t xml:space="preserve">Steady-State Working Group </w:t>
      </w:r>
      <w:r w:rsidR="00B64657" w:rsidRPr="007354D0">
        <w:rPr>
          <w:rFonts w:ascii="Calibri" w:hAnsi="Calibri"/>
          <w:sz w:val="26"/>
          <w:szCs w:val="26"/>
          <w:u w:val="single"/>
        </w:rPr>
        <w:t xml:space="preserve">Base </w:t>
      </w:r>
      <w:r w:rsidRPr="007354D0">
        <w:rPr>
          <w:rFonts w:ascii="Calibri" w:hAnsi="Calibri"/>
          <w:sz w:val="26"/>
          <w:szCs w:val="26"/>
          <w:u w:val="single"/>
        </w:rPr>
        <w:t>Case</w:t>
      </w:r>
      <w:r w:rsidR="003A3157">
        <w:rPr>
          <w:rFonts w:ascii="Calibri" w:hAnsi="Calibri"/>
          <w:sz w:val="26"/>
          <w:szCs w:val="26"/>
          <w:u w:val="single"/>
        </w:rPr>
        <w:t xml:space="preserve"> Models</w:t>
      </w:r>
    </w:p>
    <w:p w:rsidR="008D1485" w:rsidRPr="007354D0" w:rsidRDefault="008D1485">
      <w:pPr>
        <w:pStyle w:val="BodyA"/>
        <w:rPr>
          <w:rFonts w:ascii="Calibri" w:hAnsi="Calibri"/>
          <w:sz w:val="24"/>
          <w:szCs w:val="24"/>
        </w:rPr>
      </w:pPr>
    </w:p>
    <w:p w:rsidR="008D1485" w:rsidRPr="007354D0" w:rsidRDefault="00DB0CF3">
      <w:pPr>
        <w:pStyle w:val="NoSpacing"/>
        <w:jc w:val="both"/>
        <w:rPr>
          <w:rFonts w:ascii="Calibri" w:hAnsi="Calibri"/>
          <w:sz w:val="24"/>
          <w:szCs w:val="24"/>
        </w:rPr>
      </w:pPr>
      <w:r w:rsidRPr="007354D0">
        <w:rPr>
          <w:rFonts w:ascii="Calibri" w:hAnsi="Calibri"/>
          <w:sz w:val="24"/>
          <w:szCs w:val="24"/>
        </w:rPr>
        <w:t>As stated in the SSWG Procedure Manual:</w:t>
      </w:r>
    </w:p>
    <w:p w:rsidR="008D1485" w:rsidRPr="007354D0" w:rsidRDefault="008D1485">
      <w:pPr>
        <w:pStyle w:val="NoSpacing"/>
        <w:jc w:val="both"/>
        <w:rPr>
          <w:rFonts w:ascii="Calibri" w:hAnsi="Calibri"/>
          <w:sz w:val="24"/>
          <w:szCs w:val="24"/>
        </w:rPr>
      </w:pPr>
    </w:p>
    <w:p w:rsidR="008D1485" w:rsidRPr="007354D0" w:rsidRDefault="00DB0CF3">
      <w:pPr>
        <w:pStyle w:val="NoSpacing"/>
        <w:ind w:left="720"/>
        <w:jc w:val="both"/>
        <w:rPr>
          <w:rFonts w:ascii="Calibri" w:hAnsi="Calibri"/>
          <w:i/>
          <w:iCs/>
          <w:sz w:val="24"/>
          <w:szCs w:val="24"/>
        </w:rPr>
      </w:pPr>
      <w:r w:rsidRPr="007354D0">
        <w:rPr>
          <w:rFonts w:ascii="Calibri" w:hAnsi="Calibri"/>
          <w:i/>
          <w:iCs/>
          <w:sz w:val="24"/>
          <w:szCs w:val="24"/>
        </w:rPr>
        <w:t xml:space="preserve">“ROS Working Groups and ERCOT use SSWG base cases as the basis for other types of calculations and studies including, but not limited to: </w:t>
      </w:r>
    </w:p>
    <w:p w:rsidR="008D1485" w:rsidRPr="007354D0" w:rsidRDefault="00DB0CF3" w:rsidP="00DB0CF3">
      <w:pPr>
        <w:pStyle w:val="NoSpacing"/>
        <w:numPr>
          <w:ilvl w:val="0"/>
          <w:numId w:val="1"/>
        </w:numPr>
        <w:tabs>
          <w:tab w:val="num" w:pos="1440"/>
        </w:tabs>
        <w:ind w:left="1440" w:hanging="360"/>
        <w:jc w:val="both"/>
        <w:rPr>
          <w:rFonts w:ascii="Calibri" w:hAnsi="Calibri"/>
          <w:i/>
          <w:iCs/>
          <w:sz w:val="24"/>
          <w:szCs w:val="24"/>
        </w:rPr>
      </w:pPr>
      <w:r w:rsidRPr="007354D0">
        <w:rPr>
          <w:rFonts w:ascii="Calibri" w:hAnsi="Calibri"/>
          <w:i/>
          <w:iCs/>
          <w:sz w:val="24"/>
          <w:szCs w:val="24"/>
        </w:rPr>
        <w:t>Internal planning studies and generation interconnection studies</w:t>
      </w:r>
    </w:p>
    <w:p w:rsidR="008D1485" w:rsidRPr="007354D0" w:rsidRDefault="00DB0CF3" w:rsidP="00DB0CF3">
      <w:pPr>
        <w:pStyle w:val="NoSpacing"/>
        <w:numPr>
          <w:ilvl w:val="0"/>
          <w:numId w:val="2"/>
        </w:numPr>
        <w:tabs>
          <w:tab w:val="num" w:pos="1440"/>
        </w:tabs>
        <w:ind w:left="1440" w:hanging="360"/>
        <w:jc w:val="both"/>
        <w:rPr>
          <w:rFonts w:ascii="Calibri" w:hAnsi="Calibri"/>
          <w:i/>
          <w:iCs/>
          <w:sz w:val="24"/>
          <w:szCs w:val="24"/>
        </w:rPr>
      </w:pPr>
      <w:r w:rsidRPr="007354D0">
        <w:rPr>
          <w:rFonts w:ascii="Calibri" w:hAnsi="Calibri"/>
          <w:i/>
          <w:iCs/>
          <w:sz w:val="24"/>
          <w:szCs w:val="24"/>
        </w:rPr>
        <w:t>Voltage control and reactive planning studies</w:t>
      </w:r>
    </w:p>
    <w:p w:rsidR="008D1485" w:rsidRPr="007354D0" w:rsidRDefault="00DB0CF3" w:rsidP="00DB0CF3">
      <w:pPr>
        <w:pStyle w:val="NoSpacing"/>
        <w:numPr>
          <w:ilvl w:val="0"/>
          <w:numId w:val="3"/>
        </w:numPr>
        <w:tabs>
          <w:tab w:val="num" w:pos="1440"/>
        </w:tabs>
        <w:ind w:left="1440" w:hanging="360"/>
        <w:jc w:val="both"/>
        <w:rPr>
          <w:rFonts w:ascii="Calibri" w:hAnsi="Calibri"/>
          <w:i/>
          <w:iCs/>
          <w:sz w:val="24"/>
          <w:szCs w:val="24"/>
        </w:rPr>
      </w:pPr>
      <w:r w:rsidRPr="007354D0">
        <w:rPr>
          <w:rFonts w:ascii="Calibri" w:hAnsi="Calibri"/>
          <w:i/>
          <w:iCs/>
          <w:sz w:val="24"/>
          <w:szCs w:val="24"/>
        </w:rPr>
        <w:t>Basis for Dynamics Working Group stability studies</w:t>
      </w:r>
    </w:p>
    <w:p w:rsidR="008D1485" w:rsidRPr="007354D0" w:rsidRDefault="00DB0CF3" w:rsidP="00DB0CF3">
      <w:pPr>
        <w:pStyle w:val="NoSpacing"/>
        <w:numPr>
          <w:ilvl w:val="0"/>
          <w:numId w:val="4"/>
        </w:numPr>
        <w:tabs>
          <w:tab w:val="num" w:pos="1440"/>
        </w:tabs>
        <w:ind w:left="1440" w:hanging="360"/>
        <w:jc w:val="both"/>
        <w:rPr>
          <w:rFonts w:ascii="Calibri" w:hAnsi="Calibri"/>
          <w:i/>
          <w:iCs/>
          <w:sz w:val="24"/>
          <w:szCs w:val="24"/>
        </w:rPr>
      </w:pPr>
      <w:r w:rsidRPr="007354D0">
        <w:rPr>
          <w:rFonts w:ascii="Calibri" w:hAnsi="Calibri"/>
          <w:i/>
          <w:iCs/>
          <w:sz w:val="24"/>
          <w:szCs w:val="24"/>
        </w:rPr>
        <w:t>ERCOT transmission loss factor calculation</w:t>
      </w:r>
    </w:p>
    <w:p w:rsidR="008D1485" w:rsidRPr="007354D0" w:rsidRDefault="00DB0CF3" w:rsidP="00DB0CF3">
      <w:pPr>
        <w:pStyle w:val="NoSpacing"/>
        <w:numPr>
          <w:ilvl w:val="0"/>
          <w:numId w:val="5"/>
        </w:numPr>
        <w:tabs>
          <w:tab w:val="num" w:pos="1440"/>
        </w:tabs>
        <w:ind w:left="1440" w:hanging="360"/>
        <w:jc w:val="both"/>
        <w:rPr>
          <w:rFonts w:ascii="Calibri" w:hAnsi="Calibri"/>
          <w:i/>
          <w:iCs/>
          <w:sz w:val="24"/>
          <w:szCs w:val="24"/>
        </w:rPr>
      </w:pPr>
      <w:r w:rsidRPr="007354D0">
        <w:rPr>
          <w:rFonts w:ascii="Calibri" w:hAnsi="Calibri"/>
          <w:i/>
          <w:iCs/>
          <w:sz w:val="24"/>
          <w:szCs w:val="24"/>
        </w:rPr>
        <w:t>Basis for ERCOT operating cases and FERC 715 filing”</w:t>
      </w:r>
    </w:p>
    <w:p w:rsidR="008D1485" w:rsidRPr="007354D0" w:rsidRDefault="008D1485">
      <w:pPr>
        <w:pStyle w:val="NoSpacing"/>
        <w:jc w:val="both"/>
        <w:rPr>
          <w:rFonts w:ascii="Calibri" w:eastAsia="Times New Roman" w:hAnsi="Calibri" w:cs="Times New Roman"/>
          <w:sz w:val="24"/>
          <w:szCs w:val="24"/>
        </w:rPr>
      </w:pPr>
    </w:p>
    <w:p w:rsidR="008D1485" w:rsidRPr="007354D0" w:rsidRDefault="00DB0CF3" w:rsidP="007354D0">
      <w:pPr>
        <w:pStyle w:val="NoSpacing"/>
        <w:rPr>
          <w:rFonts w:ascii="Calibri" w:hAnsi="Calibri"/>
          <w:sz w:val="24"/>
          <w:szCs w:val="24"/>
        </w:rPr>
      </w:pPr>
      <w:r w:rsidRPr="007354D0">
        <w:rPr>
          <w:rFonts w:ascii="Calibri" w:hAnsi="Calibri"/>
          <w:sz w:val="24"/>
          <w:szCs w:val="24"/>
        </w:rPr>
        <w:t xml:space="preserve">The </w:t>
      </w:r>
      <w:r w:rsidR="00A34E7E">
        <w:rPr>
          <w:rFonts w:ascii="Calibri" w:hAnsi="Calibri"/>
          <w:sz w:val="24"/>
          <w:szCs w:val="24"/>
        </w:rPr>
        <w:t>sixteen</w:t>
      </w:r>
      <w:r w:rsidR="00A34E7E" w:rsidRPr="007354D0">
        <w:rPr>
          <w:rFonts w:ascii="Calibri" w:hAnsi="Calibri"/>
          <w:sz w:val="24"/>
          <w:szCs w:val="24"/>
        </w:rPr>
        <w:t xml:space="preserve"> </w:t>
      </w:r>
      <w:r w:rsidR="003A3157">
        <w:rPr>
          <w:rFonts w:ascii="Calibri" w:hAnsi="Calibri"/>
          <w:sz w:val="24"/>
          <w:szCs w:val="24"/>
        </w:rPr>
        <w:t>models</w:t>
      </w:r>
      <w:r w:rsidR="003A3157" w:rsidRPr="007354D0">
        <w:rPr>
          <w:rFonts w:ascii="Calibri" w:hAnsi="Calibri"/>
          <w:sz w:val="24"/>
          <w:szCs w:val="24"/>
        </w:rPr>
        <w:t xml:space="preserve"> </w:t>
      </w:r>
      <w:r w:rsidR="007B7864" w:rsidRPr="007354D0">
        <w:rPr>
          <w:rFonts w:ascii="Calibri" w:hAnsi="Calibri"/>
          <w:sz w:val="24"/>
          <w:szCs w:val="24"/>
        </w:rPr>
        <w:t>developed by SSWG</w:t>
      </w:r>
      <w:r w:rsidRPr="007354D0">
        <w:rPr>
          <w:rFonts w:ascii="Calibri" w:hAnsi="Calibri"/>
          <w:sz w:val="24"/>
          <w:szCs w:val="24"/>
        </w:rPr>
        <w:t xml:space="preserve"> provide a range of load and system conditions and establish a common point of reference for the analysis of the transmission system. Perhaps most importantly, these </w:t>
      </w:r>
      <w:r w:rsidR="003A3157">
        <w:rPr>
          <w:rFonts w:ascii="Calibri" w:hAnsi="Calibri"/>
          <w:sz w:val="24"/>
          <w:szCs w:val="24"/>
        </w:rPr>
        <w:t>models</w:t>
      </w:r>
      <w:r w:rsidR="003A3157" w:rsidRPr="007354D0">
        <w:rPr>
          <w:rFonts w:ascii="Calibri" w:hAnsi="Calibri"/>
          <w:sz w:val="24"/>
          <w:szCs w:val="24"/>
        </w:rPr>
        <w:t xml:space="preserve"> </w:t>
      </w:r>
      <w:r w:rsidRPr="007354D0">
        <w:rPr>
          <w:rFonts w:ascii="Calibri" w:hAnsi="Calibri"/>
          <w:sz w:val="24"/>
          <w:szCs w:val="24"/>
        </w:rPr>
        <w:t xml:space="preserve">represent the planned transmission topology and generation resources available for planning the transmission system in accordance with NERC Reliability Standards, the ERCOT Nodal Protocols and ERCOT Planning Guides. These </w:t>
      </w:r>
      <w:r w:rsidR="003A3157">
        <w:rPr>
          <w:rFonts w:ascii="Calibri" w:hAnsi="Calibri"/>
          <w:sz w:val="24"/>
          <w:szCs w:val="24"/>
        </w:rPr>
        <w:t>models</w:t>
      </w:r>
      <w:r w:rsidR="003A3157" w:rsidRPr="007354D0">
        <w:rPr>
          <w:rFonts w:ascii="Calibri" w:hAnsi="Calibri"/>
          <w:sz w:val="24"/>
          <w:szCs w:val="24"/>
        </w:rPr>
        <w:t xml:space="preserve"> </w:t>
      </w:r>
      <w:r w:rsidRPr="007354D0">
        <w:rPr>
          <w:rFonts w:ascii="Calibri" w:hAnsi="Calibri"/>
          <w:sz w:val="24"/>
          <w:szCs w:val="24"/>
        </w:rPr>
        <w:t xml:space="preserve">represent a </w:t>
      </w:r>
      <w:r w:rsidRPr="007354D0">
        <w:rPr>
          <w:rFonts w:ascii="Calibri" w:hAnsi="Calibri"/>
          <w:sz w:val="24"/>
          <w:szCs w:val="24"/>
        </w:rPr>
        <w:lastRenderedPageBreak/>
        <w:t>range of system conditions but not all possible system conditions, therefore, adjustments to load and generation are needed depending on the scope of the transmission analysis being performed.</w:t>
      </w:r>
    </w:p>
    <w:p w:rsidR="008D1485" w:rsidRPr="007354D0" w:rsidRDefault="008D1485" w:rsidP="007354D0">
      <w:pPr>
        <w:pStyle w:val="NoSpacing"/>
        <w:rPr>
          <w:rFonts w:ascii="Calibri" w:hAnsi="Calibri"/>
          <w:sz w:val="24"/>
          <w:szCs w:val="24"/>
        </w:rPr>
      </w:pPr>
    </w:p>
    <w:p w:rsidR="008D1485" w:rsidRPr="007354D0" w:rsidRDefault="00DB0CF3" w:rsidP="007354D0">
      <w:pPr>
        <w:pStyle w:val="NoSpacing"/>
        <w:rPr>
          <w:rFonts w:ascii="Calibri" w:hAnsi="Calibri"/>
          <w:sz w:val="24"/>
          <w:szCs w:val="24"/>
        </w:rPr>
      </w:pPr>
      <w:r w:rsidRPr="007354D0">
        <w:rPr>
          <w:rFonts w:ascii="Calibri" w:hAnsi="Calibri"/>
          <w:sz w:val="24"/>
          <w:szCs w:val="24"/>
        </w:rPr>
        <w:t xml:space="preserve">The three fundamental categories of data needed to construct these </w:t>
      </w:r>
      <w:r w:rsidR="003A3157">
        <w:rPr>
          <w:rFonts w:ascii="Calibri" w:hAnsi="Calibri"/>
          <w:sz w:val="24"/>
          <w:szCs w:val="24"/>
        </w:rPr>
        <w:t>models</w:t>
      </w:r>
      <w:r w:rsidRPr="007354D0">
        <w:rPr>
          <w:rFonts w:ascii="Calibri" w:hAnsi="Calibri"/>
          <w:sz w:val="24"/>
          <w:szCs w:val="24"/>
        </w:rPr>
        <w:t xml:space="preserve"> are </w:t>
      </w:r>
      <w:r w:rsidR="00B64657" w:rsidRPr="007354D0">
        <w:rPr>
          <w:rFonts w:ascii="Calibri" w:hAnsi="Calibri"/>
          <w:sz w:val="24"/>
          <w:szCs w:val="24"/>
        </w:rPr>
        <w:t xml:space="preserve">expected generation, load, </w:t>
      </w:r>
      <w:r w:rsidR="00760B88" w:rsidRPr="007354D0">
        <w:rPr>
          <w:rFonts w:ascii="Calibri" w:hAnsi="Calibri"/>
          <w:sz w:val="24"/>
          <w:szCs w:val="24"/>
        </w:rPr>
        <w:t>and</w:t>
      </w:r>
      <w:r w:rsidR="00B64657" w:rsidRPr="007354D0">
        <w:rPr>
          <w:rFonts w:ascii="Calibri" w:hAnsi="Calibri"/>
          <w:sz w:val="24"/>
          <w:szCs w:val="24"/>
        </w:rPr>
        <w:t xml:space="preserve"> system topology</w:t>
      </w:r>
      <w:r w:rsidRPr="007354D0">
        <w:rPr>
          <w:rFonts w:ascii="Calibri" w:hAnsi="Calibri"/>
          <w:sz w:val="24"/>
          <w:szCs w:val="24"/>
        </w:rPr>
        <w:t>.  TSPs are responsible for ensuring that load information and topology information are provided, except for the high wind</w:t>
      </w:r>
      <w:r w:rsidR="003A3157">
        <w:rPr>
          <w:rFonts w:ascii="Calibri" w:hAnsi="Calibri"/>
          <w:sz w:val="24"/>
          <w:szCs w:val="24"/>
        </w:rPr>
        <w:t>-</w:t>
      </w:r>
      <w:r w:rsidRPr="007354D0">
        <w:rPr>
          <w:rFonts w:ascii="Calibri" w:hAnsi="Calibri"/>
          <w:sz w:val="24"/>
          <w:szCs w:val="24"/>
        </w:rPr>
        <w:t xml:space="preserve">low load </w:t>
      </w:r>
      <w:r w:rsidR="003A3157">
        <w:rPr>
          <w:rFonts w:ascii="Calibri" w:hAnsi="Calibri"/>
          <w:sz w:val="24"/>
          <w:szCs w:val="24"/>
        </w:rPr>
        <w:t>model</w:t>
      </w:r>
      <w:r w:rsidRPr="007354D0">
        <w:rPr>
          <w:rFonts w:ascii="Calibri" w:hAnsi="Calibri"/>
          <w:sz w:val="24"/>
          <w:szCs w:val="24"/>
        </w:rPr>
        <w:t xml:space="preserve">, for which the load information is provided by ERCOT Staff. Generation information is </w:t>
      </w:r>
      <w:r w:rsidR="00B64657" w:rsidRPr="007354D0">
        <w:rPr>
          <w:rFonts w:ascii="Calibri" w:hAnsi="Calibri"/>
          <w:sz w:val="24"/>
          <w:szCs w:val="24"/>
        </w:rPr>
        <w:t xml:space="preserve">added </w:t>
      </w:r>
      <w:r w:rsidRPr="007354D0">
        <w:rPr>
          <w:rFonts w:ascii="Calibri" w:hAnsi="Calibri"/>
          <w:sz w:val="24"/>
          <w:szCs w:val="24"/>
        </w:rPr>
        <w:t xml:space="preserve">by ERCOT staff based on information provided </w:t>
      </w:r>
      <w:r w:rsidR="00B64657" w:rsidRPr="007354D0">
        <w:rPr>
          <w:rFonts w:ascii="Calibri" w:hAnsi="Calibri"/>
          <w:sz w:val="24"/>
          <w:szCs w:val="24"/>
        </w:rPr>
        <w:t xml:space="preserve">to ERCOT by Resource Entities </w:t>
      </w:r>
      <w:r w:rsidRPr="007354D0">
        <w:rPr>
          <w:rFonts w:ascii="Calibri" w:hAnsi="Calibri"/>
          <w:sz w:val="24"/>
          <w:szCs w:val="24"/>
        </w:rPr>
        <w:t xml:space="preserve">via the Resource Asset Registration Form.  In general, the SSWG </w:t>
      </w:r>
      <w:r w:rsidR="003A3157">
        <w:rPr>
          <w:rFonts w:ascii="Calibri" w:hAnsi="Calibri"/>
          <w:sz w:val="24"/>
          <w:szCs w:val="24"/>
        </w:rPr>
        <w:t>models</w:t>
      </w:r>
      <w:r w:rsidR="003A3157" w:rsidRPr="007354D0">
        <w:rPr>
          <w:rFonts w:ascii="Calibri" w:hAnsi="Calibri"/>
          <w:sz w:val="24"/>
          <w:szCs w:val="24"/>
        </w:rPr>
        <w:t xml:space="preserve"> </w:t>
      </w:r>
      <w:r w:rsidRPr="007354D0">
        <w:rPr>
          <w:rFonts w:ascii="Calibri" w:hAnsi="Calibri"/>
          <w:sz w:val="24"/>
          <w:szCs w:val="24"/>
        </w:rPr>
        <w:t>are developed with all potential resources (including mothball</w:t>
      </w:r>
      <w:r w:rsidR="00B64657" w:rsidRPr="007354D0">
        <w:rPr>
          <w:rFonts w:ascii="Calibri" w:hAnsi="Calibri"/>
          <w:sz w:val="24"/>
          <w:szCs w:val="24"/>
        </w:rPr>
        <w:t>ed</w:t>
      </w:r>
      <w:r w:rsidRPr="007354D0">
        <w:rPr>
          <w:rFonts w:ascii="Calibri" w:hAnsi="Calibri"/>
          <w:sz w:val="24"/>
          <w:szCs w:val="24"/>
        </w:rPr>
        <w:t xml:space="preserve"> resources), allowing maximum flexibility to transmission planners to include or not include these units as appropriate for each study.</w:t>
      </w:r>
    </w:p>
    <w:p w:rsidR="008D1485" w:rsidRPr="007354D0" w:rsidRDefault="008D1485" w:rsidP="007354D0">
      <w:pPr>
        <w:pStyle w:val="NoSpacing"/>
        <w:rPr>
          <w:rFonts w:ascii="Calibri" w:hAnsi="Calibri"/>
          <w:sz w:val="24"/>
          <w:szCs w:val="24"/>
        </w:rPr>
      </w:pPr>
    </w:p>
    <w:p w:rsidR="008D1485" w:rsidRPr="007354D0" w:rsidRDefault="00DB0CF3" w:rsidP="007354D0">
      <w:pPr>
        <w:pStyle w:val="NoSpacing"/>
        <w:rPr>
          <w:rFonts w:ascii="Calibri" w:hAnsi="Calibri"/>
          <w:sz w:val="24"/>
          <w:szCs w:val="24"/>
        </w:rPr>
      </w:pPr>
      <w:r w:rsidRPr="007354D0">
        <w:rPr>
          <w:rFonts w:ascii="Calibri" w:hAnsi="Calibri"/>
          <w:sz w:val="24"/>
          <w:szCs w:val="24"/>
        </w:rPr>
        <w:t xml:space="preserve">Each TSP provides load information according to anticipated load conditions as defined in the particular </w:t>
      </w:r>
      <w:r w:rsidR="003A3157">
        <w:rPr>
          <w:rFonts w:ascii="Calibri" w:hAnsi="Calibri"/>
          <w:sz w:val="24"/>
          <w:szCs w:val="24"/>
        </w:rPr>
        <w:t>model</w:t>
      </w:r>
      <w:r w:rsidRPr="007354D0">
        <w:rPr>
          <w:rFonts w:ascii="Calibri" w:hAnsi="Calibri"/>
          <w:sz w:val="24"/>
          <w:szCs w:val="24"/>
        </w:rPr>
        <w:t xml:space="preserve"> being constructed. The TSP provides loads so that </w:t>
      </w:r>
      <w:r w:rsidR="00B64657" w:rsidRPr="007354D0">
        <w:rPr>
          <w:rFonts w:ascii="Calibri" w:hAnsi="Calibri"/>
          <w:sz w:val="24"/>
          <w:szCs w:val="24"/>
        </w:rPr>
        <w:t>planners</w:t>
      </w:r>
      <w:r w:rsidRPr="007354D0">
        <w:rPr>
          <w:rFonts w:ascii="Calibri" w:hAnsi="Calibri"/>
          <w:sz w:val="24"/>
          <w:szCs w:val="24"/>
        </w:rPr>
        <w:t xml:space="preserve"> can meet their obligation to plan adequate transmission infrastructure in accordance with the performance requirements of the ERCOT Planning Guides and the NERC Reliability Standards. Consistent with this approach each TSP provides load data relevant to the peak load conditions for the transmission facilities they own. The approach lead</w:t>
      </w:r>
      <w:r w:rsidR="00766714" w:rsidRPr="007354D0">
        <w:rPr>
          <w:rFonts w:ascii="Calibri" w:hAnsi="Calibri"/>
          <w:sz w:val="24"/>
          <w:szCs w:val="24"/>
        </w:rPr>
        <w:t>s</w:t>
      </w:r>
      <w:r w:rsidRPr="007354D0">
        <w:rPr>
          <w:rFonts w:ascii="Calibri" w:hAnsi="Calibri"/>
          <w:sz w:val="24"/>
          <w:szCs w:val="24"/>
        </w:rPr>
        <w:t xml:space="preserve"> to a condition in which the total load in the </w:t>
      </w:r>
      <w:r w:rsidR="003A3157">
        <w:rPr>
          <w:rFonts w:ascii="Calibri" w:hAnsi="Calibri"/>
          <w:sz w:val="24"/>
          <w:szCs w:val="24"/>
        </w:rPr>
        <w:t>model</w:t>
      </w:r>
      <w:r w:rsidR="003A3157" w:rsidRPr="007354D0">
        <w:rPr>
          <w:rFonts w:ascii="Calibri" w:hAnsi="Calibri"/>
          <w:sz w:val="24"/>
          <w:szCs w:val="24"/>
        </w:rPr>
        <w:t xml:space="preserve"> </w:t>
      </w:r>
      <w:r w:rsidRPr="007354D0">
        <w:rPr>
          <w:rFonts w:ascii="Calibri" w:hAnsi="Calibri"/>
          <w:sz w:val="24"/>
          <w:szCs w:val="24"/>
        </w:rPr>
        <w:t>is higher than a corresponding ERCOT-wide coincident load forecast.</w:t>
      </w:r>
      <w:r w:rsidR="00D56C5A" w:rsidRPr="007354D0">
        <w:rPr>
          <w:rFonts w:ascii="Calibri" w:hAnsi="Calibri"/>
          <w:sz w:val="24"/>
          <w:szCs w:val="24"/>
        </w:rPr>
        <w:t xml:space="preserve">  That is, the ERCOT system serves a broad area in which one portion of the system will often be under peak load conditions while other portions are not. Therefore, the sum of each TSP’s individual load will be higher than the ERCOT-wide coincident load.</w:t>
      </w:r>
    </w:p>
    <w:p w:rsidR="008D1485" w:rsidRPr="007354D0" w:rsidRDefault="008D1485" w:rsidP="007354D0">
      <w:pPr>
        <w:pStyle w:val="NoSpacing"/>
        <w:rPr>
          <w:rFonts w:ascii="Calibri" w:hAnsi="Calibri"/>
          <w:sz w:val="24"/>
          <w:szCs w:val="24"/>
        </w:rPr>
      </w:pPr>
    </w:p>
    <w:p w:rsidR="008D1485" w:rsidRPr="007354D0" w:rsidRDefault="00D56C5A" w:rsidP="007354D0">
      <w:pPr>
        <w:pStyle w:val="NoSpacing"/>
        <w:rPr>
          <w:rFonts w:ascii="Calibri" w:hAnsi="Calibri"/>
          <w:sz w:val="24"/>
          <w:szCs w:val="24"/>
        </w:rPr>
      </w:pPr>
      <w:r w:rsidRPr="007354D0">
        <w:rPr>
          <w:rFonts w:ascii="Calibri" w:hAnsi="Calibri"/>
          <w:sz w:val="24"/>
          <w:szCs w:val="24"/>
        </w:rPr>
        <w:t xml:space="preserve">In </w:t>
      </w:r>
      <w:r w:rsidR="00766714" w:rsidRPr="007354D0">
        <w:rPr>
          <w:rFonts w:ascii="Calibri" w:hAnsi="Calibri"/>
          <w:sz w:val="24"/>
          <w:szCs w:val="24"/>
        </w:rPr>
        <w:t>most</w:t>
      </w:r>
      <w:r w:rsidRPr="007354D0">
        <w:rPr>
          <w:rFonts w:ascii="Calibri" w:hAnsi="Calibri"/>
          <w:sz w:val="24"/>
          <w:szCs w:val="24"/>
        </w:rPr>
        <w:t xml:space="preserve"> instances, </w:t>
      </w:r>
      <w:r w:rsidR="00DB0CF3" w:rsidRPr="007354D0">
        <w:rPr>
          <w:rFonts w:ascii="Calibri" w:hAnsi="Calibri"/>
          <w:sz w:val="24"/>
          <w:szCs w:val="24"/>
        </w:rPr>
        <w:t xml:space="preserve">the total load in future year </w:t>
      </w:r>
      <w:r w:rsidR="00766714" w:rsidRPr="007354D0">
        <w:rPr>
          <w:rFonts w:ascii="Calibri" w:hAnsi="Calibri"/>
          <w:sz w:val="24"/>
          <w:szCs w:val="24"/>
        </w:rPr>
        <w:t xml:space="preserve">SSWG </w:t>
      </w:r>
      <w:r w:rsidR="00DB0CF3" w:rsidRPr="007354D0">
        <w:rPr>
          <w:rFonts w:ascii="Calibri" w:hAnsi="Calibri"/>
          <w:sz w:val="24"/>
          <w:szCs w:val="24"/>
        </w:rPr>
        <w:t xml:space="preserve">planning cases </w:t>
      </w:r>
      <w:r w:rsidRPr="007354D0">
        <w:rPr>
          <w:rFonts w:ascii="Calibri" w:hAnsi="Calibri"/>
          <w:sz w:val="24"/>
          <w:szCs w:val="24"/>
        </w:rPr>
        <w:t xml:space="preserve">is </w:t>
      </w:r>
      <w:r w:rsidR="00DB0CF3" w:rsidRPr="007354D0">
        <w:rPr>
          <w:rFonts w:ascii="Calibri" w:hAnsi="Calibri"/>
          <w:sz w:val="24"/>
          <w:szCs w:val="24"/>
        </w:rPr>
        <w:t xml:space="preserve">greater than the total generation available for dispatch.  The factors </w:t>
      </w:r>
      <w:r w:rsidRPr="007354D0">
        <w:rPr>
          <w:rFonts w:ascii="Calibri" w:hAnsi="Calibri"/>
          <w:sz w:val="24"/>
          <w:szCs w:val="24"/>
        </w:rPr>
        <w:t xml:space="preserve">that contribute to this circumstance </w:t>
      </w:r>
      <w:r w:rsidR="00DB0CF3" w:rsidRPr="007354D0">
        <w:rPr>
          <w:rFonts w:ascii="Calibri" w:hAnsi="Calibri"/>
          <w:sz w:val="24"/>
          <w:szCs w:val="24"/>
        </w:rPr>
        <w:t>include:</w:t>
      </w:r>
    </w:p>
    <w:p w:rsidR="00D56C5A" w:rsidRPr="007354D0" w:rsidRDefault="00D56C5A" w:rsidP="007354D0">
      <w:pPr>
        <w:pStyle w:val="NoSpacing"/>
        <w:numPr>
          <w:ilvl w:val="0"/>
          <w:numId w:val="51"/>
        </w:numPr>
        <w:spacing w:before="120"/>
        <w:rPr>
          <w:rFonts w:ascii="Calibri" w:hAnsi="Calibri"/>
          <w:sz w:val="24"/>
          <w:szCs w:val="24"/>
        </w:rPr>
      </w:pPr>
      <w:r w:rsidRPr="007354D0">
        <w:rPr>
          <w:rFonts w:ascii="Calibri" w:hAnsi="Calibri"/>
          <w:sz w:val="24"/>
          <w:szCs w:val="24"/>
        </w:rPr>
        <w:t>the use of non-coincident load</w:t>
      </w:r>
      <w:r w:rsidR="00766714" w:rsidRPr="007354D0">
        <w:rPr>
          <w:rFonts w:ascii="Calibri" w:hAnsi="Calibri"/>
          <w:sz w:val="24"/>
          <w:szCs w:val="24"/>
        </w:rPr>
        <w:t xml:space="preserve"> forecasts</w:t>
      </w:r>
      <w:r w:rsidRPr="007354D0">
        <w:rPr>
          <w:rFonts w:ascii="Calibri" w:hAnsi="Calibri"/>
          <w:sz w:val="24"/>
          <w:szCs w:val="24"/>
        </w:rPr>
        <w:t xml:space="preserve"> that exceed system-wide coincident peak forecasts, as discussed above;</w:t>
      </w:r>
    </w:p>
    <w:p w:rsidR="008D1485" w:rsidRPr="007354D0" w:rsidRDefault="00D56C5A" w:rsidP="007354D0">
      <w:pPr>
        <w:pStyle w:val="NoSpacing"/>
        <w:numPr>
          <w:ilvl w:val="0"/>
          <w:numId w:val="51"/>
        </w:numPr>
        <w:spacing w:before="120"/>
        <w:rPr>
          <w:rFonts w:ascii="Calibri" w:hAnsi="Calibri"/>
          <w:sz w:val="24"/>
          <w:szCs w:val="24"/>
        </w:rPr>
      </w:pPr>
      <w:r w:rsidRPr="007354D0">
        <w:rPr>
          <w:rFonts w:ascii="Calibri" w:hAnsi="Calibri"/>
          <w:sz w:val="24"/>
          <w:szCs w:val="24"/>
        </w:rPr>
        <w:t xml:space="preserve">an </w:t>
      </w:r>
      <w:r w:rsidR="00DB0CF3" w:rsidRPr="007354D0">
        <w:rPr>
          <w:rFonts w:ascii="Calibri" w:hAnsi="Calibri"/>
          <w:sz w:val="24"/>
          <w:szCs w:val="24"/>
        </w:rPr>
        <w:t xml:space="preserve">increased amount of variable generation </w:t>
      </w:r>
      <w:r w:rsidRPr="007354D0">
        <w:rPr>
          <w:rFonts w:ascii="Calibri" w:hAnsi="Calibri"/>
          <w:sz w:val="24"/>
          <w:szCs w:val="24"/>
        </w:rPr>
        <w:t xml:space="preserve">on the system, </w:t>
      </w:r>
      <w:r w:rsidR="00DB0CF3" w:rsidRPr="007354D0">
        <w:rPr>
          <w:rFonts w:ascii="Calibri" w:hAnsi="Calibri"/>
          <w:sz w:val="24"/>
          <w:szCs w:val="24"/>
        </w:rPr>
        <w:t>which is typically derated to reflect expected generation output at the time of peak conditions</w:t>
      </w:r>
      <w:r w:rsidR="007B7864" w:rsidRPr="007354D0">
        <w:rPr>
          <w:rFonts w:ascii="Calibri" w:hAnsi="Calibri"/>
          <w:sz w:val="24"/>
          <w:szCs w:val="24"/>
        </w:rPr>
        <w:t>;</w:t>
      </w:r>
    </w:p>
    <w:p w:rsidR="00591482" w:rsidRPr="007354D0" w:rsidRDefault="00D56C5A" w:rsidP="007354D0">
      <w:pPr>
        <w:pStyle w:val="NoSpacing"/>
        <w:numPr>
          <w:ilvl w:val="0"/>
          <w:numId w:val="51"/>
        </w:numPr>
        <w:spacing w:before="120"/>
        <w:rPr>
          <w:rFonts w:ascii="Calibri" w:hAnsi="Calibri"/>
          <w:sz w:val="24"/>
          <w:szCs w:val="24"/>
        </w:rPr>
      </w:pPr>
      <w:r w:rsidRPr="007354D0">
        <w:rPr>
          <w:rFonts w:ascii="Calibri" w:hAnsi="Calibri"/>
          <w:sz w:val="24"/>
          <w:szCs w:val="24"/>
        </w:rPr>
        <w:t>Planning Guide requirements that only allow a planned resource to be included in the models if the resource has a signed interconnection agreement, air permits (if needed), adequate cooling water, and full collateral for any necessary transmission improvements; and</w:t>
      </w:r>
    </w:p>
    <w:p w:rsidR="00D56C5A" w:rsidRPr="007354D0" w:rsidRDefault="00DB0CF3" w:rsidP="007354D0">
      <w:pPr>
        <w:pStyle w:val="NoSpacing"/>
        <w:numPr>
          <w:ilvl w:val="0"/>
          <w:numId w:val="51"/>
        </w:numPr>
        <w:spacing w:before="120"/>
        <w:rPr>
          <w:rFonts w:ascii="Calibri" w:hAnsi="Calibri"/>
          <w:sz w:val="24"/>
          <w:szCs w:val="24"/>
        </w:rPr>
      </w:pPr>
      <w:proofErr w:type="gramStart"/>
      <w:r w:rsidRPr="007354D0">
        <w:rPr>
          <w:rFonts w:ascii="Calibri" w:hAnsi="Calibri"/>
          <w:sz w:val="24"/>
          <w:szCs w:val="24"/>
        </w:rPr>
        <w:t>development</w:t>
      </w:r>
      <w:proofErr w:type="gramEnd"/>
      <w:r w:rsidRPr="007354D0">
        <w:rPr>
          <w:rFonts w:ascii="Calibri" w:hAnsi="Calibri"/>
          <w:sz w:val="24"/>
          <w:szCs w:val="24"/>
        </w:rPr>
        <w:t xml:space="preserve"> time for </w:t>
      </w:r>
      <w:r w:rsidR="00D56C5A" w:rsidRPr="007354D0">
        <w:rPr>
          <w:rFonts w:ascii="Calibri" w:hAnsi="Calibri"/>
          <w:sz w:val="24"/>
          <w:szCs w:val="24"/>
        </w:rPr>
        <w:t xml:space="preserve">planned </w:t>
      </w:r>
      <w:r w:rsidRPr="007354D0">
        <w:rPr>
          <w:rFonts w:ascii="Calibri" w:hAnsi="Calibri"/>
          <w:sz w:val="24"/>
          <w:szCs w:val="24"/>
        </w:rPr>
        <w:t>generation</w:t>
      </w:r>
      <w:r w:rsidR="00DF5232" w:rsidRPr="007354D0">
        <w:rPr>
          <w:rFonts w:ascii="Calibri" w:hAnsi="Calibri"/>
          <w:sz w:val="24"/>
          <w:szCs w:val="24"/>
        </w:rPr>
        <w:t xml:space="preserve"> that is typically less than that for transmission</w:t>
      </w:r>
      <w:r w:rsidRPr="007354D0">
        <w:rPr>
          <w:rFonts w:ascii="Calibri" w:hAnsi="Calibri"/>
          <w:sz w:val="24"/>
          <w:szCs w:val="24"/>
        </w:rPr>
        <w:t xml:space="preserve">, </w:t>
      </w:r>
      <w:r w:rsidR="00D56C5A" w:rsidRPr="007354D0">
        <w:rPr>
          <w:rFonts w:ascii="Calibri" w:hAnsi="Calibri"/>
          <w:sz w:val="24"/>
          <w:szCs w:val="24"/>
        </w:rPr>
        <w:t xml:space="preserve">which then reduces </w:t>
      </w:r>
      <w:r w:rsidRPr="007354D0">
        <w:rPr>
          <w:rFonts w:ascii="Calibri" w:hAnsi="Calibri"/>
          <w:sz w:val="24"/>
          <w:szCs w:val="24"/>
        </w:rPr>
        <w:t xml:space="preserve">the </w:t>
      </w:r>
      <w:r w:rsidR="00D56C5A" w:rsidRPr="007354D0">
        <w:rPr>
          <w:rFonts w:ascii="Calibri" w:hAnsi="Calibri"/>
          <w:sz w:val="24"/>
          <w:szCs w:val="24"/>
        </w:rPr>
        <w:t xml:space="preserve">number </w:t>
      </w:r>
      <w:r w:rsidRPr="007354D0">
        <w:rPr>
          <w:rFonts w:ascii="Calibri" w:hAnsi="Calibri"/>
          <w:sz w:val="24"/>
          <w:szCs w:val="24"/>
        </w:rPr>
        <w:t xml:space="preserve">of </w:t>
      </w:r>
      <w:r w:rsidR="00D56C5A" w:rsidRPr="007354D0">
        <w:rPr>
          <w:rFonts w:ascii="Calibri" w:hAnsi="Calibri"/>
          <w:sz w:val="24"/>
          <w:szCs w:val="24"/>
        </w:rPr>
        <w:t>planned</w:t>
      </w:r>
      <w:r w:rsidRPr="007354D0">
        <w:rPr>
          <w:rFonts w:ascii="Calibri" w:hAnsi="Calibri"/>
          <w:sz w:val="24"/>
          <w:szCs w:val="24"/>
        </w:rPr>
        <w:t xml:space="preserve"> </w:t>
      </w:r>
      <w:r w:rsidR="00D56C5A" w:rsidRPr="007354D0">
        <w:rPr>
          <w:rFonts w:ascii="Calibri" w:hAnsi="Calibri"/>
          <w:sz w:val="24"/>
          <w:szCs w:val="24"/>
        </w:rPr>
        <w:t xml:space="preserve">resources </w:t>
      </w:r>
      <w:r w:rsidRPr="007354D0">
        <w:rPr>
          <w:rFonts w:ascii="Calibri" w:hAnsi="Calibri"/>
          <w:sz w:val="24"/>
          <w:szCs w:val="24"/>
        </w:rPr>
        <w:t xml:space="preserve">that </w:t>
      </w:r>
      <w:r w:rsidR="00D56C5A" w:rsidRPr="007354D0">
        <w:rPr>
          <w:rFonts w:ascii="Calibri" w:hAnsi="Calibri"/>
          <w:sz w:val="24"/>
          <w:szCs w:val="24"/>
        </w:rPr>
        <w:t>meet the requirements for inclusion</w:t>
      </w:r>
      <w:r w:rsidRPr="007354D0">
        <w:rPr>
          <w:rFonts w:ascii="Calibri" w:hAnsi="Calibri"/>
          <w:sz w:val="24"/>
          <w:szCs w:val="24"/>
        </w:rPr>
        <w:t xml:space="preserve"> in the </w:t>
      </w:r>
      <w:r w:rsidR="00D56C5A" w:rsidRPr="007354D0">
        <w:rPr>
          <w:rFonts w:ascii="Calibri" w:hAnsi="Calibri"/>
          <w:sz w:val="24"/>
          <w:szCs w:val="24"/>
        </w:rPr>
        <w:t>models</w:t>
      </w:r>
      <w:r w:rsidR="007B7864" w:rsidRPr="007354D0">
        <w:rPr>
          <w:rFonts w:ascii="Calibri" w:hAnsi="Calibri"/>
          <w:sz w:val="24"/>
          <w:szCs w:val="24"/>
        </w:rPr>
        <w:t>.</w:t>
      </w:r>
    </w:p>
    <w:p w:rsidR="00D56C5A" w:rsidRPr="007354D0" w:rsidRDefault="00D56C5A" w:rsidP="007354D0">
      <w:pPr>
        <w:pStyle w:val="NoSpacing"/>
        <w:spacing w:before="120"/>
        <w:rPr>
          <w:rFonts w:ascii="Calibri" w:hAnsi="Calibri"/>
          <w:sz w:val="24"/>
          <w:szCs w:val="24"/>
        </w:rPr>
      </w:pPr>
    </w:p>
    <w:p w:rsidR="008D1485" w:rsidRPr="007354D0" w:rsidRDefault="00DB0CF3" w:rsidP="007354D0">
      <w:pPr>
        <w:pStyle w:val="NoSpacing"/>
        <w:rPr>
          <w:rFonts w:ascii="Calibri" w:hAnsi="Calibri"/>
          <w:sz w:val="24"/>
          <w:szCs w:val="24"/>
        </w:rPr>
      </w:pPr>
      <w:r w:rsidRPr="007354D0">
        <w:rPr>
          <w:rFonts w:ascii="Calibri" w:hAnsi="Calibri"/>
          <w:sz w:val="24"/>
          <w:szCs w:val="24"/>
        </w:rPr>
        <w:t xml:space="preserve">In order for the planning models to solve, the amount of generation dispatched by resources must be equal to the sum of all the loads plus transmission losses.  </w:t>
      </w:r>
      <w:r w:rsidR="00D56C5A" w:rsidRPr="007354D0">
        <w:rPr>
          <w:rFonts w:ascii="Calibri" w:hAnsi="Calibri"/>
          <w:sz w:val="24"/>
          <w:szCs w:val="24"/>
        </w:rPr>
        <w:t xml:space="preserve">Because one </w:t>
      </w:r>
      <w:r w:rsidRPr="007354D0">
        <w:rPr>
          <w:rFonts w:ascii="Calibri" w:hAnsi="Calibri"/>
          <w:sz w:val="24"/>
          <w:szCs w:val="24"/>
        </w:rPr>
        <w:t xml:space="preserve">primary </w:t>
      </w:r>
      <w:r w:rsidR="00D56C5A" w:rsidRPr="007354D0">
        <w:rPr>
          <w:rFonts w:ascii="Calibri" w:hAnsi="Calibri"/>
          <w:sz w:val="24"/>
          <w:szCs w:val="24"/>
        </w:rPr>
        <w:t xml:space="preserve">purpose </w:t>
      </w:r>
      <w:r w:rsidRPr="007354D0">
        <w:rPr>
          <w:rFonts w:ascii="Calibri" w:hAnsi="Calibri"/>
          <w:sz w:val="24"/>
          <w:szCs w:val="24"/>
        </w:rPr>
        <w:t xml:space="preserve">of the SSWG </w:t>
      </w:r>
      <w:r w:rsidR="00D56C5A" w:rsidRPr="007354D0">
        <w:rPr>
          <w:rFonts w:ascii="Calibri" w:hAnsi="Calibri"/>
          <w:sz w:val="24"/>
          <w:szCs w:val="24"/>
        </w:rPr>
        <w:t>base case</w:t>
      </w:r>
      <w:r w:rsidR="003A3157">
        <w:rPr>
          <w:rFonts w:ascii="Calibri" w:hAnsi="Calibri"/>
          <w:sz w:val="24"/>
          <w:szCs w:val="24"/>
        </w:rPr>
        <w:t xml:space="preserve"> models</w:t>
      </w:r>
      <w:r w:rsidR="00D56C5A" w:rsidRPr="007354D0">
        <w:rPr>
          <w:rFonts w:ascii="Calibri" w:hAnsi="Calibri"/>
          <w:sz w:val="24"/>
          <w:szCs w:val="24"/>
        </w:rPr>
        <w:t xml:space="preserve"> </w:t>
      </w:r>
      <w:r w:rsidRPr="007354D0">
        <w:rPr>
          <w:rFonts w:ascii="Calibri" w:hAnsi="Calibri"/>
          <w:sz w:val="24"/>
          <w:szCs w:val="24"/>
        </w:rPr>
        <w:t xml:space="preserve">is to communicate bus-level load expectations, it </w:t>
      </w:r>
      <w:r w:rsidR="00D56C5A" w:rsidRPr="007354D0">
        <w:rPr>
          <w:rFonts w:ascii="Calibri" w:hAnsi="Calibri"/>
          <w:sz w:val="24"/>
          <w:szCs w:val="24"/>
        </w:rPr>
        <w:t>would not be appropriate</w:t>
      </w:r>
      <w:r w:rsidRPr="007354D0">
        <w:rPr>
          <w:rFonts w:ascii="Calibri" w:hAnsi="Calibri"/>
          <w:sz w:val="24"/>
          <w:szCs w:val="24"/>
        </w:rPr>
        <w:t xml:space="preserve"> to reduce loads to achieve a balance with available resources.  As a result, </w:t>
      </w:r>
      <w:r w:rsidRPr="007354D0">
        <w:rPr>
          <w:rFonts w:ascii="Calibri" w:hAnsi="Calibri"/>
          <w:sz w:val="24"/>
          <w:szCs w:val="24"/>
        </w:rPr>
        <w:lastRenderedPageBreak/>
        <w:t xml:space="preserve">SSWG </w:t>
      </w:r>
      <w:r w:rsidR="00D56C5A" w:rsidRPr="007354D0">
        <w:rPr>
          <w:rFonts w:ascii="Calibri" w:hAnsi="Calibri"/>
          <w:sz w:val="24"/>
          <w:szCs w:val="24"/>
        </w:rPr>
        <w:t xml:space="preserve">base </w:t>
      </w:r>
      <w:r w:rsidRPr="007354D0">
        <w:rPr>
          <w:rFonts w:ascii="Calibri" w:hAnsi="Calibri"/>
          <w:sz w:val="24"/>
          <w:szCs w:val="24"/>
        </w:rPr>
        <w:t>case</w:t>
      </w:r>
      <w:r w:rsidR="003A3157">
        <w:rPr>
          <w:rFonts w:ascii="Calibri" w:hAnsi="Calibri"/>
          <w:sz w:val="24"/>
          <w:szCs w:val="24"/>
        </w:rPr>
        <w:t xml:space="preserve"> model</w:t>
      </w:r>
      <w:r w:rsidRPr="007354D0">
        <w:rPr>
          <w:rFonts w:ascii="Calibri" w:hAnsi="Calibri"/>
          <w:sz w:val="24"/>
          <w:szCs w:val="24"/>
        </w:rPr>
        <w:t xml:space="preserve"> developers </w:t>
      </w:r>
      <w:r w:rsidR="00D56C5A" w:rsidRPr="007354D0">
        <w:rPr>
          <w:rFonts w:ascii="Calibri" w:hAnsi="Calibri"/>
          <w:sz w:val="24"/>
          <w:szCs w:val="24"/>
        </w:rPr>
        <w:t>use</w:t>
      </w:r>
      <w:r w:rsidRPr="007354D0">
        <w:rPr>
          <w:rFonts w:ascii="Calibri" w:hAnsi="Calibri"/>
          <w:sz w:val="24"/>
          <w:szCs w:val="24"/>
        </w:rPr>
        <w:t xml:space="preserve"> “extraordinary dispatch methods” </w:t>
      </w:r>
      <w:r w:rsidR="00EE59C3" w:rsidRPr="007354D0">
        <w:rPr>
          <w:rFonts w:ascii="Calibri" w:hAnsi="Calibri"/>
          <w:sz w:val="24"/>
          <w:szCs w:val="24"/>
        </w:rPr>
        <w:t xml:space="preserve">for generation resources to balance load and generation. These methods include </w:t>
      </w:r>
      <w:r w:rsidRPr="007354D0">
        <w:rPr>
          <w:rFonts w:ascii="Calibri" w:hAnsi="Calibri"/>
          <w:sz w:val="24"/>
          <w:szCs w:val="24"/>
        </w:rPr>
        <w:t>dispatching mothball</w:t>
      </w:r>
      <w:r w:rsidR="00EE59C3" w:rsidRPr="007354D0">
        <w:rPr>
          <w:rFonts w:ascii="Calibri" w:hAnsi="Calibri"/>
          <w:sz w:val="24"/>
          <w:szCs w:val="24"/>
        </w:rPr>
        <w:t>ed</w:t>
      </w:r>
      <w:r w:rsidRPr="007354D0">
        <w:rPr>
          <w:rFonts w:ascii="Calibri" w:hAnsi="Calibri"/>
          <w:sz w:val="24"/>
          <w:szCs w:val="24"/>
        </w:rPr>
        <w:t xml:space="preserve"> resources and increasing </w:t>
      </w:r>
      <w:r w:rsidR="00EE59C3" w:rsidRPr="007354D0">
        <w:rPr>
          <w:rFonts w:ascii="Calibri" w:hAnsi="Calibri"/>
          <w:sz w:val="24"/>
          <w:szCs w:val="24"/>
        </w:rPr>
        <w:t xml:space="preserve">the </w:t>
      </w:r>
      <w:r w:rsidRPr="007354D0">
        <w:rPr>
          <w:rFonts w:ascii="Calibri" w:hAnsi="Calibri"/>
          <w:sz w:val="24"/>
          <w:szCs w:val="24"/>
        </w:rPr>
        <w:t xml:space="preserve">dispatch </w:t>
      </w:r>
      <w:r w:rsidR="00EE59C3" w:rsidRPr="007354D0">
        <w:rPr>
          <w:rFonts w:ascii="Calibri" w:hAnsi="Calibri"/>
          <w:sz w:val="24"/>
          <w:szCs w:val="24"/>
        </w:rPr>
        <w:t xml:space="preserve">of </w:t>
      </w:r>
      <w:r w:rsidRPr="007354D0">
        <w:rPr>
          <w:rFonts w:ascii="Calibri" w:hAnsi="Calibri"/>
          <w:sz w:val="24"/>
          <w:szCs w:val="24"/>
        </w:rPr>
        <w:t xml:space="preserve">variable generation </w:t>
      </w:r>
      <w:r w:rsidR="00EE59C3" w:rsidRPr="007354D0">
        <w:rPr>
          <w:rFonts w:ascii="Calibri" w:hAnsi="Calibri"/>
          <w:sz w:val="24"/>
          <w:szCs w:val="24"/>
        </w:rPr>
        <w:t>resources</w:t>
      </w:r>
      <w:r w:rsidRPr="007354D0">
        <w:rPr>
          <w:rFonts w:ascii="Calibri" w:hAnsi="Calibri"/>
          <w:sz w:val="24"/>
          <w:szCs w:val="24"/>
        </w:rPr>
        <w:t>.</w:t>
      </w:r>
    </w:p>
    <w:p w:rsidR="008D1485" w:rsidRPr="007354D0" w:rsidRDefault="008D1485" w:rsidP="007354D0">
      <w:pPr>
        <w:pStyle w:val="NoSpacing"/>
        <w:rPr>
          <w:rFonts w:ascii="Calibri" w:hAnsi="Calibri"/>
          <w:sz w:val="24"/>
          <w:szCs w:val="24"/>
        </w:rPr>
      </w:pPr>
    </w:p>
    <w:p w:rsidR="008D1485" w:rsidRPr="007354D0" w:rsidRDefault="00EE59C3" w:rsidP="007354D0">
      <w:pPr>
        <w:pStyle w:val="NoSpacing"/>
        <w:rPr>
          <w:rFonts w:ascii="Calibri" w:hAnsi="Calibri"/>
          <w:sz w:val="24"/>
          <w:szCs w:val="24"/>
        </w:rPr>
      </w:pPr>
      <w:r w:rsidRPr="007354D0">
        <w:rPr>
          <w:rFonts w:ascii="Calibri" w:hAnsi="Calibri"/>
          <w:sz w:val="24"/>
          <w:szCs w:val="24"/>
        </w:rPr>
        <w:t xml:space="preserve">Because </w:t>
      </w:r>
      <w:r w:rsidR="00870ED9" w:rsidRPr="007354D0">
        <w:rPr>
          <w:rFonts w:ascii="Calibri" w:hAnsi="Calibri"/>
          <w:sz w:val="24"/>
          <w:szCs w:val="24"/>
        </w:rPr>
        <w:t>the</w:t>
      </w:r>
      <w:r w:rsidR="00DB0CF3" w:rsidRPr="007354D0">
        <w:rPr>
          <w:rFonts w:ascii="Calibri" w:hAnsi="Calibri"/>
          <w:sz w:val="24"/>
          <w:szCs w:val="24"/>
        </w:rPr>
        <w:t xml:space="preserve"> loads in the SSWG </w:t>
      </w:r>
      <w:r w:rsidR="003A3157">
        <w:rPr>
          <w:rFonts w:ascii="Calibri" w:hAnsi="Calibri"/>
          <w:sz w:val="24"/>
          <w:szCs w:val="24"/>
        </w:rPr>
        <w:t>models</w:t>
      </w:r>
      <w:r w:rsidR="003A3157" w:rsidRPr="007354D0">
        <w:rPr>
          <w:rFonts w:ascii="Calibri" w:hAnsi="Calibri"/>
          <w:sz w:val="24"/>
          <w:szCs w:val="24"/>
        </w:rPr>
        <w:t xml:space="preserve"> </w:t>
      </w:r>
      <w:r w:rsidR="00DB0CF3" w:rsidRPr="007354D0">
        <w:rPr>
          <w:rFonts w:ascii="Calibri" w:hAnsi="Calibri"/>
          <w:sz w:val="24"/>
          <w:szCs w:val="24"/>
        </w:rPr>
        <w:t>are not ERCOT-wide coincident loads</w:t>
      </w:r>
      <w:r w:rsidR="00870ED9" w:rsidRPr="007354D0">
        <w:rPr>
          <w:rFonts w:ascii="Calibri" w:hAnsi="Calibri"/>
          <w:sz w:val="24"/>
          <w:szCs w:val="24"/>
        </w:rPr>
        <w:t xml:space="preserve">, transmission planners </w:t>
      </w:r>
      <w:r w:rsidRPr="007354D0">
        <w:rPr>
          <w:rFonts w:ascii="Calibri" w:hAnsi="Calibri"/>
          <w:sz w:val="24"/>
          <w:szCs w:val="24"/>
        </w:rPr>
        <w:t>may need to</w:t>
      </w:r>
      <w:r w:rsidR="00DB0CF3" w:rsidRPr="007354D0">
        <w:rPr>
          <w:rFonts w:ascii="Calibri" w:hAnsi="Calibri"/>
          <w:sz w:val="24"/>
          <w:szCs w:val="24"/>
        </w:rPr>
        <w:t xml:space="preserve"> adjust load and generation </w:t>
      </w:r>
      <w:r w:rsidRPr="007354D0">
        <w:rPr>
          <w:rFonts w:ascii="Calibri" w:hAnsi="Calibri"/>
          <w:sz w:val="24"/>
          <w:szCs w:val="24"/>
        </w:rPr>
        <w:t>as appropriate for a given transmission planning study</w:t>
      </w:r>
      <w:r w:rsidR="00DB0CF3" w:rsidRPr="007354D0">
        <w:rPr>
          <w:rFonts w:ascii="Calibri" w:hAnsi="Calibri"/>
          <w:sz w:val="24"/>
          <w:szCs w:val="24"/>
        </w:rPr>
        <w:t>.</w:t>
      </w:r>
      <w:r w:rsidRPr="007354D0">
        <w:rPr>
          <w:rFonts w:ascii="Calibri" w:hAnsi="Calibri"/>
          <w:sz w:val="24"/>
          <w:szCs w:val="24"/>
        </w:rPr>
        <w:t xml:space="preserve"> </w:t>
      </w:r>
      <w:r w:rsidR="00DB0CF3" w:rsidRPr="007354D0">
        <w:rPr>
          <w:rFonts w:ascii="Calibri" w:hAnsi="Calibri"/>
          <w:sz w:val="24"/>
          <w:szCs w:val="24"/>
        </w:rPr>
        <w:t xml:space="preserve"> Adjustments to an SSWG </w:t>
      </w:r>
      <w:r w:rsidR="003A3157">
        <w:rPr>
          <w:rFonts w:ascii="Calibri" w:hAnsi="Calibri"/>
          <w:sz w:val="24"/>
          <w:szCs w:val="24"/>
        </w:rPr>
        <w:t>model</w:t>
      </w:r>
      <w:r w:rsidR="003A3157" w:rsidRPr="007354D0">
        <w:rPr>
          <w:rFonts w:ascii="Calibri" w:hAnsi="Calibri"/>
          <w:sz w:val="24"/>
          <w:szCs w:val="24"/>
        </w:rPr>
        <w:t xml:space="preserve"> </w:t>
      </w:r>
      <w:r w:rsidR="00DB0CF3" w:rsidRPr="007354D0">
        <w:rPr>
          <w:rFonts w:ascii="Calibri" w:hAnsi="Calibri"/>
          <w:sz w:val="24"/>
          <w:szCs w:val="24"/>
        </w:rPr>
        <w:t xml:space="preserve">may not be necessary for </w:t>
      </w:r>
      <w:r w:rsidR="00870ED9" w:rsidRPr="007354D0">
        <w:rPr>
          <w:rFonts w:ascii="Calibri" w:hAnsi="Calibri"/>
          <w:sz w:val="24"/>
          <w:szCs w:val="24"/>
        </w:rPr>
        <w:t xml:space="preserve">highly </w:t>
      </w:r>
      <w:r w:rsidR="00DB0CF3" w:rsidRPr="007354D0">
        <w:rPr>
          <w:rFonts w:ascii="Calibri" w:hAnsi="Calibri"/>
          <w:sz w:val="24"/>
          <w:szCs w:val="24"/>
        </w:rPr>
        <w:t>localized studies, such as an analysis of</w:t>
      </w:r>
      <w:r w:rsidR="00870ED9" w:rsidRPr="007354D0">
        <w:rPr>
          <w:rFonts w:ascii="Calibri" w:hAnsi="Calibri"/>
          <w:sz w:val="24"/>
          <w:szCs w:val="24"/>
        </w:rPr>
        <w:t xml:space="preserve"> radial lines </w:t>
      </w:r>
      <w:r w:rsidR="00DB0CF3" w:rsidRPr="007354D0">
        <w:rPr>
          <w:rFonts w:ascii="Calibri" w:hAnsi="Calibri"/>
          <w:sz w:val="24"/>
          <w:szCs w:val="24"/>
        </w:rPr>
        <w:t>serv</w:t>
      </w:r>
      <w:r w:rsidR="00870ED9" w:rsidRPr="007354D0">
        <w:rPr>
          <w:rFonts w:ascii="Calibri" w:hAnsi="Calibri"/>
          <w:sz w:val="24"/>
          <w:szCs w:val="24"/>
        </w:rPr>
        <w:t>ing</w:t>
      </w:r>
      <w:r w:rsidR="00DB0CF3" w:rsidRPr="007354D0">
        <w:rPr>
          <w:rFonts w:ascii="Calibri" w:hAnsi="Calibri"/>
          <w:sz w:val="24"/>
          <w:szCs w:val="24"/>
        </w:rPr>
        <w:t xml:space="preserve"> loads or portions of the system with net power flow into, as opposed to through, the area being studied. In other instances, adjustments to the SSWG </w:t>
      </w:r>
      <w:r w:rsidR="003A3157">
        <w:rPr>
          <w:rFonts w:ascii="Calibri" w:hAnsi="Calibri"/>
          <w:sz w:val="24"/>
          <w:szCs w:val="24"/>
        </w:rPr>
        <w:t>model</w:t>
      </w:r>
      <w:r w:rsidR="003A3157" w:rsidRPr="007354D0">
        <w:rPr>
          <w:rFonts w:ascii="Calibri" w:hAnsi="Calibri"/>
          <w:sz w:val="24"/>
          <w:szCs w:val="24"/>
        </w:rPr>
        <w:t xml:space="preserve"> </w:t>
      </w:r>
      <w:r w:rsidR="00DB0CF3" w:rsidRPr="007354D0">
        <w:rPr>
          <w:rFonts w:ascii="Calibri" w:hAnsi="Calibri"/>
          <w:sz w:val="24"/>
          <w:szCs w:val="24"/>
        </w:rPr>
        <w:t xml:space="preserve">may be necessary to eliminate impacts of </w:t>
      </w:r>
      <w:r w:rsidR="003A3157">
        <w:rPr>
          <w:rFonts w:ascii="Calibri" w:hAnsi="Calibri"/>
          <w:sz w:val="24"/>
          <w:szCs w:val="24"/>
        </w:rPr>
        <w:t>model</w:t>
      </w:r>
      <w:r w:rsidR="003A3157" w:rsidRPr="007354D0">
        <w:rPr>
          <w:rFonts w:ascii="Calibri" w:hAnsi="Calibri"/>
          <w:sz w:val="24"/>
          <w:szCs w:val="24"/>
        </w:rPr>
        <w:t xml:space="preserve"> </w:t>
      </w:r>
      <w:r w:rsidR="00DB0CF3" w:rsidRPr="007354D0">
        <w:rPr>
          <w:rFonts w:ascii="Calibri" w:hAnsi="Calibri"/>
          <w:sz w:val="24"/>
          <w:szCs w:val="24"/>
        </w:rPr>
        <w:t xml:space="preserve">development decisions such as extraordinary dispatch methods needed to make the initial SSWG </w:t>
      </w:r>
      <w:r w:rsidR="003A3157">
        <w:rPr>
          <w:rFonts w:ascii="Calibri" w:hAnsi="Calibri"/>
          <w:sz w:val="24"/>
          <w:szCs w:val="24"/>
        </w:rPr>
        <w:t>model</w:t>
      </w:r>
      <w:r w:rsidR="003A3157" w:rsidRPr="007354D0">
        <w:rPr>
          <w:rFonts w:ascii="Calibri" w:hAnsi="Calibri"/>
          <w:sz w:val="24"/>
          <w:szCs w:val="24"/>
        </w:rPr>
        <w:t xml:space="preserve"> </w:t>
      </w:r>
      <w:r w:rsidR="00DB0CF3" w:rsidRPr="007354D0">
        <w:rPr>
          <w:rFonts w:ascii="Calibri" w:hAnsi="Calibri"/>
          <w:sz w:val="24"/>
          <w:szCs w:val="24"/>
        </w:rPr>
        <w:t>solve.</w:t>
      </w:r>
    </w:p>
    <w:p w:rsidR="008D1485" w:rsidRPr="007354D0" w:rsidRDefault="008D1485" w:rsidP="009C1873">
      <w:pPr>
        <w:pStyle w:val="BodyA"/>
        <w:rPr>
          <w:rFonts w:ascii="Calibri" w:hAnsi="Calibri" w:cs="Helvetica"/>
          <w:sz w:val="24"/>
          <w:szCs w:val="24"/>
        </w:rPr>
      </w:pPr>
    </w:p>
    <w:p w:rsidR="008D1485" w:rsidRPr="007354D0" w:rsidRDefault="00DB0CF3">
      <w:pPr>
        <w:pStyle w:val="BodyA"/>
        <w:rPr>
          <w:rFonts w:ascii="Calibri" w:hAnsi="Calibri" w:cs="Helvetica"/>
          <w:sz w:val="26"/>
          <w:szCs w:val="26"/>
        </w:rPr>
      </w:pPr>
      <w:r w:rsidRPr="007354D0">
        <w:rPr>
          <w:rFonts w:ascii="Calibri" w:hAnsi="Calibri" w:cs="Helvetica"/>
          <w:sz w:val="26"/>
          <w:szCs w:val="26"/>
          <w:u w:val="single"/>
        </w:rPr>
        <w:t xml:space="preserve">Regional Transmission Plan </w:t>
      </w:r>
      <w:r w:rsidR="003A3157">
        <w:rPr>
          <w:rFonts w:ascii="Calibri" w:hAnsi="Calibri" w:cs="Helvetica"/>
          <w:sz w:val="26"/>
          <w:szCs w:val="26"/>
          <w:u w:val="single"/>
        </w:rPr>
        <w:t>Models</w:t>
      </w:r>
    </w:p>
    <w:p w:rsidR="008D1485" w:rsidRPr="007354D0" w:rsidRDefault="008D1485">
      <w:pPr>
        <w:pStyle w:val="BodyA"/>
        <w:rPr>
          <w:rFonts w:ascii="Calibri" w:hAnsi="Calibri" w:cs="Helvetica"/>
          <w:sz w:val="24"/>
          <w:szCs w:val="24"/>
        </w:rPr>
      </w:pPr>
    </w:p>
    <w:p w:rsidR="008D1485" w:rsidRPr="007354D0" w:rsidRDefault="00DB0CF3">
      <w:pPr>
        <w:pStyle w:val="BodyA"/>
        <w:rPr>
          <w:rFonts w:ascii="Calibri" w:hAnsi="Calibri" w:cs="Helvetica"/>
          <w:sz w:val="24"/>
          <w:szCs w:val="24"/>
        </w:rPr>
      </w:pPr>
      <w:r w:rsidRPr="007354D0">
        <w:rPr>
          <w:rFonts w:ascii="Calibri" w:hAnsi="Calibri" w:cs="Helvetica"/>
          <w:sz w:val="24"/>
          <w:szCs w:val="24"/>
        </w:rPr>
        <w:t xml:space="preserve">ERCOT develops two sets of </w:t>
      </w:r>
      <w:r w:rsidR="003A3157">
        <w:rPr>
          <w:rFonts w:ascii="Calibri" w:hAnsi="Calibri" w:cs="Helvetica"/>
          <w:sz w:val="24"/>
          <w:szCs w:val="24"/>
        </w:rPr>
        <w:t>models</w:t>
      </w:r>
      <w:r w:rsidR="003A3157" w:rsidRPr="007354D0">
        <w:rPr>
          <w:rFonts w:ascii="Calibri" w:hAnsi="Calibri" w:cs="Helvetica"/>
          <w:sz w:val="24"/>
          <w:szCs w:val="24"/>
        </w:rPr>
        <w:t xml:space="preserve"> </w:t>
      </w:r>
      <w:r w:rsidRPr="007354D0">
        <w:rPr>
          <w:rFonts w:ascii="Calibri" w:hAnsi="Calibri" w:cs="Helvetica"/>
          <w:sz w:val="24"/>
          <w:szCs w:val="24"/>
        </w:rPr>
        <w:t xml:space="preserve">as part of its annual Reliability Transmission Plan analysis:  </w:t>
      </w:r>
      <w:r w:rsidR="003A3157">
        <w:rPr>
          <w:rFonts w:ascii="Calibri" w:hAnsi="Calibri" w:cs="Helvetica"/>
          <w:sz w:val="24"/>
          <w:szCs w:val="24"/>
        </w:rPr>
        <w:t xml:space="preserve">models </w:t>
      </w:r>
      <w:r w:rsidRPr="007354D0">
        <w:rPr>
          <w:rFonts w:ascii="Calibri" w:hAnsi="Calibri" w:cs="Helvetica"/>
          <w:sz w:val="24"/>
          <w:szCs w:val="24"/>
        </w:rPr>
        <w:t>are developed to assess any transmission projects needed to meet the reliability criteria established in the NERC reliability standards</w:t>
      </w:r>
      <w:r w:rsidR="00591482" w:rsidRPr="007354D0">
        <w:rPr>
          <w:rFonts w:ascii="Calibri" w:hAnsi="Calibri" w:cs="Helvetica"/>
          <w:sz w:val="24"/>
          <w:szCs w:val="24"/>
        </w:rPr>
        <w:t>,</w:t>
      </w:r>
      <w:r w:rsidRPr="007354D0">
        <w:rPr>
          <w:rFonts w:ascii="Calibri" w:hAnsi="Calibri" w:cs="Helvetica"/>
          <w:sz w:val="24"/>
          <w:szCs w:val="24"/>
        </w:rPr>
        <w:t xml:space="preserve"> the ERCOT Protocols,</w:t>
      </w:r>
      <w:r w:rsidR="00591482" w:rsidRPr="007354D0">
        <w:rPr>
          <w:rFonts w:ascii="Calibri" w:hAnsi="Calibri" w:cs="Helvetica"/>
          <w:sz w:val="24"/>
          <w:szCs w:val="24"/>
        </w:rPr>
        <w:t xml:space="preserve"> and the ERCOT Planning Guide,</w:t>
      </w:r>
      <w:r w:rsidRPr="007354D0">
        <w:rPr>
          <w:rFonts w:ascii="Calibri" w:hAnsi="Calibri" w:cs="Helvetica"/>
          <w:sz w:val="24"/>
          <w:szCs w:val="24"/>
        </w:rPr>
        <w:t xml:space="preserve"> and </w:t>
      </w:r>
      <w:r w:rsidR="003A3157">
        <w:rPr>
          <w:rFonts w:ascii="Calibri" w:hAnsi="Calibri" w:cs="Helvetica"/>
          <w:sz w:val="24"/>
          <w:szCs w:val="24"/>
        </w:rPr>
        <w:t>models</w:t>
      </w:r>
      <w:r w:rsidR="003A3157" w:rsidRPr="007354D0">
        <w:rPr>
          <w:rFonts w:ascii="Calibri" w:hAnsi="Calibri" w:cs="Helvetica"/>
          <w:sz w:val="24"/>
          <w:szCs w:val="24"/>
        </w:rPr>
        <w:t xml:space="preserve"> </w:t>
      </w:r>
      <w:r w:rsidRPr="007354D0">
        <w:rPr>
          <w:rFonts w:ascii="Calibri" w:hAnsi="Calibri" w:cs="Helvetica"/>
          <w:sz w:val="24"/>
          <w:szCs w:val="24"/>
        </w:rPr>
        <w:t>are developed to assess the economic benefits from proposed transmission projects.</w:t>
      </w:r>
    </w:p>
    <w:p w:rsidR="008D1485" w:rsidRPr="007354D0" w:rsidRDefault="008D1485">
      <w:pPr>
        <w:pStyle w:val="BodyA"/>
        <w:rPr>
          <w:rFonts w:ascii="Calibri" w:hAnsi="Calibri" w:cs="Helvetica"/>
          <w:sz w:val="24"/>
          <w:szCs w:val="24"/>
        </w:rPr>
      </w:pPr>
    </w:p>
    <w:p w:rsidR="008D1485" w:rsidRPr="007354D0" w:rsidRDefault="00DB0CF3">
      <w:pPr>
        <w:pStyle w:val="Body"/>
        <w:rPr>
          <w:rFonts w:ascii="Calibri" w:eastAsia="Helvetica" w:hAnsi="Calibri" w:cs="Helvetica"/>
        </w:rPr>
      </w:pPr>
      <w:r w:rsidRPr="007354D0">
        <w:rPr>
          <w:rFonts w:ascii="Calibri" w:hAnsi="Calibri" w:cs="Helvetica"/>
        </w:rPr>
        <w:t xml:space="preserve">The RTP Reliability </w:t>
      </w:r>
      <w:r w:rsidR="003A3157">
        <w:rPr>
          <w:rFonts w:ascii="Calibri" w:hAnsi="Calibri" w:cs="Helvetica"/>
        </w:rPr>
        <w:t>Models</w:t>
      </w:r>
      <w:r w:rsidR="003A3157" w:rsidRPr="007354D0">
        <w:rPr>
          <w:rFonts w:ascii="Calibri" w:hAnsi="Calibri" w:cs="Helvetica"/>
        </w:rPr>
        <w:t xml:space="preserve"> </w:t>
      </w:r>
      <w:r w:rsidRPr="007354D0">
        <w:rPr>
          <w:rFonts w:ascii="Calibri" w:hAnsi="Calibri" w:cs="Helvetica"/>
        </w:rPr>
        <w:t xml:space="preserve">are created by ERCOT annually and are used to analyze steady-state system performance in regards to NERC and ERCOT reliability planning criteria.  These </w:t>
      </w:r>
      <w:r w:rsidR="003A3157">
        <w:rPr>
          <w:rFonts w:ascii="Calibri" w:hAnsi="Calibri" w:cs="Helvetica"/>
        </w:rPr>
        <w:t>models</w:t>
      </w:r>
      <w:r w:rsidR="003A3157" w:rsidRPr="007354D0">
        <w:rPr>
          <w:rFonts w:ascii="Calibri" w:hAnsi="Calibri" w:cs="Helvetica"/>
        </w:rPr>
        <w:t xml:space="preserve"> </w:t>
      </w:r>
      <w:r w:rsidRPr="007354D0">
        <w:rPr>
          <w:rFonts w:ascii="Calibri" w:hAnsi="Calibri" w:cs="Helvetica"/>
        </w:rPr>
        <w:t>are also used to evaluate transmission system upgrades when performance deficiencies are found.</w:t>
      </w:r>
    </w:p>
    <w:p w:rsidR="008D1485" w:rsidRPr="007354D0" w:rsidRDefault="008D1485">
      <w:pPr>
        <w:pStyle w:val="Body"/>
        <w:rPr>
          <w:rFonts w:ascii="Calibri" w:hAnsi="Calibri" w:cs="Helvetica"/>
        </w:rPr>
      </w:pPr>
    </w:p>
    <w:p w:rsidR="008D1485" w:rsidRPr="007354D0" w:rsidRDefault="00DB0CF3">
      <w:pPr>
        <w:pStyle w:val="Body"/>
        <w:rPr>
          <w:rFonts w:ascii="Calibri" w:hAnsi="Calibri" w:cs="Helvetica"/>
        </w:rPr>
      </w:pPr>
      <w:r w:rsidRPr="007354D0">
        <w:rPr>
          <w:rFonts w:ascii="Calibri" w:eastAsia="Arial Unicode MS" w:hAnsi="Calibri" w:cs="Helvetica"/>
        </w:rPr>
        <w:t xml:space="preserve">The RTP Reliability </w:t>
      </w:r>
      <w:r w:rsidR="003A3157">
        <w:rPr>
          <w:rFonts w:ascii="Calibri" w:eastAsia="Arial Unicode MS" w:hAnsi="Calibri" w:cs="Helvetica"/>
        </w:rPr>
        <w:t>Models</w:t>
      </w:r>
      <w:r w:rsidR="003A3157" w:rsidRPr="007354D0">
        <w:rPr>
          <w:rFonts w:ascii="Calibri" w:eastAsia="Arial Unicode MS" w:hAnsi="Calibri" w:cs="Helvetica"/>
        </w:rPr>
        <w:t xml:space="preserve"> </w:t>
      </w:r>
      <w:r w:rsidRPr="007354D0">
        <w:rPr>
          <w:rFonts w:ascii="Calibri" w:eastAsia="Arial Unicode MS" w:hAnsi="Calibri" w:cs="Helvetica"/>
        </w:rPr>
        <w:t>start from the SSWG base case</w:t>
      </w:r>
      <w:r w:rsidR="003A3157">
        <w:rPr>
          <w:rFonts w:ascii="Calibri" w:eastAsia="Arial Unicode MS" w:hAnsi="Calibri" w:cs="Helvetica"/>
        </w:rPr>
        <w:t xml:space="preserve"> models</w:t>
      </w:r>
      <w:r w:rsidRPr="007354D0">
        <w:rPr>
          <w:rFonts w:ascii="Calibri" w:eastAsia="Arial Unicode MS" w:hAnsi="Calibri" w:cs="Helvetica"/>
        </w:rPr>
        <w:t xml:space="preserve"> and are modified as specified in the Planning Guide and the annual RTP scope document.  The RTP scope document is presented by ERCOT to the Regional Planning Group (RPG) each year to communicate any case-specific assumptions not stipulated in the Planning Guides and to solicit stakeholder comments on the process and assumptions to be used in the upcoming analysis.  </w:t>
      </w:r>
    </w:p>
    <w:p w:rsidR="008D1485" w:rsidRPr="007354D0" w:rsidRDefault="008D1485">
      <w:pPr>
        <w:pStyle w:val="Body"/>
        <w:rPr>
          <w:rFonts w:ascii="Calibri" w:hAnsi="Calibri" w:cs="Helvetica"/>
        </w:rPr>
      </w:pPr>
    </w:p>
    <w:p w:rsidR="008D1485" w:rsidRPr="007354D0" w:rsidRDefault="00DB0CF3">
      <w:pPr>
        <w:pStyle w:val="Body"/>
        <w:rPr>
          <w:rFonts w:ascii="Calibri" w:hAnsi="Calibri" w:cs="Helvetica"/>
        </w:rPr>
      </w:pPr>
      <w:r w:rsidRPr="007354D0">
        <w:rPr>
          <w:rFonts w:ascii="Calibri" w:eastAsia="Arial Unicode MS" w:hAnsi="Calibri" w:cs="Helvetica"/>
        </w:rPr>
        <w:t>The SSWG base case</w:t>
      </w:r>
      <w:r w:rsidR="003A3157">
        <w:rPr>
          <w:rFonts w:ascii="Calibri" w:eastAsia="Arial Unicode MS" w:hAnsi="Calibri" w:cs="Helvetica"/>
        </w:rPr>
        <w:t xml:space="preserve"> models</w:t>
      </w:r>
      <w:r w:rsidRPr="007354D0">
        <w:rPr>
          <w:rFonts w:ascii="Calibri" w:eastAsia="Arial Unicode MS" w:hAnsi="Calibri" w:cs="Helvetica"/>
        </w:rPr>
        <w:t xml:space="preserve"> are modified because some of the assumptions contained in the SSWG </w:t>
      </w:r>
      <w:r w:rsidR="003A3157">
        <w:rPr>
          <w:rFonts w:ascii="Calibri" w:eastAsia="Arial Unicode MS" w:hAnsi="Calibri" w:cs="Helvetica"/>
        </w:rPr>
        <w:t>models</w:t>
      </w:r>
      <w:r w:rsidR="003A3157" w:rsidRPr="007354D0">
        <w:rPr>
          <w:rFonts w:ascii="Calibri" w:eastAsia="Arial Unicode MS" w:hAnsi="Calibri" w:cs="Helvetica"/>
        </w:rPr>
        <w:t xml:space="preserve"> </w:t>
      </w:r>
      <w:r w:rsidRPr="007354D0">
        <w:rPr>
          <w:rFonts w:ascii="Calibri" w:eastAsia="Arial Unicode MS" w:hAnsi="Calibri" w:cs="Helvetica"/>
        </w:rPr>
        <w:t xml:space="preserve">are not appropriate for the RTP studies.  Planning Guide Section 6.1(1) states, in part, “These case models…provide </w:t>
      </w:r>
      <w:r w:rsidRPr="007354D0">
        <w:rPr>
          <w:rFonts w:ascii="Calibri" w:eastAsia="Arial Unicode MS" w:hAnsi="Calibri" w:cs="Helvetica"/>
          <w:i/>
          <w:iCs/>
        </w:rPr>
        <w:t>a starting point</w:t>
      </w:r>
      <w:r w:rsidRPr="007354D0">
        <w:rPr>
          <w:rFonts w:ascii="Calibri" w:eastAsia="Arial Unicode MS" w:hAnsi="Calibri" w:cs="Helvetica"/>
        </w:rPr>
        <w:t xml:space="preserve"> for each required season and year” [emphasis added].  </w:t>
      </w:r>
      <w:r w:rsidR="00EE59C3" w:rsidRPr="007354D0">
        <w:rPr>
          <w:rFonts w:ascii="Calibri" w:eastAsia="Arial Unicode MS" w:hAnsi="Calibri" w:cs="Helvetica"/>
        </w:rPr>
        <w:t>For example, t</w:t>
      </w:r>
      <w:r w:rsidRPr="007354D0">
        <w:rPr>
          <w:rFonts w:ascii="Calibri" w:eastAsia="Arial Unicode MS" w:hAnsi="Calibri" w:cs="Helvetica"/>
        </w:rPr>
        <w:t xml:space="preserve">he following </w:t>
      </w:r>
      <w:r w:rsidR="00EE59C3" w:rsidRPr="007354D0">
        <w:rPr>
          <w:rFonts w:ascii="Calibri" w:eastAsia="Arial Unicode MS" w:hAnsi="Calibri" w:cs="Helvetica"/>
        </w:rPr>
        <w:t>adjustments to the SSWG base case</w:t>
      </w:r>
      <w:r w:rsidR="003A3157">
        <w:rPr>
          <w:rFonts w:ascii="Calibri" w:eastAsia="Arial Unicode MS" w:hAnsi="Calibri" w:cs="Helvetica"/>
        </w:rPr>
        <w:t xml:space="preserve"> models</w:t>
      </w:r>
      <w:r w:rsidR="00EE59C3" w:rsidRPr="007354D0">
        <w:rPr>
          <w:rFonts w:ascii="Calibri" w:eastAsia="Arial Unicode MS" w:hAnsi="Calibri" w:cs="Helvetica"/>
        </w:rPr>
        <w:t xml:space="preserve"> </w:t>
      </w:r>
      <w:r w:rsidRPr="007354D0">
        <w:rPr>
          <w:rFonts w:ascii="Calibri" w:eastAsia="Arial Unicode MS" w:hAnsi="Calibri" w:cs="Helvetica"/>
        </w:rPr>
        <w:t xml:space="preserve">are </w:t>
      </w:r>
      <w:r w:rsidR="00EE59C3" w:rsidRPr="007354D0">
        <w:rPr>
          <w:rFonts w:ascii="Calibri" w:eastAsia="Arial Unicode MS" w:hAnsi="Calibri" w:cs="Helvetica"/>
        </w:rPr>
        <w:t xml:space="preserve">typically made </w:t>
      </w:r>
      <w:r w:rsidRPr="007354D0">
        <w:rPr>
          <w:rFonts w:ascii="Calibri" w:eastAsia="Arial Unicode MS" w:hAnsi="Calibri" w:cs="Helvetica"/>
        </w:rPr>
        <w:t xml:space="preserve">to create the RTP Reliability </w:t>
      </w:r>
      <w:r w:rsidR="00A83AE5">
        <w:rPr>
          <w:rFonts w:ascii="Calibri" w:eastAsia="Arial Unicode MS" w:hAnsi="Calibri" w:cs="Helvetica"/>
        </w:rPr>
        <w:t>Model</w:t>
      </w:r>
      <w:r w:rsidR="00A83AE5" w:rsidRPr="007354D0">
        <w:rPr>
          <w:rFonts w:ascii="Calibri" w:eastAsia="Arial Unicode MS" w:hAnsi="Calibri" w:cs="Helvetica"/>
        </w:rPr>
        <w:t>s</w:t>
      </w:r>
      <w:r w:rsidRPr="007354D0">
        <w:rPr>
          <w:rFonts w:ascii="Calibri" w:eastAsia="Arial Unicode MS" w:hAnsi="Calibri" w:cs="Helvetica"/>
        </w:rPr>
        <w:t>:</w:t>
      </w:r>
    </w:p>
    <w:p w:rsidR="008D1485" w:rsidRPr="007354D0" w:rsidRDefault="00994BAF" w:rsidP="00DB0CF3">
      <w:pPr>
        <w:pStyle w:val="Body"/>
        <w:numPr>
          <w:ilvl w:val="0"/>
          <w:numId w:val="50"/>
        </w:numPr>
        <w:spacing w:before="120"/>
        <w:rPr>
          <w:rFonts w:ascii="Calibri" w:hAnsi="Calibri" w:cs="Helvetica"/>
        </w:rPr>
      </w:pPr>
      <w:r w:rsidRPr="007354D0">
        <w:rPr>
          <w:rFonts w:ascii="Calibri" w:eastAsia="Arial Unicode MS" w:hAnsi="Calibri" w:cs="Helvetica"/>
        </w:rPr>
        <w:t>A</w:t>
      </w:r>
      <w:r w:rsidR="004D03B8" w:rsidRPr="007354D0">
        <w:rPr>
          <w:rFonts w:ascii="Calibri" w:eastAsia="Arial Unicode MS" w:hAnsi="Calibri" w:cs="Helvetica"/>
        </w:rPr>
        <w:t xml:space="preserve"> transmission project is removed if it (1) is</w:t>
      </w:r>
      <w:r w:rsidR="00DB0CF3" w:rsidRPr="007354D0">
        <w:rPr>
          <w:rFonts w:ascii="Calibri" w:eastAsia="Arial Unicode MS" w:hAnsi="Calibri" w:cs="Helvetica"/>
        </w:rPr>
        <w:t xml:space="preserve"> classified as </w:t>
      </w:r>
      <w:r w:rsidR="004D03B8" w:rsidRPr="007354D0">
        <w:rPr>
          <w:rFonts w:ascii="Calibri" w:eastAsia="Arial Unicode MS" w:hAnsi="Calibri" w:cs="Helvetica"/>
        </w:rPr>
        <w:t xml:space="preserve">a </w:t>
      </w:r>
      <w:r w:rsidR="00DB0CF3" w:rsidRPr="007354D0">
        <w:rPr>
          <w:rFonts w:ascii="Calibri" w:eastAsia="Arial Unicode MS" w:hAnsi="Calibri" w:cs="Helvetica"/>
        </w:rPr>
        <w:t xml:space="preserve">Tier 1, 2, or 3 </w:t>
      </w:r>
      <w:r w:rsidR="004D03B8" w:rsidRPr="007354D0">
        <w:rPr>
          <w:rFonts w:ascii="Calibri" w:eastAsia="Arial Unicode MS" w:hAnsi="Calibri" w:cs="Helvetica"/>
        </w:rPr>
        <w:t>project</w:t>
      </w:r>
      <w:r w:rsidRPr="007354D0">
        <w:rPr>
          <w:rStyle w:val="FootnoteReference"/>
          <w:rFonts w:ascii="Calibri" w:eastAsia="Arial Unicode MS" w:hAnsi="Calibri" w:cs="Helvetica"/>
        </w:rPr>
        <w:footnoteReference w:id="2"/>
      </w:r>
      <w:r w:rsidR="004D03B8" w:rsidRPr="007354D0">
        <w:rPr>
          <w:rFonts w:ascii="Calibri" w:eastAsia="Arial Unicode MS" w:hAnsi="Calibri" w:cs="Helvetica"/>
        </w:rPr>
        <w:t>,</w:t>
      </w:r>
      <w:r w:rsidR="00DB0CF3" w:rsidRPr="007354D0">
        <w:rPr>
          <w:rFonts w:ascii="Calibri" w:eastAsia="Arial Unicode MS" w:hAnsi="Calibri" w:cs="Helvetica"/>
        </w:rPr>
        <w:t xml:space="preserve"> and </w:t>
      </w:r>
      <w:r w:rsidR="004D03B8" w:rsidRPr="007354D0">
        <w:rPr>
          <w:rFonts w:ascii="Calibri" w:eastAsia="Arial Unicode MS" w:hAnsi="Calibri" w:cs="Helvetica"/>
        </w:rPr>
        <w:t xml:space="preserve">(2) has </w:t>
      </w:r>
      <w:r w:rsidR="00DB0CF3" w:rsidRPr="007354D0">
        <w:rPr>
          <w:rFonts w:ascii="Calibri" w:eastAsia="Arial Unicode MS" w:hAnsi="Calibri" w:cs="Helvetica"/>
        </w:rPr>
        <w:t>not</w:t>
      </w:r>
      <w:r w:rsidR="00B5740F" w:rsidRPr="007354D0">
        <w:rPr>
          <w:rFonts w:ascii="Calibri" w:eastAsia="Arial Unicode MS" w:hAnsi="Calibri" w:cs="Helvetica"/>
        </w:rPr>
        <w:t xml:space="preserve"> completed</w:t>
      </w:r>
      <w:r w:rsidR="00DB0CF3" w:rsidRPr="007354D0">
        <w:rPr>
          <w:rFonts w:ascii="Calibri" w:eastAsia="Arial Unicode MS" w:hAnsi="Calibri" w:cs="Helvetica"/>
        </w:rPr>
        <w:t xml:space="preserve"> RPG Project Review.</w:t>
      </w:r>
      <w:r w:rsidRPr="007354D0">
        <w:rPr>
          <w:rStyle w:val="FootnoteReference"/>
          <w:rFonts w:ascii="Calibri" w:eastAsia="Arial Unicode MS" w:hAnsi="Calibri" w:cs="Helvetica"/>
        </w:rPr>
        <w:footnoteReference w:id="3"/>
      </w:r>
    </w:p>
    <w:p w:rsidR="008D1485" w:rsidRPr="007354D0" w:rsidRDefault="00DB0CF3" w:rsidP="00DB0CF3">
      <w:pPr>
        <w:pStyle w:val="Body"/>
        <w:numPr>
          <w:ilvl w:val="0"/>
          <w:numId w:val="50"/>
        </w:numPr>
        <w:spacing w:before="120"/>
        <w:rPr>
          <w:rFonts w:ascii="Calibri" w:hAnsi="Calibri" w:cs="Helvetica"/>
        </w:rPr>
      </w:pPr>
      <w:r w:rsidRPr="007354D0">
        <w:rPr>
          <w:rFonts w:ascii="Calibri" w:eastAsia="Arial Unicode MS" w:hAnsi="Calibri" w:cs="Helvetica"/>
        </w:rPr>
        <w:t xml:space="preserve">ERCOT compares its </w:t>
      </w:r>
      <w:r w:rsidR="00994BAF" w:rsidRPr="007354D0">
        <w:rPr>
          <w:rFonts w:ascii="Calibri" w:eastAsia="Arial Unicode MS" w:hAnsi="Calibri" w:cs="Helvetica"/>
        </w:rPr>
        <w:t>90</w:t>
      </w:r>
      <w:r w:rsidR="00994BAF" w:rsidRPr="007354D0">
        <w:rPr>
          <w:rFonts w:ascii="Calibri" w:eastAsia="Arial Unicode MS" w:hAnsi="Calibri" w:cs="Helvetica"/>
          <w:vertAlign w:val="superscript"/>
        </w:rPr>
        <w:t>th</w:t>
      </w:r>
      <w:r w:rsidR="00994BAF" w:rsidRPr="007354D0">
        <w:rPr>
          <w:rFonts w:ascii="Calibri" w:eastAsia="Arial Unicode MS" w:hAnsi="Calibri" w:cs="Helvetica"/>
        </w:rPr>
        <w:t xml:space="preserve"> </w:t>
      </w:r>
      <w:r w:rsidRPr="007354D0">
        <w:rPr>
          <w:rFonts w:ascii="Calibri" w:eastAsia="Arial Unicode MS" w:hAnsi="Calibri" w:cs="Helvetica"/>
        </w:rPr>
        <w:t>percentile load forecast</w:t>
      </w:r>
      <w:r w:rsidR="00994BAF" w:rsidRPr="007354D0">
        <w:rPr>
          <w:rStyle w:val="FootnoteReference"/>
          <w:rFonts w:ascii="Calibri" w:eastAsia="Arial Unicode MS" w:hAnsi="Calibri" w:cs="Helvetica"/>
        </w:rPr>
        <w:footnoteReference w:id="4"/>
      </w:r>
      <w:r w:rsidRPr="007354D0">
        <w:rPr>
          <w:rFonts w:ascii="Calibri" w:eastAsia="Arial Unicode MS" w:hAnsi="Calibri" w:cs="Helvetica"/>
        </w:rPr>
        <w:t xml:space="preserve"> to the load forecast contained in the SSWG </w:t>
      </w:r>
      <w:r w:rsidR="00A83AE5">
        <w:rPr>
          <w:rFonts w:ascii="Calibri" w:eastAsia="Arial Unicode MS" w:hAnsi="Calibri" w:cs="Helvetica"/>
        </w:rPr>
        <w:t>models</w:t>
      </w:r>
      <w:r w:rsidR="00A83AE5" w:rsidRPr="007354D0">
        <w:rPr>
          <w:rFonts w:ascii="Calibri" w:eastAsia="Arial Unicode MS" w:hAnsi="Calibri" w:cs="Helvetica"/>
        </w:rPr>
        <w:t xml:space="preserve"> </w:t>
      </w:r>
      <w:r w:rsidRPr="007354D0">
        <w:rPr>
          <w:rFonts w:ascii="Calibri" w:eastAsia="Arial Unicode MS" w:hAnsi="Calibri" w:cs="Helvetica"/>
        </w:rPr>
        <w:t>by weather zone and uses the higher of the two.</w:t>
      </w:r>
    </w:p>
    <w:p w:rsidR="008D1485" w:rsidRPr="007354D0" w:rsidRDefault="008214A9" w:rsidP="00DB0CF3">
      <w:pPr>
        <w:pStyle w:val="Body"/>
        <w:numPr>
          <w:ilvl w:val="0"/>
          <w:numId w:val="50"/>
        </w:numPr>
        <w:spacing w:before="120"/>
        <w:rPr>
          <w:rFonts w:ascii="Calibri" w:hAnsi="Calibri" w:cs="Helvetica"/>
        </w:rPr>
      </w:pPr>
      <w:r w:rsidRPr="007354D0">
        <w:rPr>
          <w:rFonts w:ascii="Calibri" w:eastAsia="Arial Unicode MS" w:hAnsi="Calibri" w:cs="Helvetica"/>
        </w:rPr>
        <w:lastRenderedPageBreak/>
        <w:t xml:space="preserve">If there </w:t>
      </w:r>
      <w:r w:rsidR="00437345" w:rsidRPr="007354D0">
        <w:rPr>
          <w:rFonts w:ascii="Calibri" w:eastAsia="Arial Unicode MS" w:hAnsi="Calibri" w:cs="Helvetica"/>
        </w:rPr>
        <w:t>are</w:t>
      </w:r>
      <w:r w:rsidRPr="007354D0">
        <w:rPr>
          <w:rFonts w:ascii="Calibri" w:eastAsia="Arial Unicode MS" w:hAnsi="Calibri" w:cs="Helvetica"/>
        </w:rPr>
        <w:t xml:space="preserve"> not enough</w:t>
      </w:r>
      <w:r w:rsidR="00437345" w:rsidRPr="007354D0">
        <w:rPr>
          <w:rFonts w:ascii="Calibri" w:eastAsia="Arial Unicode MS" w:hAnsi="Calibri" w:cs="Helvetica"/>
        </w:rPr>
        <w:t xml:space="preserve"> resources</w:t>
      </w:r>
      <w:r w:rsidRPr="007354D0">
        <w:rPr>
          <w:rFonts w:ascii="Calibri" w:eastAsia="Arial Unicode MS" w:hAnsi="Calibri" w:cs="Helvetica"/>
        </w:rPr>
        <w:t xml:space="preserve"> to meet the load, t</w:t>
      </w:r>
      <w:r w:rsidR="0059207D" w:rsidRPr="007354D0">
        <w:rPr>
          <w:rFonts w:ascii="Calibri" w:eastAsia="Arial Unicode MS" w:hAnsi="Calibri" w:cs="Helvetica"/>
        </w:rPr>
        <w:t xml:space="preserve">he </w:t>
      </w:r>
      <w:r w:rsidR="00A83AE5">
        <w:rPr>
          <w:rFonts w:ascii="Calibri" w:eastAsia="Arial Unicode MS" w:hAnsi="Calibri" w:cs="Helvetica"/>
        </w:rPr>
        <w:t>model</w:t>
      </w:r>
      <w:r w:rsidR="00A83AE5" w:rsidRPr="007354D0">
        <w:rPr>
          <w:rFonts w:ascii="Calibri" w:eastAsia="Arial Unicode MS" w:hAnsi="Calibri" w:cs="Helvetica"/>
        </w:rPr>
        <w:t xml:space="preserve"> </w:t>
      </w:r>
      <w:r w:rsidR="0059207D" w:rsidRPr="007354D0">
        <w:rPr>
          <w:rFonts w:ascii="Calibri" w:eastAsia="Arial Unicode MS" w:hAnsi="Calibri" w:cs="Helvetica"/>
        </w:rPr>
        <w:t>is split into two or more regions (i.e., groups of weather zones) and l</w:t>
      </w:r>
      <w:r w:rsidR="00DB0CF3" w:rsidRPr="007354D0">
        <w:rPr>
          <w:rFonts w:ascii="Calibri" w:eastAsia="Arial Unicode MS" w:hAnsi="Calibri" w:cs="Helvetica"/>
        </w:rPr>
        <w:t xml:space="preserve">oads </w:t>
      </w:r>
      <w:r w:rsidR="0059207D" w:rsidRPr="007354D0">
        <w:rPr>
          <w:rFonts w:ascii="Calibri" w:eastAsia="Arial Unicode MS" w:hAnsi="Calibri" w:cs="Helvetica"/>
        </w:rPr>
        <w:t xml:space="preserve">outside the region being studied </w:t>
      </w:r>
      <w:r w:rsidR="00DB0CF3" w:rsidRPr="007354D0">
        <w:rPr>
          <w:rFonts w:ascii="Calibri" w:eastAsia="Arial Unicode MS" w:hAnsi="Calibri" w:cs="Helvetica"/>
        </w:rPr>
        <w:t xml:space="preserve">are scaled </w:t>
      </w:r>
      <w:r w:rsidR="0059207D" w:rsidRPr="007354D0">
        <w:rPr>
          <w:rFonts w:ascii="Calibri" w:eastAsia="Arial Unicode MS" w:hAnsi="Calibri" w:cs="Helvetica"/>
        </w:rPr>
        <w:t xml:space="preserve">down </w:t>
      </w:r>
      <w:r w:rsidR="00DB0CF3" w:rsidRPr="007354D0">
        <w:rPr>
          <w:rFonts w:ascii="Calibri" w:eastAsia="Arial Unicode MS" w:hAnsi="Calibri" w:cs="Helvetica"/>
        </w:rPr>
        <w:t xml:space="preserve">to achieve balance with resources.  </w:t>
      </w:r>
    </w:p>
    <w:p w:rsidR="008D1485" w:rsidRPr="007354D0" w:rsidRDefault="003B2D94" w:rsidP="0065182D">
      <w:pPr>
        <w:pStyle w:val="Body"/>
        <w:numPr>
          <w:ilvl w:val="0"/>
          <w:numId w:val="50"/>
        </w:numPr>
        <w:spacing w:before="120"/>
        <w:rPr>
          <w:rFonts w:ascii="Calibri" w:hAnsi="Calibri" w:cs="Helvetica"/>
        </w:rPr>
      </w:pPr>
      <w:r w:rsidRPr="007354D0">
        <w:rPr>
          <w:rFonts w:ascii="Calibri" w:eastAsia="Arial Unicode MS" w:hAnsi="Calibri" w:cs="Helvetica"/>
        </w:rPr>
        <w:t>T</w:t>
      </w:r>
      <w:r w:rsidR="00DB0CF3" w:rsidRPr="007354D0">
        <w:rPr>
          <w:rFonts w:ascii="Calibri" w:eastAsia="Arial Unicode MS" w:hAnsi="Calibri" w:cs="Helvetica"/>
        </w:rPr>
        <w:t xml:space="preserve">he set of generation units matches the SSWG </w:t>
      </w:r>
      <w:r w:rsidR="00A83AE5">
        <w:rPr>
          <w:rFonts w:ascii="Calibri" w:eastAsia="Arial Unicode MS" w:hAnsi="Calibri" w:cs="Helvetica"/>
        </w:rPr>
        <w:t>models</w:t>
      </w:r>
      <w:r w:rsidR="00A83AE5" w:rsidRPr="007354D0">
        <w:rPr>
          <w:rFonts w:ascii="Calibri" w:eastAsia="Arial Unicode MS" w:hAnsi="Calibri" w:cs="Helvetica"/>
        </w:rPr>
        <w:t xml:space="preserve"> </w:t>
      </w:r>
      <w:r w:rsidR="00DB0CF3" w:rsidRPr="007354D0">
        <w:rPr>
          <w:rFonts w:ascii="Calibri" w:eastAsia="Arial Unicode MS" w:hAnsi="Calibri" w:cs="Helvetica"/>
        </w:rPr>
        <w:t xml:space="preserve">in accordance with Planning Guide Section 6.9.  However, changes in generation dispatch assumptions are listed in the RTP scope document.  </w:t>
      </w:r>
      <w:r w:rsidR="000A696C" w:rsidRPr="007354D0">
        <w:rPr>
          <w:rFonts w:ascii="Calibri" w:eastAsia="Arial Unicode MS" w:hAnsi="Calibri" w:cs="Helvetica"/>
        </w:rPr>
        <w:t>These changes typically include modeling wind generation at a lower, more conservative output level, and turning off mothballed units in the area of study.  Generation dispatch changes will be made during the course of the analysis in order to eliminate or minimize overloads on the system, similar to Security Constrained Economic Dispatch, which is performed in real-time.</w:t>
      </w:r>
      <w:r w:rsidR="004A61E3" w:rsidRPr="007354D0">
        <w:rPr>
          <w:rFonts w:ascii="Calibri" w:eastAsia="Arial Unicode MS" w:hAnsi="Calibri" w:cs="Helvetica"/>
        </w:rPr>
        <w:t xml:space="preserve"> </w:t>
      </w:r>
    </w:p>
    <w:p w:rsidR="008D1485" w:rsidRPr="007354D0" w:rsidRDefault="00DB0CF3" w:rsidP="00DB0CF3">
      <w:pPr>
        <w:pStyle w:val="Body"/>
        <w:numPr>
          <w:ilvl w:val="0"/>
          <w:numId w:val="50"/>
        </w:numPr>
        <w:spacing w:before="120"/>
        <w:rPr>
          <w:rFonts w:ascii="Calibri" w:hAnsi="Calibri" w:cs="Helvetica"/>
        </w:rPr>
      </w:pPr>
      <w:r w:rsidRPr="007354D0">
        <w:rPr>
          <w:rFonts w:ascii="Calibri" w:eastAsia="Arial Unicode MS" w:hAnsi="Calibri" w:cs="Helvetica"/>
        </w:rPr>
        <w:t>DC Ties are modeled according to their historical performance.</w:t>
      </w:r>
    </w:p>
    <w:p w:rsidR="008D1485" w:rsidRPr="007354D0" w:rsidRDefault="00DB0CF3" w:rsidP="00DB0CF3">
      <w:pPr>
        <w:pStyle w:val="Body"/>
        <w:numPr>
          <w:ilvl w:val="0"/>
          <w:numId w:val="50"/>
        </w:numPr>
        <w:spacing w:before="120"/>
        <w:rPr>
          <w:rFonts w:ascii="Calibri" w:hAnsi="Calibri" w:cs="Helvetica"/>
        </w:rPr>
      </w:pPr>
      <w:r w:rsidRPr="007354D0">
        <w:rPr>
          <w:rFonts w:ascii="Calibri" w:eastAsia="Arial Unicode MS" w:hAnsi="Calibri" w:cs="Helvetica"/>
        </w:rPr>
        <w:t xml:space="preserve">Beginning </w:t>
      </w:r>
      <w:r w:rsidR="00EE59C3" w:rsidRPr="007354D0">
        <w:rPr>
          <w:rFonts w:ascii="Calibri" w:eastAsia="Arial Unicode MS" w:hAnsi="Calibri" w:cs="Helvetica"/>
        </w:rPr>
        <w:t>in 2015</w:t>
      </w:r>
      <w:r w:rsidRPr="007354D0">
        <w:rPr>
          <w:rFonts w:ascii="Calibri" w:eastAsia="Arial Unicode MS" w:hAnsi="Calibri" w:cs="Helvetica"/>
        </w:rPr>
        <w:t>, the RTP Reliability</w:t>
      </w:r>
      <w:r w:rsidR="00A83AE5">
        <w:rPr>
          <w:rFonts w:ascii="Calibri" w:eastAsia="Arial Unicode MS" w:hAnsi="Calibri" w:cs="Helvetica"/>
        </w:rPr>
        <w:t xml:space="preserve"> Models</w:t>
      </w:r>
      <w:r w:rsidRPr="007354D0">
        <w:rPr>
          <w:rFonts w:ascii="Calibri" w:eastAsia="Arial Unicode MS" w:hAnsi="Calibri" w:cs="Helvetica"/>
        </w:rPr>
        <w:t xml:space="preserve"> include dynamic ratings for transmission lines corresponding to a 90</w:t>
      </w:r>
      <w:r w:rsidRPr="007354D0">
        <w:rPr>
          <w:rFonts w:ascii="Calibri" w:eastAsia="Arial Unicode MS" w:hAnsi="Calibri" w:cs="Helvetica"/>
          <w:vertAlign w:val="superscript"/>
        </w:rPr>
        <w:t>th</w:t>
      </w:r>
      <w:r w:rsidRPr="007354D0">
        <w:rPr>
          <w:rFonts w:ascii="Calibri" w:eastAsia="Arial Unicode MS" w:hAnsi="Calibri" w:cs="Helvetica"/>
        </w:rPr>
        <w:t xml:space="preserve"> percentile temperature by weather zone.  This change only applies to existing transmission lines that have dynamic ratings specified by the appropriate TSP. </w:t>
      </w:r>
    </w:p>
    <w:p w:rsidR="008D1485" w:rsidRPr="007354D0" w:rsidRDefault="008D1485">
      <w:pPr>
        <w:pStyle w:val="Body"/>
        <w:rPr>
          <w:rFonts w:ascii="Calibri" w:hAnsi="Calibri" w:cs="Helvetica"/>
        </w:rPr>
      </w:pPr>
    </w:p>
    <w:p w:rsidR="008D1485" w:rsidRPr="007354D0" w:rsidRDefault="00DB0CF3">
      <w:pPr>
        <w:pStyle w:val="Body"/>
        <w:rPr>
          <w:rFonts w:ascii="Calibri" w:hAnsi="Calibri" w:cs="Helvetica"/>
        </w:rPr>
      </w:pPr>
      <w:r w:rsidRPr="007354D0">
        <w:rPr>
          <w:rFonts w:ascii="Calibri" w:eastAsia="Arial Unicode MS" w:hAnsi="Calibri" w:cs="Helvetica"/>
        </w:rPr>
        <w:t xml:space="preserve">Following completion of studies to assess needed reliability projects, ERCOT uses the RTP Economic </w:t>
      </w:r>
      <w:r w:rsidR="00A83AE5">
        <w:rPr>
          <w:rFonts w:ascii="Calibri" w:eastAsia="Arial Unicode MS" w:hAnsi="Calibri" w:cs="Helvetica"/>
        </w:rPr>
        <w:t>Model</w:t>
      </w:r>
      <w:r w:rsidR="00A83AE5" w:rsidRPr="007354D0">
        <w:rPr>
          <w:rFonts w:ascii="Calibri" w:eastAsia="Arial Unicode MS" w:hAnsi="Calibri" w:cs="Helvetica"/>
        </w:rPr>
        <w:t xml:space="preserve">s </w:t>
      </w:r>
      <w:r w:rsidRPr="007354D0">
        <w:rPr>
          <w:rFonts w:ascii="Calibri" w:eastAsia="Arial Unicode MS" w:hAnsi="Calibri" w:cs="Helvetica"/>
        </w:rPr>
        <w:t xml:space="preserve">to evaluate expected future year transmission congestion and to plan any viable economic transmission upgrades.  This economic analysis is conducted using hourly production cost simulation </w:t>
      </w:r>
      <w:r w:rsidRPr="007354D0">
        <w:rPr>
          <w:rFonts w:ascii="Calibri" w:eastAsia="Arial Unicode MS" w:hAnsi="Calibri" w:cs="Helvetica"/>
          <w:lang w:val="de-DE"/>
        </w:rPr>
        <w:t>software</w:t>
      </w:r>
      <w:r w:rsidRPr="007354D0">
        <w:rPr>
          <w:rFonts w:ascii="Calibri" w:eastAsia="Arial Unicode MS" w:hAnsi="Calibri" w:cs="Helvetica"/>
        </w:rPr>
        <w:t xml:space="preserve">, such as UPLAN.  The economic analysis begins with the final transmission topology resulting from the RTP reliability analysis.  </w:t>
      </w:r>
    </w:p>
    <w:p w:rsidR="008D1485" w:rsidRPr="007354D0" w:rsidRDefault="008D1485">
      <w:pPr>
        <w:pStyle w:val="Body"/>
        <w:rPr>
          <w:rFonts w:ascii="Calibri" w:hAnsi="Calibri" w:cs="Helvetica"/>
        </w:rPr>
      </w:pPr>
    </w:p>
    <w:p w:rsidR="008D1485" w:rsidRPr="007354D0" w:rsidRDefault="00DB0CF3">
      <w:pPr>
        <w:pStyle w:val="Body"/>
        <w:rPr>
          <w:rFonts w:ascii="Calibri" w:hAnsi="Calibri" w:cs="Helvetica"/>
        </w:rPr>
      </w:pPr>
      <w:r w:rsidRPr="007354D0">
        <w:rPr>
          <w:rFonts w:ascii="Calibri" w:eastAsia="Arial Unicode MS" w:hAnsi="Calibri" w:cs="Helvetica"/>
        </w:rPr>
        <w:t xml:space="preserve">The generation set is the same as that of the RTP Reliability </w:t>
      </w:r>
      <w:r w:rsidR="00A83AE5">
        <w:rPr>
          <w:rFonts w:ascii="Calibri" w:eastAsia="Arial Unicode MS" w:hAnsi="Calibri" w:cs="Helvetica"/>
        </w:rPr>
        <w:t>Models</w:t>
      </w:r>
      <w:r w:rsidR="00A83AE5" w:rsidRPr="007354D0">
        <w:rPr>
          <w:rFonts w:ascii="Calibri" w:eastAsia="Arial Unicode MS" w:hAnsi="Calibri" w:cs="Helvetica"/>
        </w:rPr>
        <w:t xml:space="preserve"> </w:t>
      </w:r>
      <w:r w:rsidRPr="007354D0">
        <w:rPr>
          <w:rFonts w:ascii="Calibri" w:eastAsia="Arial Unicode MS" w:hAnsi="Calibri" w:cs="Helvetica"/>
        </w:rPr>
        <w:t xml:space="preserve">but may be updated to include any generation units that achieved Planning Guide Section 6.9 requirements after the RTP Reliability </w:t>
      </w:r>
      <w:r w:rsidR="00A83AE5">
        <w:rPr>
          <w:rFonts w:ascii="Calibri" w:eastAsia="Arial Unicode MS" w:hAnsi="Calibri" w:cs="Helvetica"/>
        </w:rPr>
        <w:t>Models</w:t>
      </w:r>
      <w:r w:rsidRPr="007354D0">
        <w:rPr>
          <w:rFonts w:ascii="Calibri" w:eastAsia="Arial Unicode MS" w:hAnsi="Calibri" w:cs="Helvetica"/>
        </w:rPr>
        <w:t xml:space="preserve"> were created.  The grid simulation software uses unit-specific cost and operational information, such as heat rates, startup costs, minimum up-times and down-times, to simulate Reliability Unit Commitment and Security Constrained Economic Dispatch.  Wind, solar, and hydro-electric units are modeled with 8760-hour output </w:t>
      </w:r>
      <w:r w:rsidRPr="007354D0">
        <w:rPr>
          <w:rFonts w:ascii="Calibri" w:eastAsia="Arial Unicode MS" w:hAnsi="Calibri" w:cs="Helvetica"/>
          <w:lang w:val="fr-FR"/>
        </w:rPr>
        <w:t xml:space="preserve">profiles </w:t>
      </w:r>
      <w:r w:rsidRPr="007354D0">
        <w:rPr>
          <w:rFonts w:ascii="Calibri" w:eastAsia="Arial Unicode MS" w:hAnsi="Calibri" w:cs="Helvetica"/>
        </w:rPr>
        <w:t>reflecting weather conditions consistent with modeled hourly loads.</w:t>
      </w:r>
    </w:p>
    <w:p w:rsidR="008D1485" w:rsidRPr="007354D0" w:rsidRDefault="008D1485">
      <w:pPr>
        <w:pStyle w:val="Body"/>
        <w:rPr>
          <w:rFonts w:ascii="Calibri" w:hAnsi="Calibri" w:cs="Helvetica"/>
        </w:rPr>
      </w:pPr>
    </w:p>
    <w:p w:rsidR="008D1485" w:rsidRPr="007354D0" w:rsidRDefault="00DB0CF3" w:rsidP="007354D0">
      <w:pPr>
        <w:pStyle w:val="Body"/>
        <w:rPr>
          <w:rFonts w:ascii="Calibri" w:hAnsi="Calibri"/>
          <w:b/>
          <w:sz w:val="28"/>
          <w:szCs w:val="28"/>
        </w:rPr>
      </w:pPr>
      <w:r w:rsidRPr="007354D0">
        <w:rPr>
          <w:rFonts w:ascii="Calibri" w:eastAsia="Arial Unicode MS" w:hAnsi="Calibri" w:cs="Helvetica"/>
        </w:rPr>
        <w:t xml:space="preserve">The RTP Economic </w:t>
      </w:r>
      <w:r w:rsidR="00A83AE5">
        <w:rPr>
          <w:rFonts w:ascii="Calibri" w:eastAsia="Arial Unicode MS" w:hAnsi="Calibri" w:cs="Helvetica"/>
        </w:rPr>
        <w:t>Models</w:t>
      </w:r>
      <w:r w:rsidRPr="007354D0">
        <w:rPr>
          <w:rFonts w:ascii="Calibri" w:eastAsia="Arial Unicode MS" w:hAnsi="Calibri" w:cs="Helvetica"/>
        </w:rPr>
        <w:t xml:space="preserve"> use the 8760-hour average weather (or 50/50) load forecast developed as part of the ERCOT Long-Term Hourly Peak Demand and Energy Forecast.  Transmission projects evaluated as part of the economic analysis must achieve sufficient system cost savings to offset their cost of construction and operation in order to be endorsed.  As such, it is important that the model output represent expected cost savings.  Using a 90/10 forecast, similar to the RTP </w:t>
      </w:r>
      <w:r w:rsidR="00A83AE5">
        <w:rPr>
          <w:rFonts w:ascii="Calibri" w:eastAsia="Arial Unicode MS" w:hAnsi="Calibri" w:cs="Helvetica"/>
        </w:rPr>
        <w:t>R</w:t>
      </w:r>
      <w:r w:rsidRPr="007354D0">
        <w:rPr>
          <w:rFonts w:ascii="Calibri" w:eastAsia="Arial Unicode MS" w:hAnsi="Calibri" w:cs="Helvetica"/>
        </w:rPr>
        <w:t xml:space="preserve">eliability </w:t>
      </w:r>
      <w:r w:rsidR="00A83AE5">
        <w:rPr>
          <w:rFonts w:ascii="Calibri" w:eastAsia="Arial Unicode MS" w:hAnsi="Calibri" w:cs="Helvetica"/>
        </w:rPr>
        <w:t>Models</w:t>
      </w:r>
      <w:r w:rsidRPr="007354D0">
        <w:rPr>
          <w:rFonts w:ascii="Calibri" w:eastAsia="Arial Unicode MS" w:hAnsi="Calibri" w:cs="Helvetica"/>
        </w:rPr>
        <w:t>, would mean that indicated cost savings would likely only be achieve</w:t>
      </w:r>
      <w:r w:rsidR="00437345" w:rsidRPr="007354D0">
        <w:rPr>
          <w:rFonts w:ascii="Calibri" w:eastAsia="Arial Unicode MS" w:hAnsi="Calibri" w:cs="Helvetica"/>
        </w:rPr>
        <w:t>d</w:t>
      </w:r>
      <w:r w:rsidRPr="007354D0">
        <w:rPr>
          <w:rFonts w:ascii="Calibri" w:eastAsia="Arial Unicode MS" w:hAnsi="Calibri" w:cs="Helvetica"/>
        </w:rPr>
        <w:t xml:space="preserve"> in one out of every ten years and thus would overstate the value of any future project.  Separate from this effort, ERCOT and stakeholders are currently analyzing a </w:t>
      </w:r>
      <w:r w:rsidRPr="007354D0">
        <w:rPr>
          <w:rFonts w:ascii="Calibri" w:eastAsia="Arial Unicode MS" w:hAnsi="Calibri" w:cs="Helvetica"/>
        </w:rPr>
        <w:lastRenderedPageBreak/>
        <w:t xml:space="preserve">possible future change in methodology that would employ multiple </w:t>
      </w:r>
      <w:r w:rsidR="0059207D" w:rsidRPr="007354D0">
        <w:rPr>
          <w:rFonts w:ascii="Calibri" w:eastAsia="Arial Unicode MS" w:hAnsi="Calibri" w:cs="Helvetica"/>
        </w:rPr>
        <w:t xml:space="preserve">load </w:t>
      </w:r>
      <w:r w:rsidRPr="007354D0">
        <w:rPr>
          <w:rFonts w:ascii="Calibri" w:eastAsia="Arial Unicode MS" w:hAnsi="Calibri" w:cs="Helvetica"/>
        </w:rPr>
        <w:t>forecasts with a probability weighting factor.</w:t>
      </w:r>
      <w:r w:rsidRPr="007354D0">
        <w:rPr>
          <w:rFonts w:ascii="Calibri" w:eastAsia="Arial Unicode MS" w:hAnsi="Calibri" w:cs="Helvetica"/>
          <w:sz w:val="22"/>
          <w:szCs w:val="22"/>
        </w:rPr>
        <w:br w:type="page"/>
      </w:r>
      <w:r w:rsidRPr="007354D0">
        <w:rPr>
          <w:rFonts w:ascii="Calibri" w:hAnsi="Calibri"/>
          <w:b/>
          <w:sz w:val="28"/>
          <w:szCs w:val="28"/>
        </w:rPr>
        <w:lastRenderedPageBreak/>
        <w:t>PLWG Review and Conclusions</w:t>
      </w:r>
    </w:p>
    <w:p w:rsidR="008D1485" w:rsidRPr="007354D0" w:rsidRDefault="008D1485">
      <w:pPr>
        <w:pStyle w:val="NoSpacing"/>
        <w:rPr>
          <w:rFonts w:ascii="Calibri" w:hAnsi="Calibri"/>
          <w:b/>
          <w:bCs/>
          <w:sz w:val="24"/>
          <w:szCs w:val="24"/>
        </w:rPr>
      </w:pPr>
    </w:p>
    <w:p w:rsidR="008D1485" w:rsidRPr="007354D0" w:rsidRDefault="00DB0CF3">
      <w:pPr>
        <w:pStyle w:val="Body"/>
        <w:spacing w:after="120"/>
        <w:rPr>
          <w:rFonts w:ascii="Calibri" w:eastAsia="Helvetica" w:hAnsi="Calibri" w:cs="Helvetica"/>
        </w:rPr>
      </w:pPr>
      <w:r w:rsidRPr="007354D0">
        <w:rPr>
          <w:rFonts w:ascii="Calibri" w:hAnsi="Calibri"/>
        </w:rPr>
        <w:t>The PLWG reviewed the load and generation assumption methodologies used in the CDR</w:t>
      </w:r>
      <w:r w:rsidR="007C4CCB" w:rsidRPr="007354D0">
        <w:rPr>
          <w:rFonts w:ascii="Calibri" w:hAnsi="Calibri"/>
        </w:rPr>
        <w:t xml:space="preserve"> Report</w:t>
      </w:r>
      <w:r w:rsidRPr="007354D0">
        <w:rPr>
          <w:rFonts w:ascii="Calibri" w:hAnsi="Calibri"/>
        </w:rPr>
        <w:t xml:space="preserve"> and the ERCOT </w:t>
      </w:r>
      <w:r w:rsidR="007C4CCB" w:rsidRPr="007354D0">
        <w:rPr>
          <w:rFonts w:ascii="Calibri" w:hAnsi="Calibri"/>
        </w:rPr>
        <w:t xml:space="preserve">Transmission </w:t>
      </w:r>
      <w:r w:rsidRPr="007354D0">
        <w:rPr>
          <w:rFonts w:ascii="Calibri" w:hAnsi="Calibri"/>
        </w:rPr>
        <w:t xml:space="preserve">Planning Models and noted the following </w:t>
      </w:r>
      <w:r w:rsidR="00437345" w:rsidRPr="007354D0">
        <w:rPr>
          <w:rFonts w:ascii="Calibri" w:hAnsi="Calibri"/>
        </w:rPr>
        <w:t>observations</w:t>
      </w:r>
      <w:r w:rsidRPr="007354D0">
        <w:rPr>
          <w:rFonts w:ascii="Calibri" w:hAnsi="Calibri"/>
        </w:rPr>
        <w:t xml:space="preserve"> for different methodologies:</w:t>
      </w:r>
    </w:p>
    <w:p w:rsidR="00427B89" w:rsidRPr="007354D0" w:rsidRDefault="00427B89" w:rsidP="007354D0">
      <w:pPr>
        <w:pStyle w:val="ListParagraph"/>
        <w:spacing w:before="120"/>
        <w:ind w:left="691"/>
        <w:rPr>
          <w:rFonts w:eastAsia="Helvetica" w:cs="Helvetica"/>
          <w:sz w:val="24"/>
          <w:szCs w:val="24"/>
        </w:rPr>
      </w:pPr>
    </w:p>
    <w:p w:rsidR="008D1485" w:rsidRPr="00D255EF" w:rsidRDefault="00DB0CF3" w:rsidP="00DB0CF3">
      <w:pPr>
        <w:pStyle w:val="ListParagraph"/>
        <w:numPr>
          <w:ilvl w:val="0"/>
          <w:numId w:val="6"/>
        </w:numPr>
        <w:tabs>
          <w:tab w:val="clear" w:pos="720"/>
          <w:tab w:val="num" w:pos="687"/>
        </w:tabs>
        <w:spacing w:before="120"/>
        <w:ind w:left="691" w:hanging="331"/>
        <w:rPr>
          <w:rFonts w:eastAsia="Helvetica" w:cs="Helvetica"/>
          <w:sz w:val="24"/>
          <w:szCs w:val="24"/>
        </w:rPr>
      </w:pPr>
      <w:r w:rsidRPr="00D255EF">
        <w:rPr>
          <w:sz w:val="24"/>
          <w:szCs w:val="24"/>
        </w:rPr>
        <w:t xml:space="preserve">The CDR </w:t>
      </w:r>
      <w:r w:rsidR="007C4CCB" w:rsidRPr="00D255EF">
        <w:rPr>
          <w:sz w:val="24"/>
          <w:szCs w:val="24"/>
        </w:rPr>
        <w:t>Report</w:t>
      </w:r>
      <w:r w:rsidR="00A648BB" w:rsidRPr="00D255EF">
        <w:rPr>
          <w:sz w:val="24"/>
          <w:szCs w:val="24"/>
        </w:rPr>
        <w:t>, released every six months,</w:t>
      </w:r>
      <w:r w:rsidR="007C4CCB" w:rsidRPr="00D255EF">
        <w:rPr>
          <w:sz w:val="24"/>
          <w:szCs w:val="24"/>
        </w:rPr>
        <w:t xml:space="preserve"> </w:t>
      </w:r>
      <w:r w:rsidRPr="00D255EF">
        <w:rPr>
          <w:sz w:val="24"/>
          <w:szCs w:val="24"/>
        </w:rPr>
        <w:t xml:space="preserve">is used to </w:t>
      </w:r>
      <w:r w:rsidR="006A73BC" w:rsidRPr="00D255EF">
        <w:rPr>
          <w:sz w:val="24"/>
          <w:szCs w:val="24"/>
        </w:rPr>
        <w:t>report the</w:t>
      </w:r>
      <w:r w:rsidRPr="00D255EF">
        <w:rPr>
          <w:sz w:val="24"/>
          <w:szCs w:val="24"/>
        </w:rPr>
        <w:t xml:space="preserve"> </w:t>
      </w:r>
      <w:r w:rsidR="007C4CCB" w:rsidRPr="00D255EF">
        <w:rPr>
          <w:sz w:val="24"/>
          <w:szCs w:val="24"/>
        </w:rPr>
        <w:t xml:space="preserve">planning </w:t>
      </w:r>
      <w:r w:rsidRPr="00D255EF">
        <w:rPr>
          <w:sz w:val="24"/>
          <w:szCs w:val="24"/>
        </w:rPr>
        <w:t>reserve margin</w:t>
      </w:r>
      <w:r w:rsidR="006A73BC" w:rsidRPr="00D255EF">
        <w:rPr>
          <w:sz w:val="24"/>
          <w:szCs w:val="24"/>
        </w:rPr>
        <w:t xml:space="preserve"> </w:t>
      </w:r>
      <w:r w:rsidR="00F443AF">
        <w:rPr>
          <w:sz w:val="24"/>
          <w:szCs w:val="24"/>
        </w:rPr>
        <w:t>calculation</w:t>
      </w:r>
      <w:r w:rsidR="00A648BB" w:rsidRPr="00D255EF">
        <w:rPr>
          <w:sz w:val="24"/>
          <w:szCs w:val="24"/>
        </w:rPr>
        <w:t xml:space="preserve"> </w:t>
      </w:r>
      <w:r w:rsidR="006A73BC" w:rsidRPr="00D255EF">
        <w:rPr>
          <w:sz w:val="24"/>
          <w:szCs w:val="24"/>
        </w:rPr>
        <w:t>for the following 10 years.  The planning reserve margin</w:t>
      </w:r>
      <w:r w:rsidR="00A648BB" w:rsidRPr="00D255EF">
        <w:rPr>
          <w:sz w:val="24"/>
          <w:szCs w:val="24"/>
        </w:rPr>
        <w:t xml:space="preserve"> </w:t>
      </w:r>
      <w:r w:rsidR="006A73BC" w:rsidRPr="00D255EF">
        <w:rPr>
          <w:sz w:val="24"/>
          <w:szCs w:val="24"/>
        </w:rPr>
        <w:t xml:space="preserve">is </w:t>
      </w:r>
      <w:r w:rsidR="0063612B" w:rsidRPr="00D255EF">
        <w:rPr>
          <w:sz w:val="24"/>
          <w:szCs w:val="24"/>
        </w:rPr>
        <w:t xml:space="preserve">calculated as the </w:t>
      </w:r>
      <w:r w:rsidR="006A73BC" w:rsidRPr="00D255EF">
        <w:rPr>
          <w:sz w:val="24"/>
          <w:szCs w:val="24"/>
        </w:rPr>
        <w:t xml:space="preserve">percent of generating capacity that exceeds </w:t>
      </w:r>
      <w:r w:rsidR="0063612B" w:rsidRPr="00D255EF">
        <w:rPr>
          <w:sz w:val="24"/>
          <w:szCs w:val="24"/>
        </w:rPr>
        <w:t>the firm</w:t>
      </w:r>
      <w:r w:rsidR="00A648BB" w:rsidRPr="00D255EF">
        <w:rPr>
          <w:sz w:val="24"/>
          <w:szCs w:val="24"/>
        </w:rPr>
        <w:t xml:space="preserve"> load forecast.  The firm load forecast is based on</w:t>
      </w:r>
      <w:r w:rsidR="0063612B" w:rsidRPr="00D255EF">
        <w:rPr>
          <w:sz w:val="24"/>
          <w:szCs w:val="24"/>
        </w:rPr>
        <w:t xml:space="preserve"> normal </w:t>
      </w:r>
      <w:r w:rsidR="006A73BC" w:rsidRPr="00D255EF">
        <w:rPr>
          <w:sz w:val="24"/>
          <w:szCs w:val="24"/>
        </w:rPr>
        <w:t>weather (i.e.; 50</w:t>
      </w:r>
      <w:r w:rsidR="006A73BC" w:rsidRPr="00D255EF">
        <w:rPr>
          <w:sz w:val="24"/>
          <w:szCs w:val="24"/>
          <w:vertAlign w:val="superscript"/>
        </w:rPr>
        <w:t>th</w:t>
      </w:r>
      <w:r w:rsidR="006A73BC" w:rsidRPr="00D255EF">
        <w:rPr>
          <w:sz w:val="24"/>
          <w:szCs w:val="24"/>
        </w:rPr>
        <w:t xml:space="preserve"> percentile</w:t>
      </w:r>
      <w:r w:rsidR="0063612B" w:rsidRPr="00D255EF">
        <w:rPr>
          <w:sz w:val="24"/>
          <w:szCs w:val="24"/>
        </w:rPr>
        <w:t xml:space="preserve"> load forecast</w:t>
      </w:r>
      <w:r w:rsidR="006A73BC" w:rsidRPr="00D255EF">
        <w:rPr>
          <w:sz w:val="24"/>
          <w:szCs w:val="24"/>
        </w:rPr>
        <w:t xml:space="preserve">). </w:t>
      </w:r>
      <w:r w:rsidR="00D255EF" w:rsidRPr="00D255EF">
        <w:rPr>
          <w:sz w:val="24"/>
          <w:szCs w:val="24"/>
        </w:rPr>
        <w:t xml:space="preserve"> The planning reserve margin </w:t>
      </w:r>
      <w:r w:rsidR="00D255EF" w:rsidRPr="00940566">
        <w:rPr>
          <w:i/>
          <w:sz w:val="24"/>
          <w:szCs w:val="24"/>
        </w:rPr>
        <w:t>target</w:t>
      </w:r>
      <w:r w:rsidR="00D255EF" w:rsidRPr="00D255EF">
        <w:rPr>
          <w:sz w:val="24"/>
          <w:szCs w:val="24"/>
        </w:rPr>
        <w:t xml:space="preserve"> is </w:t>
      </w:r>
      <w:r w:rsidR="00465623" w:rsidRPr="00D255EF">
        <w:rPr>
          <w:sz w:val="24"/>
          <w:szCs w:val="24"/>
        </w:rPr>
        <w:t xml:space="preserve">based upon </w:t>
      </w:r>
      <w:r w:rsidR="00D255EF" w:rsidRPr="00D255EF">
        <w:rPr>
          <w:sz w:val="24"/>
          <w:szCs w:val="24"/>
        </w:rPr>
        <w:t>ERCOT’s annual</w:t>
      </w:r>
      <w:r w:rsidR="00465623" w:rsidRPr="00D255EF">
        <w:rPr>
          <w:sz w:val="24"/>
          <w:szCs w:val="24"/>
        </w:rPr>
        <w:t xml:space="preserve"> LOLE Study.</w:t>
      </w:r>
      <w:r w:rsidRPr="00D255EF">
        <w:rPr>
          <w:sz w:val="24"/>
          <w:szCs w:val="24"/>
        </w:rPr>
        <w:t xml:space="preserve">  The </w:t>
      </w:r>
      <w:r w:rsidR="007C4CCB" w:rsidRPr="00D255EF">
        <w:rPr>
          <w:sz w:val="24"/>
          <w:szCs w:val="24"/>
        </w:rPr>
        <w:t>LOLE Study</w:t>
      </w:r>
      <w:r w:rsidRPr="00D255EF">
        <w:rPr>
          <w:sz w:val="24"/>
          <w:szCs w:val="24"/>
        </w:rPr>
        <w:t xml:space="preserve"> is a probabilistic analysis</w:t>
      </w:r>
      <w:r w:rsidR="00D255EF" w:rsidRPr="00D255EF">
        <w:rPr>
          <w:sz w:val="24"/>
          <w:szCs w:val="24"/>
        </w:rPr>
        <w:t xml:space="preserve"> to determine the level of additional resources required to reliably serve load in more stressful conditions, such as higher than normal loads, generator forced outages, and wind output </w:t>
      </w:r>
      <w:r w:rsidRPr="00D255EF">
        <w:rPr>
          <w:sz w:val="24"/>
          <w:szCs w:val="24"/>
        </w:rPr>
        <w:t xml:space="preserve">lower than the assumed </w:t>
      </w:r>
      <w:r w:rsidR="007C4CCB" w:rsidRPr="00D255EF">
        <w:rPr>
          <w:sz w:val="24"/>
          <w:szCs w:val="24"/>
        </w:rPr>
        <w:t>Effective Load Carrying Capability (</w:t>
      </w:r>
      <w:r w:rsidRPr="00D255EF">
        <w:rPr>
          <w:sz w:val="24"/>
          <w:szCs w:val="24"/>
        </w:rPr>
        <w:t>ELCC</w:t>
      </w:r>
      <w:r w:rsidR="007C4CCB" w:rsidRPr="00D255EF">
        <w:rPr>
          <w:sz w:val="24"/>
          <w:szCs w:val="24"/>
        </w:rPr>
        <w:t>)</w:t>
      </w:r>
      <w:r w:rsidRPr="00D255EF">
        <w:rPr>
          <w:sz w:val="24"/>
          <w:szCs w:val="24"/>
        </w:rPr>
        <w:t xml:space="preserve">.  </w:t>
      </w:r>
    </w:p>
    <w:p w:rsidR="008D1485" w:rsidRPr="007354D0" w:rsidRDefault="00DB0CF3" w:rsidP="00DB0CF3">
      <w:pPr>
        <w:pStyle w:val="ListParagraph"/>
        <w:numPr>
          <w:ilvl w:val="0"/>
          <w:numId w:val="7"/>
        </w:numPr>
        <w:tabs>
          <w:tab w:val="clear" w:pos="720"/>
          <w:tab w:val="num" w:pos="687"/>
        </w:tabs>
        <w:spacing w:before="120"/>
        <w:ind w:left="691" w:hanging="331"/>
        <w:rPr>
          <w:rFonts w:eastAsia="Helvetica" w:cs="Helvetica"/>
          <w:sz w:val="24"/>
          <w:szCs w:val="24"/>
        </w:rPr>
      </w:pPr>
      <w:r w:rsidRPr="007354D0">
        <w:rPr>
          <w:sz w:val="24"/>
          <w:szCs w:val="24"/>
        </w:rPr>
        <w:t xml:space="preserve">The CDR </w:t>
      </w:r>
      <w:r w:rsidR="007C4CCB" w:rsidRPr="007354D0">
        <w:rPr>
          <w:sz w:val="24"/>
          <w:szCs w:val="24"/>
        </w:rPr>
        <w:t xml:space="preserve">Report is not used as the basis for recommending </w:t>
      </w:r>
      <w:r w:rsidRPr="007354D0">
        <w:rPr>
          <w:sz w:val="24"/>
          <w:szCs w:val="24"/>
        </w:rPr>
        <w:t xml:space="preserve">construction of </w:t>
      </w:r>
      <w:r w:rsidR="007C4CCB" w:rsidRPr="007354D0">
        <w:rPr>
          <w:sz w:val="24"/>
          <w:szCs w:val="24"/>
        </w:rPr>
        <w:t>new facilities but rather provides guidance to policy makers and the market regarding the need for additional resources in ERCOT.</w:t>
      </w:r>
      <w:r w:rsidR="007C4CCB" w:rsidRPr="007354D0" w:rsidDel="007C4CCB">
        <w:rPr>
          <w:sz w:val="24"/>
          <w:szCs w:val="24"/>
        </w:rPr>
        <w:t xml:space="preserve"> </w:t>
      </w:r>
      <w:r w:rsidR="007C4CCB" w:rsidRPr="007354D0">
        <w:rPr>
          <w:sz w:val="24"/>
          <w:szCs w:val="24"/>
        </w:rPr>
        <w:t xml:space="preserve"> Transmission Planning Models, however, are used as the basis for recommending construction of new transmission projects</w:t>
      </w:r>
      <w:r w:rsidR="00BE5F39" w:rsidRPr="007354D0">
        <w:rPr>
          <w:sz w:val="24"/>
          <w:szCs w:val="24"/>
        </w:rPr>
        <w:t xml:space="preserve"> to meet NERC and ERCOT requirements</w:t>
      </w:r>
      <w:r w:rsidR="00F83A29" w:rsidRPr="007354D0">
        <w:rPr>
          <w:sz w:val="24"/>
          <w:szCs w:val="24"/>
        </w:rPr>
        <w:t>; subject to PUCT approval for inclusion into transmission cost of service</w:t>
      </w:r>
      <w:r w:rsidRPr="007354D0">
        <w:rPr>
          <w:sz w:val="24"/>
          <w:szCs w:val="24"/>
        </w:rPr>
        <w:t>.</w:t>
      </w:r>
    </w:p>
    <w:p w:rsidR="008D1485" w:rsidRPr="007354D0" w:rsidRDefault="00B575AC" w:rsidP="00DB0CF3">
      <w:pPr>
        <w:pStyle w:val="ListParagraph"/>
        <w:numPr>
          <w:ilvl w:val="0"/>
          <w:numId w:val="8"/>
        </w:numPr>
        <w:tabs>
          <w:tab w:val="clear" w:pos="720"/>
          <w:tab w:val="num" w:pos="687"/>
        </w:tabs>
        <w:spacing w:before="120"/>
        <w:ind w:left="691" w:hanging="331"/>
        <w:rPr>
          <w:rFonts w:eastAsia="Helvetica" w:cs="Helvetica"/>
          <w:sz w:val="24"/>
          <w:szCs w:val="24"/>
        </w:rPr>
      </w:pPr>
      <w:r w:rsidRPr="007354D0">
        <w:rPr>
          <w:sz w:val="24"/>
          <w:szCs w:val="24"/>
        </w:rPr>
        <w:t>All of the assumptions used to develop the</w:t>
      </w:r>
      <w:r w:rsidR="00DB0CF3" w:rsidRPr="007354D0">
        <w:rPr>
          <w:sz w:val="24"/>
          <w:szCs w:val="24"/>
        </w:rPr>
        <w:t xml:space="preserve"> </w:t>
      </w:r>
      <w:r w:rsidR="00BF238B" w:rsidRPr="007354D0">
        <w:rPr>
          <w:sz w:val="24"/>
          <w:szCs w:val="24"/>
        </w:rPr>
        <w:t>CDR Report</w:t>
      </w:r>
      <w:r w:rsidR="00DB0CF3" w:rsidRPr="007354D0">
        <w:rPr>
          <w:sz w:val="24"/>
          <w:szCs w:val="24"/>
        </w:rPr>
        <w:t xml:space="preserve"> </w:t>
      </w:r>
      <w:r w:rsidRPr="007354D0">
        <w:rPr>
          <w:sz w:val="24"/>
          <w:szCs w:val="24"/>
        </w:rPr>
        <w:t>are included in the protocols.</w:t>
      </w:r>
      <w:r w:rsidR="00DB0CF3" w:rsidRPr="007354D0">
        <w:rPr>
          <w:sz w:val="24"/>
          <w:szCs w:val="24"/>
        </w:rPr>
        <w:t xml:space="preserve">  To the extent that policy makers and market participants use the CDR </w:t>
      </w:r>
      <w:r w:rsidR="00783B73" w:rsidRPr="007354D0">
        <w:rPr>
          <w:sz w:val="24"/>
          <w:szCs w:val="24"/>
        </w:rPr>
        <w:t xml:space="preserve">Report </w:t>
      </w:r>
      <w:r w:rsidR="00DB0CF3" w:rsidRPr="007354D0">
        <w:rPr>
          <w:sz w:val="24"/>
          <w:szCs w:val="24"/>
        </w:rPr>
        <w:t>in their decision making processes, they can perform their own analysis by adjusting the variables.  For example, if a market participant does not think that a certain planned generation plant will get constructed, they can remove it from their reserve margin analysis and use that information in their decision making.</w:t>
      </w:r>
    </w:p>
    <w:p w:rsidR="007B7F62" w:rsidRPr="007354D0" w:rsidRDefault="00DB0CF3" w:rsidP="00DB0CF3">
      <w:pPr>
        <w:pStyle w:val="ListParagraph"/>
        <w:numPr>
          <w:ilvl w:val="0"/>
          <w:numId w:val="9"/>
        </w:numPr>
        <w:tabs>
          <w:tab w:val="clear" w:pos="720"/>
          <w:tab w:val="num" w:pos="687"/>
        </w:tabs>
        <w:spacing w:before="120"/>
        <w:ind w:left="691" w:hanging="331"/>
        <w:rPr>
          <w:rFonts w:eastAsia="Helvetica" w:cs="Helvetica"/>
          <w:sz w:val="24"/>
          <w:szCs w:val="24"/>
        </w:rPr>
      </w:pPr>
      <w:r w:rsidRPr="00EC4704">
        <w:rPr>
          <w:sz w:val="24"/>
          <w:szCs w:val="24"/>
        </w:rPr>
        <w:t>The CDR</w:t>
      </w:r>
      <w:r w:rsidR="00783B73" w:rsidRPr="00EC4704">
        <w:rPr>
          <w:sz w:val="24"/>
          <w:szCs w:val="24"/>
        </w:rPr>
        <w:t xml:space="preserve"> </w:t>
      </w:r>
      <w:r w:rsidR="00EC4704" w:rsidRPr="00EC4704">
        <w:rPr>
          <w:sz w:val="24"/>
          <w:szCs w:val="24"/>
        </w:rPr>
        <w:t>r</w:t>
      </w:r>
      <w:r w:rsidR="00783B73" w:rsidRPr="00EC4704">
        <w:rPr>
          <w:sz w:val="24"/>
          <w:szCs w:val="24"/>
        </w:rPr>
        <w:t>eport</w:t>
      </w:r>
      <w:r w:rsidR="00EC4704" w:rsidRPr="00EC4704">
        <w:rPr>
          <w:sz w:val="24"/>
          <w:szCs w:val="24"/>
        </w:rPr>
        <w:t>s</w:t>
      </w:r>
      <w:r w:rsidRPr="00EC4704">
        <w:rPr>
          <w:sz w:val="24"/>
          <w:szCs w:val="24"/>
        </w:rPr>
        <w:t xml:space="preserve"> </w:t>
      </w:r>
      <w:r w:rsidR="00EC4704" w:rsidRPr="00EC4704">
        <w:rPr>
          <w:sz w:val="24"/>
          <w:szCs w:val="24"/>
        </w:rPr>
        <w:t xml:space="preserve">firm peak load forecasts based on </w:t>
      </w:r>
      <w:r w:rsidR="001B1F59" w:rsidRPr="00EC4704">
        <w:rPr>
          <w:sz w:val="24"/>
          <w:szCs w:val="24"/>
        </w:rPr>
        <w:t xml:space="preserve">normal weather, </w:t>
      </w:r>
      <w:r w:rsidRPr="00EC4704">
        <w:rPr>
          <w:sz w:val="24"/>
          <w:szCs w:val="24"/>
        </w:rPr>
        <w:t xml:space="preserve">system-peak </w:t>
      </w:r>
      <w:r w:rsidR="00EC4704">
        <w:rPr>
          <w:sz w:val="24"/>
          <w:szCs w:val="24"/>
        </w:rPr>
        <w:t xml:space="preserve">demand </w:t>
      </w:r>
      <w:r w:rsidRPr="00EC4704">
        <w:rPr>
          <w:sz w:val="24"/>
          <w:szCs w:val="24"/>
        </w:rPr>
        <w:t>conditions</w:t>
      </w:r>
      <w:r w:rsidRPr="007354D0">
        <w:rPr>
          <w:sz w:val="24"/>
          <w:szCs w:val="24"/>
        </w:rPr>
        <w:t xml:space="preserve"> </w:t>
      </w:r>
      <w:r w:rsidR="00EC4704">
        <w:rPr>
          <w:sz w:val="24"/>
          <w:szCs w:val="24"/>
        </w:rPr>
        <w:t>reduced by</w:t>
      </w:r>
      <w:r w:rsidR="001B1F59">
        <w:rPr>
          <w:sz w:val="24"/>
          <w:szCs w:val="24"/>
        </w:rPr>
        <w:t xml:space="preserve"> demand response programs </w:t>
      </w:r>
      <w:r w:rsidRPr="007354D0">
        <w:rPr>
          <w:sz w:val="24"/>
          <w:szCs w:val="24"/>
        </w:rPr>
        <w:t xml:space="preserve">that would be expected to activate under system-wide scarcity conditions.  Conversely, the </w:t>
      </w:r>
      <w:r w:rsidR="00F83A29" w:rsidRPr="007354D0">
        <w:rPr>
          <w:sz w:val="24"/>
          <w:szCs w:val="24"/>
        </w:rPr>
        <w:t>t</w:t>
      </w:r>
      <w:r w:rsidR="00783B73" w:rsidRPr="007354D0">
        <w:rPr>
          <w:sz w:val="24"/>
          <w:szCs w:val="24"/>
        </w:rPr>
        <w:t xml:space="preserve">ransmission </w:t>
      </w:r>
      <w:r w:rsidR="00F83A29" w:rsidRPr="007354D0">
        <w:rPr>
          <w:sz w:val="24"/>
          <w:szCs w:val="24"/>
        </w:rPr>
        <w:t>p</w:t>
      </w:r>
      <w:r w:rsidRPr="007354D0">
        <w:rPr>
          <w:sz w:val="24"/>
          <w:szCs w:val="24"/>
        </w:rPr>
        <w:t xml:space="preserve">lanning </w:t>
      </w:r>
      <w:r w:rsidR="007B7F62" w:rsidRPr="007354D0">
        <w:rPr>
          <w:sz w:val="24"/>
          <w:szCs w:val="24"/>
        </w:rPr>
        <w:t>processes assume demand response may not activate for transmission constraints and specific Load Resource</w:t>
      </w:r>
      <w:r w:rsidR="000942D6" w:rsidRPr="007354D0">
        <w:rPr>
          <w:sz w:val="24"/>
          <w:szCs w:val="24"/>
        </w:rPr>
        <w:t>s are not assumed available throughout the planning horizon</w:t>
      </w:r>
      <w:r w:rsidR="007B7F62" w:rsidRPr="007354D0">
        <w:rPr>
          <w:sz w:val="24"/>
          <w:szCs w:val="24"/>
        </w:rPr>
        <w:t xml:space="preserve">.   </w:t>
      </w:r>
    </w:p>
    <w:p w:rsidR="008D1485" w:rsidRPr="007354D0" w:rsidRDefault="007B7F62" w:rsidP="00DB0CF3">
      <w:pPr>
        <w:pStyle w:val="ListParagraph"/>
        <w:numPr>
          <w:ilvl w:val="0"/>
          <w:numId w:val="9"/>
        </w:numPr>
        <w:tabs>
          <w:tab w:val="clear" w:pos="720"/>
          <w:tab w:val="num" w:pos="687"/>
        </w:tabs>
        <w:spacing w:before="120"/>
        <w:ind w:left="691" w:hanging="331"/>
        <w:rPr>
          <w:rFonts w:eastAsia="Helvetica" w:cs="Helvetica"/>
          <w:sz w:val="24"/>
          <w:szCs w:val="24"/>
        </w:rPr>
      </w:pPr>
      <w:r w:rsidRPr="007354D0">
        <w:rPr>
          <w:sz w:val="24"/>
          <w:szCs w:val="24"/>
        </w:rPr>
        <w:t>The transmission planning models are a bus by bus representation of Loads and Resources and the transmission system that connects them, whereas the CDR</w:t>
      </w:r>
      <w:r w:rsidR="00236EC6">
        <w:rPr>
          <w:sz w:val="24"/>
          <w:szCs w:val="24"/>
        </w:rPr>
        <w:t xml:space="preserve"> Report</w:t>
      </w:r>
      <w:r w:rsidRPr="007354D0">
        <w:rPr>
          <w:sz w:val="24"/>
          <w:szCs w:val="24"/>
        </w:rPr>
        <w:t xml:space="preserve"> is an aggregate accounting of Loads and Resources within ERCOT.</w:t>
      </w:r>
      <w:r w:rsidR="00DB0CF3" w:rsidRPr="007354D0">
        <w:rPr>
          <w:sz w:val="24"/>
          <w:szCs w:val="24"/>
        </w:rPr>
        <w:t xml:space="preserve">  </w:t>
      </w:r>
    </w:p>
    <w:p w:rsidR="00F83A29" w:rsidRPr="007354D0" w:rsidRDefault="00C72241" w:rsidP="00DB0CF3">
      <w:pPr>
        <w:pStyle w:val="ListParagraph"/>
        <w:numPr>
          <w:ilvl w:val="0"/>
          <w:numId w:val="9"/>
        </w:numPr>
        <w:tabs>
          <w:tab w:val="clear" w:pos="720"/>
          <w:tab w:val="num" w:pos="687"/>
        </w:tabs>
        <w:spacing w:before="120"/>
        <w:ind w:left="691" w:hanging="331"/>
        <w:rPr>
          <w:rFonts w:eastAsia="Helvetica" w:cs="Helvetica"/>
          <w:sz w:val="24"/>
          <w:szCs w:val="24"/>
        </w:rPr>
      </w:pPr>
      <w:r w:rsidRPr="007354D0">
        <w:rPr>
          <w:sz w:val="24"/>
          <w:szCs w:val="24"/>
        </w:rPr>
        <w:t>SSWG base case Loads are based on ALDR filings</w:t>
      </w:r>
      <w:r w:rsidR="00100BA1">
        <w:rPr>
          <w:sz w:val="24"/>
          <w:szCs w:val="24"/>
        </w:rPr>
        <w:t xml:space="preserve"> of individual load serving transformers</w:t>
      </w:r>
      <w:r w:rsidR="00E60519">
        <w:rPr>
          <w:sz w:val="24"/>
          <w:szCs w:val="24"/>
        </w:rPr>
        <w:t xml:space="preserve"> and metering points</w:t>
      </w:r>
      <w:r w:rsidR="00100BA1">
        <w:rPr>
          <w:sz w:val="24"/>
          <w:szCs w:val="24"/>
        </w:rPr>
        <w:t xml:space="preserve">, </w:t>
      </w:r>
      <w:r w:rsidR="00E60519">
        <w:rPr>
          <w:sz w:val="24"/>
          <w:szCs w:val="24"/>
        </w:rPr>
        <w:t>provided by Load Serving Entities</w:t>
      </w:r>
      <w:r w:rsidR="00100BA1">
        <w:rPr>
          <w:sz w:val="24"/>
          <w:szCs w:val="24"/>
        </w:rPr>
        <w:t>,</w:t>
      </w:r>
      <w:r w:rsidRPr="007354D0">
        <w:rPr>
          <w:sz w:val="24"/>
          <w:szCs w:val="24"/>
        </w:rPr>
        <w:t xml:space="preserve"> whereas the CDR</w:t>
      </w:r>
      <w:r w:rsidR="00236EC6">
        <w:rPr>
          <w:sz w:val="24"/>
          <w:szCs w:val="24"/>
        </w:rPr>
        <w:t xml:space="preserve"> Report</w:t>
      </w:r>
      <w:r w:rsidRPr="007354D0">
        <w:rPr>
          <w:sz w:val="24"/>
          <w:szCs w:val="24"/>
        </w:rPr>
        <w:t xml:space="preserve"> Load forecast is developed by ERCOT</w:t>
      </w:r>
      <w:r w:rsidR="00100BA1">
        <w:rPr>
          <w:sz w:val="24"/>
          <w:szCs w:val="24"/>
        </w:rPr>
        <w:t xml:space="preserve"> using employment, economic and other data necessary</w:t>
      </w:r>
      <w:r w:rsidR="00E60519">
        <w:rPr>
          <w:sz w:val="24"/>
          <w:szCs w:val="24"/>
        </w:rPr>
        <w:t xml:space="preserve"> to develop a regional Load forecast</w:t>
      </w:r>
      <w:r w:rsidRPr="007354D0">
        <w:rPr>
          <w:sz w:val="24"/>
          <w:szCs w:val="24"/>
        </w:rPr>
        <w:t>.</w:t>
      </w:r>
    </w:p>
    <w:p w:rsidR="008D1485" w:rsidRPr="007354D0" w:rsidRDefault="00DB0CF3" w:rsidP="00DB0CF3">
      <w:pPr>
        <w:pStyle w:val="ListParagraph"/>
        <w:numPr>
          <w:ilvl w:val="0"/>
          <w:numId w:val="10"/>
        </w:numPr>
        <w:tabs>
          <w:tab w:val="clear" w:pos="720"/>
          <w:tab w:val="num" w:pos="687"/>
        </w:tabs>
        <w:spacing w:before="120"/>
        <w:ind w:left="691" w:hanging="331"/>
        <w:rPr>
          <w:rFonts w:eastAsia="Helvetica" w:cs="Helvetica"/>
          <w:sz w:val="24"/>
          <w:szCs w:val="24"/>
        </w:rPr>
      </w:pPr>
      <w:r w:rsidRPr="007354D0">
        <w:rPr>
          <w:sz w:val="24"/>
          <w:szCs w:val="24"/>
        </w:rPr>
        <w:lastRenderedPageBreak/>
        <w:t xml:space="preserve">The SSWG </w:t>
      </w:r>
      <w:r w:rsidR="00783B73" w:rsidRPr="007354D0">
        <w:rPr>
          <w:sz w:val="24"/>
          <w:szCs w:val="24"/>
        </w:rPr>
        <w:t xml:space="preserve">base </w:t>
      </w:r>
      <w:r w:rsidRPr="007354D0">
        <w:rPr>
          <w:sz w:val="24"/>
          <w:szCs w:val="24"/>
        </w:rPr>
        <w:t>case</w:t>
      </w:r>
      <w:r w:rsidR="00A83AE5">
        <w:rPr>
          <w:sz w:val="24"/>
          <w:szCs w:val="24"/>
        </w:rPr>
        <w:t xml:space="preserve"> models</w:t>
      </w:r>
      <w:r w:rsidRPr="007354D0">
        <w:rPr>
          <w:sz w:val="24"/>
          <w:szCs w:val="24"/>
        </w:rPr>
        <w:t xml:space="preserve"> provide a starting point for transmission planners throughout the ERCOT Region to use in their analyses.  It is important to have a </w:t>
      </w:r>
      <w:r w:rsidR="000942D6" w:rsidRPr="007354D0">
        <w:rPr>
          <w:sz w:val="24"/>
          <w:szCs w:val="24"/>
        </w:rPr>
        <w:t>common</w:t>
      </w:r>
      <w:r w:rsidRPr="007354D0">
        <w:rPr>
          <w:sz w:val="24"/>
          <w:szCs w:val="24"/>
        </w:rPr>
        <w:t xml:space="preserve"> model that every entity can begin with, but the load and generation assumptions may be modified as appropriate for a given study</w:t>
      </w:r>
      <w:r w:rsidR="00783B73" w:rsidRPr="007354D0">
        <w:rPr>
          <w:sz w:val="24"/>
          <w:szCs w:val="24"/>
        </w:rPr>
        <w:t>.</w:t>
      </w:r>
    </w:p>
    <w:p w:rsidR="000232EC" w:rsidRPr="007354D0" w:rsidRDefault="000232EC" w:rsidP="00DB0CF3">
      <w:pPr>
        <w:pStyle w:val="ListParagraph"/>
        <w:numPr>
          <w:ilvl w:val="0"/>
          <w:numId w:val="10"/>
        </w:numPr>
        <w:tabs>
          <w:tab w:val="clear" w:pos="720"/>
          <w:tab w:val="num" w:pos="687"/>
        </w:tabs>
        <w:spacing w:before="120"/>
        <w:ind w:left="691" w:hanging="331"/>
        <w:rPr>
          <w:rFonts w:eastAsia="Helvetica" w:cs="Helvetica"/>
          <w:sz w:val="24"/>
          <w:szCs w:val="24"/>
        </w:rPr>
      </w:pPr>
      <w:r w:rsidRPr="007354D0">
        <w:rPr>
          <w:sz w:val="24"/>
          <w:szCs w:val="24"/>
        </w:rPr>
        <w:t>Transmission planners are required to develop sensitivity cases to meet reasonable variation requirements in the NERC reliability standards</w:t>
      </w:r>
      <w:r w:rsidR="00C72241" w:rsidRPr="007354D0">
        <w:rPr>
          <w:sz w:val="24"/>
          <w:szCs w:val="24"/>
        </w:rPr>
        <w:t xml:space="preserve"> and therefore the Loads in the SSWG base case</w:t>
      </w:r>
      <w:r w:rsidR="00A83AE5">
        <w:rPr>
          <w:sz w:val="24"/>
          <w:szCs w:val="24"/>
        </w:rPr>
        <w:t xml:space="preserve"> models</w:t>
      </w:r>
      <w:r w:rsidR="00C72241" w:rsidRPr="007354D0">
        <w:rPr>
          <w:sz w:val="24"/>
          <w:szCs w:val="24"/>
        </w:rPr>
        <w:t xml:space="preserve"> may be modified in each planning case</w:t>
      </w:r>
      <w:r w:rsidRPr="007354D0">
        <w:rPr>
          <w:sz w:val="24"/>
          <w:szCs w:val="24"/>
        </w:rPr>
        <w:t xml:space="preserve">.  Conversely, the CDR </w:t>
      </w:r>
      <w:r w:rsidR="00236EC6">
        <w:rPr>
          <w:sz w:val="24"/>
          <w:szCs w:val="24"/>
        </w:rPr>
        <w:t xml:space="preserve">Report </w:t>
      </w:r>
      <w:r w:rsidRPr="007354D0">
        <w:rPr>
          <w:sz w:val="24"/>
          <w:szCs w:val="24"/>
        </w:rPr>
        <w:t>contains a single</w:t>
      </w:r>
      <w:r w:rsidR="008D1728">
        <w:rPr>
          <w:sz w:val="24"/>
          <w:szCs w:val="24"/>
        </w:rPr>
        <w:t>, normal weather</w:t>
      </w:r>
      <w:r w:rsidRPr="007354D0">
        <w:rPr>
          <w:sz w:val="24"/>
          <w:szCs w:val="24"/>
        </w:rPr>
        <w:t xml:space="preserve"> Load forecast and relies on the reserve margin requirement developed from the LOLE study in order to account for the range of possible scenarios. </w:t>
      </w:r>
    </w:p>
    <w:p w:rsidR="00D12E2C" w:rsidRPr="00940566" w:rsidRDefault="00DB0CF3" w:rsidP="00940566">
      <w:pPr>
        <w:pStyle w:val="ListParagraph"/>
        <w:numPr>
          <w:ilvl w:val="0"/>
          <w:numId w:val="11"/>
        </w:numPr>
        <w:tabs>
          <w:tab w:val="clear" w:pos="720"/>
          <w:tab w:val="num" w:pos="687"/>
        </w:tabs>
        <w:spacing w:before="120"/>
        <w:ind w:left="691" w:hanging="331"/>
        <w:rPr>
          <w:rFonts w:eastAsia="Helvetica" w:cs="Helvetica"/>
          <w:sz w:val="24"/>
          <w:szCs w:val="24"/>
        </w:rPr>
      </w:pPr>
      <w:r w:rsidRPr="007354D0">
        <w:rPr>
          <w:sz w:val="24"/>
          <w:szCs w:val="24"/>
        </w:rPr>
        <w:t xml:space="preserve">The RTP Reliability </w:t>
      </w:r>
      <w:r w:rsidR="00A83AE5">
        <w:rPr>
          <w:sz w:val="24"/>
          <w:szCs w:val="24"/>
        </w:rPr>
        <w:t>Model</w:t>
      </w:r>
      <w:r w:rsidR="00A83AE5" w:rsidRPr="007354D0">
        <w:rPr>
          <w:sz w:val="24"/>
          <w:szCs w:val="24"/>
        </w:rPr>
        <w:t xml:space="preserve">s </w:t>
      </w:r>
      <w:r w:rsidRPr="007354D0">
        <w:rPr>
          <w:sz w:val="24"/>
          <w:szCs w:val="24"/>
        </w:rPr>
        <w:t xml:space="preserve">are used by ERCOT to </w:t>
      </w:r>
      <w:r w:rsidR="00D12E2C">
        <w:rPr>
          <w:sz w:val="24"/>
          <w:szCs w:val="24"/>
        </w:rPr>
        <w:t>identify the need for</w:t>
      </w:r>
      <w:r w:rsidRPr="007354D0">
        <w:rPr>
          <w:sz w:val="24"/>
          <w:szCs w:val="24"/>
        </w:rPr>
        <w:t xml:space="preserve"> reliability projects in a deterministic analysis.  The ultimate outcome of this analysis is the </w:t>
      </w:r>
      <w:r w:rsidR="00D12E2C">
        <w:rPr>
          <w:sz w:val="24"/>
          <w:szCs w:val="24"/>
        </w:rPr>
        <w:t xml:space="preserve">continuing </w:t>
      </w:r>
      <w:r w:rsidR="008D1728">
        <w:rPr>
          <w:sz w:val="24"/>
          <w:szCs w:val="24"/>
        </w:rPr>
        <w:t>development</w:t>
      </w:r>
      <w:r w:rsidR="008D1728" w:rsidRPr="007354D0">
        <w:rPr>
          <w:sz w:val="24"/>
          <w:szCs w:val="24"/>
        </w:rPr>
        <w:t xml:space="preserve"> </w:t>
      </w:r>
      <w:r w:rsidRPr="007354D0">
        <w:rPr>
          <w:sz w:val="24"/>
          <w:szCs w:val="24"/>
        </w:rPr>
        <w:t xml:space="preserve">of a </w:t>
      </w:r>
      <w:r w:rsidR="008D1728">
        <w:rPr>
          <w:sz w:val="24"/>
          <w:szCs w:val="24"/>
        </w:rPr>
        <w:t xml:space="preserve">transmission </w:t>
      </w:r>
      <w:r w:rsidRPr="007354D0">
        <w:rPr>
          <w:sz w:val="24"/>
          <w:szCs w:val="24"/>
        </w:rPr>
        <w:t xml:space="preserve">grid that will be used by </w:t>
      </w:r>
      <w:r w:rsidR="00783B73" w:rsidRPr="007354D0">
        <w:rPr>
          <w:sz w:val="24"/>
          <w:szCs w:val="24"/>
        </w:rPr>
        <w:t xml:space="preserve">operators </w:t>
      </w:r>
      <w:r w:rsidRPr="007354D0">
        <w:rPr>
          <w:sz w:val="24"/>
          <w:szCs w:val="24"/>
        </w:rPr>
        <w:t xml:space="preserve">to manage reliability.  </w:t>
      </w:r>
      <w:r w:rsidR="00D12E2C">
        <w:rPr>
          <w:sz w:val="24"/>
          <w:szCs w:val="24"/>
        </w:rPr>
        <w:t>Planners apply reasonable variations of assumptions to help address u</w:t>
      </w:r>
      <w:r w:rsidRPr="007354D0">
        <w:rPr>
          <w:sz w:val="24"/>
          <w:szCs w:val="24"/>
        </w:rPr>
        <w:t xml:space="preserve">ncertainties about future grid conditions </w:t>
      </w:r>
      <w:r w:rsidR="00D12E2C">
        <w:rPr>
          <w:sz w:val="24"/>
          <w:szCs w:val="24"/>
        </w:rPr>
        <w:t xml:space="preserve">that </w:t>
      </w:r>
      <w:r w:rsidRPr="007354D0">
        <w:rPr>
          <w:sz w:val="24"/>
          <w:szCs w:val="24"/>
        </w:rPr>
        <w:t xml:space="preserve">can lead to reliability problems.  </w:t>
      </w:r>
      <w:r w:rsidR="00D12E2C">
        <w:rPr>
          <w:sz w:val="24"/>
          <w:szCs w:val="24"/>
        </w:rPr>
        <w:t xml:space="preserve">Variations of assumptions are </w:t>
      </w:r>
      <w:r w:rsidR="007672CB">
        <w:rPr>
          <w:sz w:val="24"/>
          <w:szCs w:val="24"/>
        </w:rPr>
        <w:t>specifically stated</w:t>
      </w:r>
      <w:r w:rsidR="00D12E2C">
        <w:rPr>
          <w:sz w:val="24"/>
          <w:szCs w:val="24"/>
        </w:rPr>
        <w:t xml:space="preserve"> </w:t>
      </w:r>
      <w:r w:rsidR="007672CB">
        <w:rPr>
          <w:sz w:val="24"/>
          <w:szCs w:val="24"/>
        </w:rPr>
        <w:t xml:space="preserve">to allow </w:t>
      </w:r>
      <w:r w:rsidR="00D12E2C">
        <w:rPr>
          <w:sz w:val="24"/>
          <w:szCs w:val="24"/>
        </w:rPr>
        <w:t>vett</w:t>
      </w:r>
      <w:r w:rsidR="007672CB">
        <w:rPr>
          <w:sz w:val="24"/>
          <w:szCs w:val="24"/>
        </w:rPr>
        <w:t xml:space="preserve">ing </w:t>
      </w:r>
      <w:r w:rsidR="00D12E2C">
        <w:rPr>
          <w:sz w:val="24"/>
          <w:szCs w:val="24"/>
        </w:rPr>
        <w:t>in the Regional Planning Group forum.</w:t>
      </w:r>
      <w:r w:rsidR="00D12E2C" w:rsidRPr="007354D0" w:rsidDel="00D12E2C">
        <w:rPr>
          <w:sz w:val="24"/>
          <w:szCs w:val="24"/>
        </w:rPr>
        <w:t xml:space="preserve"> </w:t>
      </w:r>
    </w:p>
    <w:p w:rsidR="008D1485" w:rsidRPr="007354D0" w:rsidRDefault="00DB0CF3" w:rsidP="00940566">
      <w:pPr>
        <w:pStyle w:val="ListParagraph"/>
        <w:numPr>
          <w:ilvl w:val="0"/>
          <w:numId w:val="11"/>
        </w:numPr>
        <w:tabs>
          <w:tab w:val="clear" w:pos="720"/>
          <w:tab w:val="num" w:pos="687"/>
        </w:tabs>
        <w:spacing w:before="120"/>
        <w:ind w:left="691" w:hanging="331"/>
        <w:rPr>
          <w:rFonts w:eastAsia="Helvetica" w:cs="Helvetica"/>
          <w:sz w:val="24"/>
          <w:szCs w:val="24"/>
        </w:rPr>
      </w:pPr>
      <w:r w:rsidRPr="007354D0">
        <w:rPr>
          <w:sz w:val="24"/>
          <w:szCs w:val="24"/>
        </w:rPr>
        <w:t xml:space="preserve">The RTP Economic </w:t>
      </w:r>
      <w:r w:rsidR="00A83AE5">
        <w:rPr>
          <w:sz w:val="24"/>
          <w:szCs w:val="24"/>
        </w:rPr>
        <w:t>Model</w:t>
      </w:r>
      <w:r w:rsidR="00A83AE5" w:rsidRPr="007354D0">
        <w:rPr>
          <w:sz w:val="24"/>
          <w:szCs w:val="24"/>
        </w:rPr>
        <w:t>s</w:t>
      </w:r>
      <w:r w:rsidR="00D12E2C">
        <w:rPr>
          <w:sz w:val="24"/>
          <w:szCs w:val="24"/>
        </w:rPr>
        <w:t xml:space="preserve"> are full-</w:t>
      </w:r>
      <w:proofErr w:type="gramStart"/>
      <w:r w:rsidR="00D12E2C">
        <w:rPr>
          <w:sz w:val="24"/>
          <w:szCs w:val="24"/>
        </w:rPr>
        <w:t>year</w:t>
      </w:r>
      <w:r w:rsidR="00701C7F">
        <w:rPr>
          <w:sz w:val="24"/>
          <w:szCs w:val="24"/>
        </w:rPr>
        <w:t>,</w:t>
      </w:r>
      <w:proofErr w:type="gramEnd"/>
      <w:r w:rsidR="00D12E2C">
        <w:rPr>
          <w:sz w:val="24"/>
          <w:szCs w:val="24"/>
        </w:rPr>
        <w:t xml:space="preserve"> hourly models based on the single-hour RTP Reliability Models, except using 50</w:t>
      </w:r>
      <w:r w:rsidR="00D12E2C" w:rsidRPr="00940566">
        <w:rPr>
          <w:sz w:val="24"/>
          <w:szCs w:val="24"/>
          <w:vertAlign w:val="superscript"/>
        </w:rPr>
        <w:t>th</w:t>
      </w:r>
      <w:r w:rsidR="00D12E2C">
        <w:rPr>
          <w:sz w:val="24"/>
          <w:szCs w:val="24"/>
        </w:rPr>
        <w:t xml:space="preserve"> percentile Weather Zone hourly load forecasts.  </w:t>
      </w:r>
      <w:r w:rsidRPr="007354D0">
        <w:rPr>
          <w:sz w:val="24"/>
          <w:szCs w:val="24"/>
        </w:rPr>
        <w:t xml:space="preserve">ERCOT </w:t>
      </w:r>
      <w:r w:rsidR="00D12E2C">
        <w:rPr>
          <w:sz w:val="24"/>
          <w:szCs w:val="24"/>
        </w:rPr>
        <w:t xml:space="preserve">uses these </w:t>
      </w:r>
      <w:r w:rsidRPr="007354D0">
        <w:rPr>
          <w:sz w:val="24"/>
          <w:szCs w:val="24"/>
        </w:rPr>
        <w:t>model</w:t>
      </w:r>
      <w:r w:rsidR="00D12E2C">
        <w:rPr>
          <w:sz w:val="24"/>
          <w:szCs w:val="24"/>
        </w:rPr>
        <w:t>s to</w:t>
      </w:r>
      <w:r w:rsidRPr="007354D0">
        <w:rPr>
          <w:sz w:val="24"/>
          <w:szCs w:val="24"/>
        </w:rPr>
        <w:t xml:space="preserve"> forecast </w:t>
      </w:r>
      <w:r w:rsidR="00ED226A">
        <w:rPr>
          <w:sz w:val="24"/>
          <w:szCs w:val="24"/>
        </w:rPr>
        <w:t xml:space="preserve">costs associated with transmission </w:t>
      </w:r>
      <w:r w:rsidRPr="007354D0">
        <w:rPr>
          <w:sz w:val="24"/>
          <w:szCs w:val="24"/>
        </w:rPr>
        <w:t xml:space="preserve">congestion on the ERCOT System in order to plan </w:t>
      </w:r>
      <w:r w:rsidR="00ED226A">
        <w:rPr>
          <w:sz w:val="24"/>
          <w:szCs w:val="24"/>
        </w:rPr>
        <w:t xml:space="preserve">cost justified </w:t>
      </w:r>
      <w:r w:rsidRPr="007354D0">
        <w:rPr>
          <w:sz w:val="24"/>
          <w:szCs w:val="24"/>
        </w:rPr>
        <w:t xml:space="preserve">economic transmission projects.  </w:t>
      </w:r>
    </w:p>
    <w:p w:rsidR="00DA5281" w:rsidRPr="007354D0" w:rsidRDefault="00DA5281" w:rsidP="00DB0CF3">
      <w:pPr>
        <w:pStyle w:val="ListParagraph"/>
        <w:numPr>
          <w:ilvl w:val="0"/>
          <w:numId w:val="12"/>
        </w:numPr>
        <w:tabs>
          <w:tab w:val="clear" w:pos="720"/>
          <w:tab w:val="num" w:pos="687"/>
        </w:tabs>
        <w:spacing w:before="120"/>
        <w:ind w:left="691" w:hanging="331"/>
        <w:rPr>
          <w:rFonts w:eastAsia="Helvetica" w:cs="Helvetica"/>
          <w:sz w:val="24"/>
          <w:szCs w:val="24"/>
        </w:rPr>
      </w:pPr>
      <w:r w:rsidRPr="007354D0">
        <w:rPr>
          <w:sz w:val="24"/>
          <w:szCs w:val="24"/>
        </w:rPr>
        <w:t xml:space="preserve">There are four categories of Loads listed in the CDR </w:t>
      </w:r>
      <w:r w:rsidR="00236EC6">
        <w:rPr>
          <w:sz w:val="24"/>
          <w:szCs w:val="24"/>
        </w:rPr>
        <w:t xml:space="preserve">Report </w:t>
      </w:r>
      <w:r w:rsidRPr="007354D0">
        <w:rPr>
          <w:sz w:val="24"/>
          <w:szCs w:val="24"/>
        </w:rPr>
        <w:t>that are subtracted from the Total Summer Peak Demand(based on normal weather): Load Resources providing Responsive Reserve, Load Resource providing Non-Spinning Reserve, Emergency Response Service (10 and 30 minute ramp products) and TDSP Standard Offer Load Management Programs. These categories of load total 2,530 MW or 3.63% of the Total Summer Peak Demand according to the May, 2015 CDR</w:t>
      </w:r>
      <w:r w:rsidR="00236EC6">
        <w:rPr>
          <w:sz w:val="24"/>
          <w:szCs w:val="24"/>
        </w:rPr>
        <w:t xml:space="preserve"> Report</w:t>
      </w:r>
      <w:r w:rsidRPr="007354D0">
        <w:rPr>
          <w:sz w:val="24"/>
          <w:szCs w:val="24"/>
        </w:rPr>
        <w:t>. The values in these categories are used to calculate the reserve margin but are not associated with a specific facility, location, or entity and are not included in transmission planning models.</w:t>
      </w:r>
    </w:p>
    <w:p w:rsidR="008D1485" w:rsidRPr="007354D0" w:rsidRDefault="008D1485">
      <w:pPr>
        <w:pStyle w:val="Body"/>
        <w:rPr>
          <w:rFonts w:ascii="Calibri" w:eastAsia="Helvetica" w:hAnsi="Calibri" w:cs="Helvetica"/>
        </w:rPr>
      </w:pPr>
    </w:p>
    <w:p w:rsidR="008D1485" w:rsidRPr="007354D0" w:rsidRDefault="00783B73">
      <w:pPr>
        <w:pStyle w:val="Body"/>
        <w:spacing w:after="120"/>
        <w:rPr>
          <w:rFonts w:ascii="Calibri" w:eastAsia="Helvetica" w:hAnsi="Calibri" w:cs="Helvetica"/>
        </w:rPr>
      </w:pPr>
      <w:r w:rsidRPr="007354D0">
        <w:rPr>
          <w:rFonts w:ascii="Calibri" w:hAnsi="Calibri"/>
        </w:rPr>
        <w:t xml:space="preserve">In light of </w:t>
      </w:r>
      <w:r w:rsidR="00DB0CF3" w:rsidRPr="007354D0">
        <w:rPr>
          <w:rFonts w:ascii="Calibri" w:hAnsi="Calibri"/>
        </w:rPr>
        <w:t xml:space="preserve">these </w:t>
      </w:r>
      <w:r w:rsidR="00FE182B" w:rsidRPr="007354D0">
        <w:rPr>
          <w:rFonts w:ascii="Calibri" w:hAnsi="Calibri"/>
        </w:rPr>
        <w:t>observations</w:t>
      </w:r>
      <w:r w:rsidRPr="007354D0">
        <w:rPr>
          <w:rFonts w:ascii="Calibri" w:hAnsi="Calibri"/>
        </w:rPr>
        <w:t>,</w:t>
      </w:r>
      <w:r w:rsidR="00DB0CF3" w:rsidRPr="007354D0">
        <w:rPr>
          <w:rFonts w:ascii="Calibri" w:hAnsi="Calibri"/>
        </w:rPr>
        <w:t xml:space="preserve"> the PLWG determined that </w:t>
      </w:r>
      <w:r w:rsidR="007E1498" w:rsidRPr="007354D0">
        <w:rPr>
          <w:rFonts w:ascii="Calibri" w:hAnsi="Calibri"/>
        </w:rPr>
        <w:t xml:space="preserve">some </w:t>
      </w:r>
      <w:r w:rsidR="00DB0CF3" w:rsidRPr="007354D0">
        <w:rPr>
          <w:rFonts w:ascii="Calibri" w:hAnsi="Calibri"/>
        </w:rPr>
        <w:t>difference</w:t>
      </w:r>
      <w:r w:rsidR="001867E0" w:rsidRPr="007354D0">
        <w:rPr>
          <w:rFonts w:ascii="Calibri" w:hAnsi="Calibri"/>
        </w:rPr>
        <w:t>s</w:t>
      </w:r>
      <w:r w:rsidR="00DB0CF3" w:rsidRPr="007354D0">
        <w:rPr>
          <w:rFonts w:ascii="Calibri" w:hAnsi="Calibri"/>
        </w:rPr>
        <w:t xml:space="preserve"> in</w:t>
      </w:r>
      <w:r w:rsidR="007E1498" w:rsidRPr="007354D0">
        <w:rPr>
          <w:rFonts w:ascii="Calibri" w:hAnsi="Calibri"/>
        </w:rPr>
        <w:t xml:space="preserve"> the</w:t>
      </w:r>
      <w:r w:rsidR="00DB0CF3" w:rsidRPr="007354D0">
        <w:rPr>
          <w:rFonts w:ascii="Calibri" w:hAnsi="Calibri"/>
        </w:rPr>
        <w:t xml:space="preserve"> assumption methodologies between the CDR </w:t>
      </w:r>
      <w:r w:rsidRPr="007354D0">
        <w:rPr>
          <w:rFonts w:ascii="Calibri" w:hAnsi="Calibri"/>
        </w:rPr>
        <w:t xml:space="preserve">Report </w:t>
      </w:r>
      <w:r w:rsidR="00DB0CF3" w:rsidRPr="007354D0">
        <w:rPr>
          <w:rFonts w:ascii="Calibri" w:hAnsi="Calibri"/>
        </w:rPr>
        <w:t xml:space="preserve">and </w:t>
      </w:r>
      <w:r w:rsidRPr="007354D0">
        <w:rPr>
          <w:rFonts w:ascii="Calibri" w:hAnsi="Calibri"/>
        </w:rPr>
        <w:t xml:space="preserve">Transmission </w:t>
      </w:r>
      <w:r w:rsidR="00DB0CF3" w:rsidRPr="007354D0">
        <w:rPr>
          <w:rFonts w:ascii="Calibri" w:hAnsi="Calibri"/>
        </w:rPr>
        <w:t xml:space="preserve">Planning Models are appropriate.  However, the PLWG also identified several assumptions that do not warrant different methodologies.  While there may be no “right or wrong” methodology in many cases, </w:t>
      </w:r>
      <w:r w:rsidR="001867E0" w:rsidRPr="007354D0">
        <w:rPr>
          <w:rFonts w:ascii="Calibri" w:hAnsi="Calibri"/>
        </w:rPr>
        <w:t xml:space="preserve">the fact that differences exist </w:t>
      </w:r>
      <w:r w:rsidR="00DB0CF3" w:rsidRPr="007354D0">
        <w:rPr>
          <w:rFonts w:ascii="Calibri" w:hAnsi="Calibri"/>
        </w:rPr>
        <w:t xml:space="preserve">may </w:t>
      </w:r>
      <w:r w:rsidRPr="007354D0">
        <w:rPr>
          <w:rFonts w:ascii="Calibri" w:hAnsi="Calibri"/>
        </w:rPr>
        <w:t>cause</w:t>
      </w:r>
      <w:r w:rsidR="00DB0CF3" w:rsidRPr="007354D0">
        <w:rPr>
          <w:rFonts w:ascii="Calibri" w:hAnsi="Calibri"/>
        </w:rPr>
        <w:t xml:space="preserve"> confusion.  </w:t>
      </w:r>
      <w:r w:rsidRPr="007354D0">
        <w:rPr>
          <w:rFonts w:ascii="Calibri" w:hAnsi="Calibri"/>
        </w:rPr>
        <w:t>The PLWG concludes that changes to achieve consistency between the CDR Report and Transmission Planning Models may be appropriate for the following assumption methodologies</w:t>
      </w:r>
      <w:r w:rsidR="00DB0CF3" w:rsidRPr="007354D0">
        <w:rPr>
          <w:rFonts w:ascii="Calibri" w:hAnsi="Calibri"/>
        </w:rPr>
        <w:t>:</w:t>
      </w:r>
    </w:p>
    <w:p w:rsidR="00427B89" w:rsidRPr="007354D0" w:rsidRDefault="00427B89" w:rsidP="007354D0">
      <w:pPr>
        <w:pStyle w:val="ListParagraph"/>
        <w:spacing w:before="120"/>
        <w:ind w:left="691"/>
        <w:rPr>
          <w:rFonts w:eastAsia="Helvetica" w:cs="Helvetica"/>
          <w:sz w:val="24"/>
          <w:szCs w:val="24"/>
        </w:rPr>
      </w:pPr>
    </w:p>
    <w:p w:rsidR="00BE3DE2" w:rsidRPr="00940566" w:rsidRDefault="00DB0CF3" w:rsidP="00DB0CF3">
      <w:pPr>
        <w:pStyle w:val="ListParagraph"/>
        <w:numPr>
          <w:ilvl w:val="0"/>
          <w:numId w:val="13"/>
        </w:numPr>
        <w:tabs>
          <w:tab w:val="clear" w:pos="720"/>
          <w:tab w:val="num" w:pos="687"/>
        </w:tabs>
        <w:spacing w:before="120"/>
        <w:ind w:left="691" w:hanging="331"/>
        <w:rPr>
          <w:rFonts w:eastAsia="Helvetica" w:cs="Helvetica"/>
          <w:sz w:val="24"/>
          <w:szCs w:val="24"/>
        </w:rPr>
      </w:pPr>
      <w:r w:rsidRPr="007354D0">
        <w:rPr>
          <w:sz w:val="24"/>
          <w:szCs w:val="24"/>
        </w:rPr>
        <w:t xml:space="preserve">The CDR </w:t>
      </w:r>
      <w:r w:rsidR="00783B73" w:rsidRPr="007354D0">
        <w:rPr>
          <w:sz w:val="24"/>
          <w:szCs w:val="24"/>
        </w:rPr>
        <w:t xml:space="preserve">Report </w:t>
      </w:r>
      <w:r w:rsidRPr="007354D0">
        <w:rPr>
          <w:sz w:val="24"/>
          <w:szCs w:val="24"/>
        </w:rPr>
        <w:t xml:space="preserve">methodology for inclusion of </w:t>
      </w:r>
      <w:r w:rsidR="00783B73" w:rsidRPr="007354D0">
        <w:rPr>
          <w:sz w:val="24"/>
          <w:szCs w:val="24"/>
        </w:rPr>
        <w:t xml:space="preserve">planned </w:t>
      </w:r>
      <w:r w:rsidRPr="007354D0">
        <w:rPr>
          <w:sz w:val="24"/>
          <w:szCs w:val="24"/>
        </w:rPr>
        <w:t xml:space="preserve">generation resources in the capacity calculation is different </w:t>
      </w:r>
      <w:r w:rsidR="00783B73" w:rsidRPr="007354D0">
        <w:rPr>
          <w:sz w:val="24"/>
          <w:szCs w:val="24"/>
        </w:rPr>
        <w:t xml:space="preserve">than </w:t>
      </w:r>
      <w:r w:rsidRPr="007354D0">
        <w:rPr>
          <w:sz w:val="24"/>
          <w:szCs w:val="24"/>
        </w:rPr>
        <w:t xml:space="preserve">the criteria used for the </w:t>
      </w:r>
      <w:r w:rsidR="00783B73" w:rsidRPr="007354D0">
        <w:rPr>
          <w:sz w:val="24"/>
          <w:szCs w:val="24"/>
        </w:rPr>
        <w:t xml:space="preserve">Transmission </w:t>
      </w:r>
      <w:r w:rsidRPr="007354D0">
        <w:rPr>
          <w:sz w:val="24"/>
          <w:szCs w:val="24"/>
        </w:rPr>
        <w:t xml:space="preserve">Planning Models.  The criteria for the </w:t>
      </w:r>
      <w:r w:rsidR="00783B73" w:rsidRPr="007354D0">
        <w:rPr>
          <w:sz w:val="24"/>
          <w:szCs w:val="24"/>
        </w:rPr>
        <w:t xml:space="preserve">Transmission </w:t>
      </w:r>
      <w:r w:rsidRPr="007354D0">
        <w:rPr>
          <w:sz w:val="24"/>
          <w:szCs w:val="24"/>
        </w:rPr>
        <w:t>Planning Models can be found in Planning Guide Section 6.9</w:t>
      </w:r>
      <w:r w:rsidR="00DE4E4B">
        <w:rPr>
          <w:sz w:val="24"/>
          <w:szCs w:val="24"/>
        </w:rPr>
        <w:t>., Addition of Proposed Generation Resources to the Planning Models,</w:t>
      </w:r>
      <w:r w:rsidRPr="007354D0">
        <w:rPr>
          <w:sz w:val="24"/>
          <w:szCs w:val="24"/>
        </w:rPr>
        <w:t xml:space="preserve"> </w:t>
      </w:r>
      <w:r w:rsidRPr="007354D0">
        <w:rPr>
          <w:sz w:val="24"/>
          <w:szCs w:val="24"/>
        </w:rPr>
        <w:lastRenderedPageBreak/>
        <w:t xml:space="preserve">and was recently changed to include a requirement for </w:t>
      </w:r>
      <w:r w:rsidR="00783B73" w:rsidRPr="007354D0">
        <w:rPr>
          <w:sz w:val="24"/>
          <w:szCs w:val="24"/>
        </w:rPr>
        <w:t xml:space="preserve">planned </w:t>
      </w:r>
      <w:r w:rsidRPr="007354D0">
        <w:rPr>
          <w:sz w:val="24"/>
          <w:szCs w:val="24"/>
        </w:rPr>
        <w:t xml:space="preserve">generation resources to provide financial commitment to their interconnection TSP, along with a notice to proceed.  This change was made to provide more certainty </w:t>
      </w:r>
      <w:r w:rsidR="00783B73" w:rsidRPr="007354D0">
        <w:rPr>
          <w:sz w:val="24"/>
          <w:szCs w:val="24"/>
        </w:rPr>
        <w:t xml:space="preserve">that planned </w:t>
      </w:r>
      <w:r w:rsidRPr="007354D0">
        <w:rPr>
          <w:sz w:val="24"/>
          <w:szCs w:val="24"/>
        </w:rPr>
        <w:t xml:space="preserve">generation resources </w:t>
      </w:r>
      <w:r w:rsidR="00783B73" w:rsidRPr="007354D0">
        <w:rPr>
          <w:sz w:val="24"/>
          <w:szCs w:val="24"/>
        </w:rPr>
        <w:t xml:space="preserve">included in the models will actually be constructed.  </w:t>
      </w:r>
      <w:r w:rsidR="00A1326B" w:rsidRPr="007354D0">
        <w:rPr>
          <w:sz w:val="24"/>
          <w:szCs w:val="24"/>
        </w:rPr>
        <w:t xml:space="preserve">The PLWG recommends </w:t>
      </w:r>
      <w:r w:rsidR="004560EB" w:rsidRPr="007354D0">
        <w:rPr>
          <w:sz w:val="24"/>
          <w:szCs w:val="24"/>
        </w:rPr>
        <w:t xml:space="preserve">that </w:t>
      </w:r>
      <w:r w:rsidR="00A1326B" w:rsidRPr="007354D0">
        <w:rPr>
          <w:sz w:val="24"/>
          <w:szCs w:val="24"/>
        </w:rPr>
        <w:t>the CDR Report</w:t>
      </w:r>
      <w:r w:rsidR="00BE3DE2">
        <w:rPr>
          <w:sz w:val="24"/>
          <w:szCs w:val="24"/>
        </w:rPr>
        <w:t xml:space="preserve"> split the line “Planned Resources (not wind) with Signed IA, Air Permits and Water Rights” into two separate lines as follows:</w:t>
      </w:r>
    </w:p>
    <w:p w:rsidR="00BE3DE2" w:rsidRDefault="00BE3DE2" w:rsidP="00940566">
      <w:pPr>
        <w:pStyle w:val="ListParagraph"/>
        <w:spacing w:before="120"/>
        <w:ind w:left="691"/>
        <w:rPr>
          <w:sz w:val="24"/>
          <w:szCs w:val="24"/>
        </w:rPr>
      </w:pPr>
      <w:r>
        <w:rPr>
          <w:sz w:val="24"/>
          <w:szCs w:val="24"/>
        </w:rPr>
        <w:t>“Planned Resources (not wind) that meet PG 6.9 requirements”, and</w:t>
      </w:r>
    </w:p>
    <w:p w:rsidR="00BE3DE2" w:rsidRPr="00940566" w:rsidRDefault="00BE3DE2" w:rsidP="00940566">
      <w:pPr>
        <w:pStyle w:val="ListParagraph"/>
        <w:spacing w:before="120"/>
        <w:ind w:left="691"/>
        <w:rPr>
          <w:rFonts w:eastAsia="Helvetica" w:cs="Helvetica"/>
          <w:sz w:val="24"/>
          <w:szCs w:val="24"/>
        </w:rPr>
      </w:pPr>
      <w:r>
        <w:rPr>
          <w:sz w:val="24"/>
          <w:szCs w:val="24"/>
        </w:rPr>
        <w:t xml:space="preserve">“Planned Resources (not wind) </w:t>
      </w:r>
      <w:r w:rsidR="00B923DF">
        <w:rPr>
          <w:sz w:val="24"/>
          <w:szCs w:val="24"/>
        </w:rPr>
        <w:t>that do not me</w:t>
      </w:r>
      <w:r>
        <w:rPr>
          <w:sz w:val="24"/>
          <w:szCs w:val="24"/>
        </w:rPr>
        <w:t>et PG 6.9 requirements</w:t>
      </w:r>
      <w:r w:rsidR="00B923DF">
        <w:rPr>
          <w:sz w:val="24"/>
          <w:szCs w:val="24"/>
        </w:rPr>
        <w:t>, lacking financial commitment only</w:t>
      </w:r>
      <w:r>
        <w:rPr>
          <w:sz w:val="24"/>
          <w:szCs w:val="24"/>
        </w:rPr>
        <w:t xml:space="preserve">” </w:t>
      </w:r>
    </w:p>
    <w:p w:rsidR="008D1485" w:rsidRPr="007354D0" w:rsidRDefault="00BE3DE2" w:rsidP="00940566">
      <w:pPr>
        <w:pStyle w:val="ListParagraph"/>
        <w:spacing w:before="120"/>
        <w:ind w:left="691"/>
        <w:rPr>
          <w:rFonts w:eastAsia="Helvetica" w:cs="Helvetica"/>
          <w:sz w:val="24"/>
          <w:szCs w:val="24"/>
        </w:rPr>
      </w:pPr>
      <w:r>
        <w:rPr>
          <w:sz w:val="24"/>
          <w:szCs w:val="24"/>
        </w:rPr>
        <w:t xml:space="preserve">This will </w:t>
      </w:r>
      <w:r w:rsidR="00EA66CF">
        <w:rPr>
          <w:sz w:val="24"/>
          <w:szCs w:val="24"/>
        </w:rPr>
        <w:t xml:space="preserve">not change the CDR Report reserve margin calculations, but will </w:t>
      </w:r>
      <w:r>
        <w:rPr>
          <w:sz w:val="24"/>
          <w:szCs w:val="24"/>
        </w:rPr>
        <w:t xml:space="preserve">provide the user with the </w:t>
      </w:r>
      <w:r w:rsidR="00EA66CF">
        <w:rPr>
          <w:sz w:val="24"/>
          <w:szCs w:val="24"/>
        </w:rPr>
        <w:t xml:space="preserve">ability to reconcile the CDR with the planning case, as well as provide user </w:t>
      </w:r>
      <w:r>
        <w:rPr>
          <w:sz w:val="24"/>
          <w:szCs w:val="24"/>
        </w:rPr>
        <w:t xml:space="preserve">insight </w:t>
      </w:r>
      <w:r w:rsidR="00EA66CF">
        <w:rPr>
          <w:sz w:val="24"/>
          <w:szCs w:val="24"/>
        </w:rPr>
        <w:t>into the amount of</w:t>
      </w:r>
      <w:r>
        <w:rPr>
          <w:sz w:val="24"/>
          <w:szCs w:val="24"/>
        </w:rPr>
        <w:t xml:space="preserve"> generat</w:t>
      </w:r>
      <w:r w:rsidR="00EA66CF">
        <w:rPr>
          <w:sz w:val="24"/>
          <w:szCs w:val="24"/>
        </w:rPr>
        <w:t xml:space="preserve">ion that </w:t>
      </w:r>
      <w:r>
        <w:rPr>
          <w:sz w:val="24"/>
          <w:szCs w:val="24"/>
        </w:rPr>
        <w:t xml:space="preserve">nearly </w:t>
      </w:r>
      <w:r w:rsidR="00EA66CF">
        <w:rPr>
          <w:sz w:val="24"/>
          <w:szCs w:val="24"/>
        </w:rPr>
        <w:t>meets</w:t>
      </w:r>
      <w:r>
        <w:rPr>
          <w:sz w:val="24"/>
          <w:szCs w:val="24"/>
        </w:rPr>
        <w:t xml:space="preserve"> </w:t>
      </w:r>
      <w:r w:rsidR="00EA66CF">
        <w:rPr>
          <w:sz w:val="24"/>
          <w:szCs w:val="24"/>
        </w:rPr>
        <w:t xml:space="preserve">Planning Guide Section 6.9 </w:t>
      </w:r>
      <w:r>
        <w:rPr>
          <w:sz w:val="24"/>
          <w:szCs w:val="24"/>
        </w:rPr>
        <w:t>requirements</w:t>
      </w:r>
      <w:r w:rsidR="00EA66CF">
        <w:rPr>
          <w:sz w:val="24"/>
          <w:szCs w:val="24"/>
        </w:rPr>
        <w:t xml:space="preserve">.  </w:t>
      </w:r>
      <w:r w:rsidR="00A1326B" w:rsidRPr="007354D0">
        <w:rPr>
          <w:sz w:val="24"/>
          <w:szCs w:val="24"/>
        </w:rPr>
        <w:t xml:space="preserve">This change would require a Protocol revision.  </w:t>
      </w:r>
      <w:r w:rsidR="00CF2296" w:rsidRPr="007354D0">
        <w:rPr>
          <w:sz w:val="24"/>
          <w:szCs w:val="24"/>
        </w:rPr>
        <w:t xml:space="preserve"> </w:t>
      </w:r>
    </w:p>
    <w:p w:rsidR="008D1485" w:rsidRPr="007354D0" w:rsidRDefault="00DB0CF3" w:rsidP="00DB0CF3">
      <w:pPr>
        <w:pStyle w:val="ListParagraph"/>
        <w:numPr>
          <w:ilvl w:val="0"/>
          <w:numId w:val="13"/>
        </w:numPr>
        <w:tabs>
          <w:tab w:val="clear" w:pos="720"/>
          <w:tab w:val="num" w:pos="687"/>
        </w:tabs>
        <w:spacing w:before="120"/>
        <w:ind w:left="691" w:hanging="331"/>
        <w:rPr>
          <w:rFonts w:eastAsia="Helvetica" w:cs="Helvetica"/>
          <w:sz w:val="24"/>
          <w:szCs w:val="24"/>
        </w:rPr>
      </w:pPr>
      <w:r w:rsidRPr="007354D0">
        <w:rPr>
          <w:sz w:val="24"/>
          <w:szCs w:val="24"/>
        </w:rPr>
        <w:t xml:space="preserve">The RTP Reliability </w:t>
      </w:r>
      <w:r w:rsidR="00A83AE5">
        <w:rPr>
          <w:sz w:val="24"/>
          <w:szCs w:val="24"/>
        </w:rPr>
        <w:t>Model</w:t>
      </w:r>
      <w:r w:rsidR="00A83AE5" w:rsidRPr="007354D0">
        <w:rPr>
          <w:sz w:val="24"/>
          <w:szCs w:val="24"/>
        </w:rPr>
        <w:t xml:space="preserve">s </w:t>
      </w:r>
      <w:r w:rsidRPr="007354D0">
        <w:rPr>
          <w:sz w:val="24"/>
          <w:szCs w:val="24"/>
        </w:rPr>
        <w:t xml:space="preserve">should adopt the methodology for hydro-electric unit dispatch </w:t>
      </w:r>
      <w:r w:rsidR="0059207D" w:rsidRPr="007354D0">
        <w:rPr>
          <w:sz w:val="24"/>
          <w:szCs w:val="24"/>
        </w:rPr>
        <w:t xml:space="preserve">that </w:t>
      </w:r>
      <w:r w:rsidRPr="007354D0">
        <w:rPr>
          <w:sz w:val="24"/>
          <w:szCs w:val="24"/>
        </w:rPr>
        <w:t xml:space="preserve">the CDR </w:t>
      </w:r>
      <w:r w:rsidR="0059207D" w:rsidRPr="007354D0">
        <w:rPr>
          <w:sz w:val="24"/>
          <w:szCs w:val="24"/>
        </w:rPr>
        <w:t xml:space="preserve">Report </w:t>
      </w:r>
      <w:r w:rsidRPr="007354D0">
        <w:rPr>
          <w:sz w:val="24"/>
          <w:szCs w:val="24"/>
        </w:rPr>
        <w:t>uses for calculating hydro-electric unit capacity.  This change would have very little impact on the</w:t>
      </w:r>
      <w:r w:rsidR="0059207D" w:rsidRPr="007354D0">
        <w:rPr>
          <w:sz w:val="24"/>
          <w:szCs w:val="24"/>
        </w:rPr>
        <w:t xml:space="preserve"> Transmission</w:t>
      </w:r>
      <w:r w:rsidRPr="007354D0">
        <w:rPr>
          <w:sz w:val="24"/>
          <w:szCs w:val="24"/>
        </w:rPr>
        <w:t xml:space="preserve"> Planning Models and would result in more consistency between the processes.  If a planner would like to study a scenario with zero output from hydro-electric units this can be run as a one-off scenario.</w:t>
      </w:r>
    </w:p>
    <w:p w:rsidR="008D1485" w:rsidRPr="007354D0" w:rsidRDefault="00DB0CF3" w:rsidP="00DB0CF3">
      <w:pPr>
        <w:pStyle w:val="ListParagraph"/>
        <w:numPr>
          <w:ilvl w:val="0"/>
          <w:numId w:val="13"/>
        </w:numPr>
        <w:tabs>
          <w:tab w:val="clear" w:pos="720"/>
          <w:tab w:val="num" w:pos="687"/>
        </w:tabs>
        <w:spacing w:before="120"/>
        <w:ind w:left="691" w:hanging="331"/>
        <w:rPr>
          <w:rFonts w:eastAsia="Helvetica" w:cs="Helvetica"/>
          <w:sz w:val="24"/>
          <w:szCs w:val="24"/>
        </w:rPr>
      </w:pPr>
      <w:r w:rsidRPr="007354D0">
        <w:rPr>
          <w:sz w:val="24"/>
          <w:szCs w:val="24"/>
        </w:rPr>
        <w:t xml:space="preserve">The SSWG base case </w:t>
      </w:r>
      <w:r w:rsidR="00A83AE5">
        <w:rPr>
          <w:sz w:val="24"/>
          <w:szCs w:val="24"/>
        </w:rPr>
        <w:t>model</w:t>
      </w:r>
      <w:r w:rsidR="00A83AE5" w:rsidRPr="007354D0">
        <w:rPr>
          <w:sz w:val="24"/>
          <w:szCs w:val="24"/>
        </w:rPr>
        <w:t xml:space="preserve">s </w:t>
      </w:r>
      <w:r w:rsidRPr="007354D0">
        <w:rPr>
          <w:sz w:val="24"/>
          <w:szCs w:val="24"/>
        </w:rPr>
        <w:t xml:space="preserve">and the RTP Reliability </w:t>
      </w:r>
      <w:r w:rsidR="00A83AE5">
        <w:rPr>
          <w:sz w:val="24"/>
          <w:szCs w:val="24"/>
        </w:rPr>
        <w:t>Model</w:t>
      </w:r>
      <w:r w:rsidR="00A83AE5" w:rsidRPr="007354D0">
        <w:rPr>
          <w:sz w:val="24"/>
          <w:szCs w:val="24"/>
        </w:rPr>
        <w:t xml:space="preserve">s </w:t>
      </w:r>
      <w:r w:rsidRPr="007354D0">
        <w:rPr>
          <w:sz w:val="24"/>
          <w:szCs w:val="24"/>
        </w:rPr>
        <w:t xml:space="preserve">should adopt the methodology for DC tie import/ export levels </w:t>
      </w:r>
      <w:r w:rsidR="0059207D" w:rsidRPr="007354D0">
        <w:rPr>
          <w:sz w:val="24"/>
          <w:szCs w:val="24"/>
        </w:rPr>
        <w:t>that</w:t>
      </w:r>
      <w:r w:rsidRPr="007354D0">
        <w:rPr>
          <w:sz w:val="24"/>
          <w:szCs w:val="24"/>
        </w:rPr>
        <w:t xml:space="preserve"> </w:t>
      </w:r>
      <w:r w:rsidR="00A1326B" w:rsidRPr="007354D0">
        <w:rPr>
          <w:sz w:val="24"/>
          <w:szCs w:val="24"/>
        </w:rPr>
        <w:t xml:space="preserve">are </w:t>
      </w:r>
      <w:r w:rsidRPr="007354D0">
        <w:rPr>
          <w:sz w:val="24"/>
          <w:szCs w:val="24"/>
        </w:rPr>
        <w:t>used in the CDR</w:t>
      </w:r>
      <w:r w:rsidR="0059207D" w:rsidRPr="007354D0">
        <w:rPr>
          <w:sz w:val="24"/>
          <w:szCs w:val="24"/>
        </w:rPr>
        <w:t xml:space="preserve"> Report</w:t>
      </w:r>
      <w:r w:rsidRPr="007354D0">
        <w:rPr>
          <w:sz w:val="24"/>
          <w:szCs w:val="24"/>
        </w:rPr>
        <w:t xml:space="preserve">.  The SSWG base </w:t>
      </w:r>
      <w:r w:rsidR="00A83AE5">
        <w:rPr>
          <w:sz w:val="24"/>
          <w:szCs w:val="24"/>
        </w:rPr>
        <w:t>model</w:t>
      </w:r>
      <w:r w:rsidR="00A83AE5" w:rsidRPr="007354D0">
        <w:rPr>
          <w:sz w:val="24"/>
          <w:szCs w:val="24"/>
        </w:rPr>
        <w:t>s</w:t>
      </w:r>
      <w:r w:rsidRPr="007354D0">
        <w:rPr>
          <w:sz w:val="24"/>
          <w:szCs w:val="24"/>
        </w:rPr>
        <w:t xml:space="preserve">, RTP Reliability </w:t>
      </w:r>
      <w:r w:rsidR="00A83AE5">
        <w:rPr>
          <w:sz w:val="24"/>
          <w:szCs w:val="24"/>
        </w:rPr>
        <w:t>Model</w:t>
      </w:r>
      <w:r w:rsidR="00A83AE5" w:rsidRPr="007354D0">
        <w:rPr>
          <w:sz w:val="24"/>
          <w:szCs w:val="24"/>
        </w:rPr>
        <w:t>s</w:t>
      </w:r>
      <w:r w:rsidRPr="007354D0">
        <w:rPr>
          <w:sz w:val="24"/>
          <w:szCs w:val="24"/>
        </w:rPr>
        <w:t xml:space="preserve">, and CDR </w:t>
      </w:r>
      <w:r w:rsidR="0059207D" w:rsidRPr="007354D0">
        <w:rPr>
          <w:sz w:val="24"/>
          <w:szCs w:val="24"/>
        </w:rPr>
        <w:t xml:space="preserve">Report </w:t>
      </w:r>
      <w:r w:rsidRPr="007354D0">
        <w:rPr>
          <w:sz w:val="24"/>
          <w:szCs w:val="24"/>
        </w:rPr>
        <w:t xml:space="preserve">all use historic information to determine DC tie import/ export levels, but the methodologies are not consistent.  </w:t>
      </w:r>
      <w:r w:rsidR="000770BC" w:rsidRPr="007354D0">
        <w:rPr>
          <w:sz w:val="24"/>
          <w:szCs w:val="24"/>
        </w:rPr>
        <w:t xml:space="preserve">It is not proposed to change the SSWG extraordinary dispatch procedures.  </w:t>
      </w:r>
      <w:r w:rsidRPr="007354D0">
        <w:rPr>
          <w:sz w:val="24"/>
          <w:szCs w:val="24"/>
        </w:rPr>
        <w:t xml:space="preserve">Using the same methodology will improve consistency and reduce confusion. This change would require modifications to the SSWG Procedure Manual and </w:t>
      </w:r>
      <w:r w:rsidR="006940E2" w:rsidRPr="007354D0">
        <w:rPr>
          <w:sz w:val="24"/>
          <w:szCs w:val="24"/>
        </w:rPr>
        <w:t xml:space="preserve">would also be reflected in </w:t>
      </w:r>
      <w:r w:rsidRPr="007354D0">
        <w:rPr>
          <w:sz w:val="24"/>
          <w:szCs w:val="24"/>
        </w:rPr>
        <w:t>the annual RTP scope document.</w:t>
      </w:r>
    </w:p>
    <w:p w:rsidR="008D1485" w:rsidRPr="007354D0" w:rsidRDefault="004D3C79" w:rsidP="00DB0CF3">
      <w:pPr>
        <w:pStyle w:val="ListParagraph"/>
        <w:numPr>
          <w:ilvl w:val="0"/>
          <w:numId w:val="13"/>
        </w:numPr>
        <w:tabs>
          <w:tab w:val="clear" w:pos="720"/>
          <w:tab w:val="num" w:pos="687"/>
        </w:tabs>
        <w:spacing w:before="120"/>
        <w:ind w:left="691" w:hanging="331"/>
        <w:rPr>
          <w:rFonts w:eastAsia="Helvetica" w:cs="Helvetica"/>
          <w:sz w:val="24"/>
          <w:szCs w:val="24"/>
        </w:rPr>
      </w:pPr>
      <w:r w:rsidRPr="007354D0">
        <w:rPr>
          <w:sz w:val="24"/>
          <w:szCs w:val="24"/>
        </w:rPr>
        <w:t>It is appropriate for the SSWG base case</w:t>
      </w:r>
      <w:r w:rsidR="00A83AE5">
        <w:rPr>
          <w:sz w:val="24"/>
          <w:szCs w:val="24"/>
        </w:rPr>
        <w:t xml:space="preserve"> models</w:t>
      </w:r>
      <w:r w:rsidRPr="007354D0">
        <w:rPr>
          <w:sz w:val="24"/>
          <w:szCs w:val="24"/>
        </w:rPr>
        <w:t xml:space="preserve"> and the RTP Reliability </w:t>
      </w:r>
      <w:r w:rsidR="00A83AE5">
        <w:rPr>
          <w:sz w:val="24"/>
          <w:szCs w:val="24"/>
        </w:rPr>
        <w:t>Models</w:t>
      </w:r>
      <w:r w:rsidR="00A83AE5" w:rsidRPr="007354D0">
        <w:rPr>
          <w:sz w:val="24"/>
          <w:szCs w:val="24"/>
        </w:rPr>
        <w:t xml:space="preserve"> </w:t>
      </w:r>
      <w:r w:rsidRPr="007354D0">
        <w:rPr>
          <w:sz w:val="24"/>
          <w:szCs w:val="24"/>
        </w:rPr>
        <w:t>to model more conservative (lower) levels of wind generation output.  However, when modeled wind generation output levels are increased as an extraordinary dispatch measure, the wind generation output level should be set consistent with the CDR Report methodology</w:t>
      </w:r>
      <w:r w:rsidR="007523DB" w:rsidRPr="007354D0">
        <w:rPr>
          <w:sz w:val="24"/>
          <w:szCs w:val="24"/>
        </w:rPr>
        <w:t xml:space="preserve"> to the extent that Load and Resource balance can be achieved in the model</w:t>
      </w:r>
      <w:r w:rsidRPr="007354D0">
        <w:rPr>
          <w:sz w:val="24"/>
          <w:szCs w:val="24"/>
        </w:rPr>
        <w:t>.  Using the same methodology will improve consistency and reduce confusion. This change would require modifications to the SSWG Procedure Manual and would be reflected in the annual RTP scope document.</w:t>
      </w:r>
    </w:p>
    <w:p w:rsidR="008D1485" w:rsidRPr="007354D0" w:rsidRDefault="00DB0CF3" w:rsidP="00DB0CF3">
      <w:pPr>
        <w:pStyle w:val="ListParagraph"/>
        <w:numPr>
          <w:ilvl w:val="0"/>
          <w:numId w:val="13"/>
        </w:numPr>
        <w:tabs>
          <w:tab w:val="clear" w:pos="720"/>
          <w:tab w:val="num" w:pos="687"/>
        </w:tabs>
        <w:spacing w:before="120"/>
        <w:ind w:left="691" w:hanging="331"/>
        <w:rPr>
          <w:rFonts w:eastAsia="Helvetica" w:cs="Helvetica"/>
          <w:sz w:val="24"/>
          <w:szCs w:val="24"/>
        </w:rPr>
      </w:pPr>
      <w:r w:rsidRPr="007354D0">
        <w:rPr>
          <w:sz w:val="24"/>
          <w:szCs w:val="24"/>
        </w:rPr>
        <w:t xml:space="preserve">As more solar is developed on the ERCOT System, PLWG recommends that the consistency between the CDR </w:t>
      </w:r>
      <w:r w:rsidR="0059207D" w:rsidRPr="007354D0">
        <w:rPr>
          <w:sz w:val="24"/>
          <w:szCs w:val="24"/>
        </w:rPr>
        <w:t xml:space="preserve">Report </w:t>
      </w:r>
      <w:r w:rsidRPr="007354D0">
        <w:rPr>
          <w:sz w:val="24"/>
          <w:szCs w:val="24"/>
        </w:rPr>
        <w:t>and the Planning Models be reviewed.</w:t>
      </w:r>
    </w:p>
    <w:p w:rsidR="008D1485" w:rsidRPr="007354D0" w:rsidRDefault="00427B89" w:rsidP="007354D0">
      <w:pPr>
        <w:pStyle w:val="BodyA"/>
        <w:rPr>
          <w:rFonts w:ascii="Calibri" w:hAnsi="Calibri"/>
          <w:b/>
          <w:sz w:val="28"/>
          <w:szCs w:val="28"/>
        </w:rPr>
      </w:pPr>
      <w:r>
        <w:rPr>
          <w:rFonts w:ascii="Calibri" w:hAnsi="Calibri"/>
        </w:rPr>
        <w:br w:type="page"/>
      </w:r>
      <w:r w:rsidR="00DB0CF3" w:rsidRPr="007354D0">
        <w:rPr>
          <w:rFonts w:ascii="Calibri" w:hAnsi="Calibri"/>
          <w:b/>
          <w:sz w:val="28"/>
          <w:szCs w:val="28"/>
        </w:rPr>
        <w:lastRenderedPageBreak/>
        <w:t xml:space="preserve">Appendix </w:t>
      </w:r>
      <w:r w:rsidR="004B4217" w:rsidRPr="007354D0">
        <w:rPr>
          <w:rFonts w:ascii="Calibri" w:hAnsi="Calibri"/>
          <w:b/>
          <w:sz w:val="28"/>
          <w:szCs w:val="28"/>
        </w:rPr>
        <w:t>A</w:t>
      </w:r>
      <w:r w:rsidRPr="007354D0">
        <w:rPr>
          <w:rFonts w:ascii="Calibri" w:hAnsi="Calibri"/>
          <w:b/>
          <w:sz w:val="28"/>
          <w:szCs w:val="28"/>
        </w:rPr>
        <w:t xml:space="preserve"> - </w:t>
      </w:r>
      <w:r w:rsidR="00DB0CF3" w:rsidRPr="007354D0">
        <w:rPr>
          <w:rFonts w:ascii="Calibri" w:hAnsi="Calibri"/>
          <w:b/>
          <w:sz w:val="28"/>
          <w:szCs w:val="28"/>
        </w:rPr>
        <w:t>Example Transmission Service Provider Load Forecasting Methodologies</w:t>
      </w:r>
    </w:p>
    <w:p w:rsidR="00427B89" w:rsidRPr="007354D0" w:rsidRDefault="00427B89" w:rsidP="007354D0">
      <w:pPr>
        <w:pStyle w:val="Body"/>
        <w:rPr>
          <w:rFonts w:ascii="Calibri" w:hAnsi="Calibri"/>
        </w:rPr>
      </w:pPr>
    </w:p>
    <w:p w:rsidR="00427B89" w:rsidRPr="007354D0" w:rsidRDefault="00427B89" w:rsidP="007354D0">
      <w:pPr>
        <w:pStyle w:val="Body"/>
        <w:rPr>
          <w:rFonts w:ascii="Calibri" w:eastAsia="Helvetica" w:hAnsi="Calibri" w:cs="Helvetica"/>
          <w:sz w:val="28"/>
          <w:szCs w:val="28"/>
          <w:u w:val="single"/>
        </w:rPr>
      </w:pPr>
      <w:r w:rsidRPr="007354D0">
        <w:rPr>
          <w:rFonts w:ascii="Calibri" w:hAnsi="Calibri"/>
          <w:sz w:val="28"/>
          <w:szCs w:val="28"/>
          <w:u w:val="single"/>
        </w:rPr>
        <w:t>AEP</w:t>
      </w:r>
    </w:p>
    <w:p w:rsidR="00427B89" w:rsidRPr="00427B89" w:rsidRDefault="00427B89" w:rsidP="007354D0">
      <w:pPr>
        <w:pStyle w:val="Body"/>
        <w:rPr>
          <w:rFonts w:ascii="Calibri" w:eastAsia="Helvetica" w:hAnsi="Calibri" w:cs="Helvetica"/>
        </w:rPr>
      </w:pPr>
    </w:p>
    <w:p w:rsidR="00427B89" w:rsidRPr="00427B89" w:rsidRDefault="00427B89" w:rsidP="007354D0">
      <w:pPr>
        <w:pStyle w:val="Body"/>
        <w:rPr>
          <w:rFonts w:ascii="Calibri" w:eastAsia="Helvetica" w:hAnsi="Calibri" w:cs="Helvetica"/>
        </w:rPr>
      </w:pPr>
      <w:r w:rsidRPr="00427B89">
        <w:rPr>
          <w:rFonts w:ascii="Calibri" w:hAnsi="Calibri"/>
        </w:rPr>
        <w:t>AEP tries to match our total load value to the value of the load during each operating company</w:t>
      </w:r>
      <w:r w:rsidRPr="00427B89">
        <w:rPr>
          <w:rFonts w:ascii="Calibri" w:hAnsi="Calibri"/>
          <w:lang w:val="fr-FR"/>
        </w:rPr>
        <w:t>’</w:t>
      </w:r>
      <w:r w:rsidRPr="00427B89">
        <w:rPr>
          <w:rFonts w:ascii="Calibri" w:hAnsi="Calibri"/>
        </w:rPr>
        <w:t>s peak (TCC and TNC, individually). Our intent for the SSWG peak load (i.e. summer) cases is to represent a load scenario where the local transmission system is most stressed. We do this by taking the NCP loads, provided in the ALDR, and applying a factor that consists of the company</w:t>
      </w:r>
      <w:r w:rsidRPr="00427B89">
        <w:rPr>
          <w:rFonts w:ascii="Calibri" w:hAnsi="Calibri"/>
          <w:lang w:val="fr-FR"/>
        </w:rPr>
        <w:t>’</w:t>
      </w:r>
      <w:r w:rsidRPr="00427B89">
        <w:rPr>
          <w:rFonts w:ascii="Calibri" w:hAnsi="Calibri"/>
        </w:rPr>
        <w:t>s CP load value divided by the total of the company</w:t>
      </w:r>
      <w:r w:rsidRPr="00427B89">
        <w:rPr>
          <w:rFonts w:ascii="Calibri" w:hAnsi="Calibri"/>
          <w:lang w:val="fr-FR"/>
        </w:rPr>
        <w:t>’</w:t>
      </w:r>
      <w:r w:rsidRPr="00427B89">
        <w:rPr>
          <w:rFonts w:ascii="Calibri" w:hAnsi="Calibri"/>
        </w:rPr>
        <w:t>s NCPs. This factor is not applied to industrial loads which are kept constant throughout the cases. This factor is also not applied to “self-serve” loads, which are forecasted separately.  This philosophy results in the SSWG cases having a combined total AEP company load that is higher than AEP</w:t>
      </w:r>
      <w:r w:rsidRPr="00427B89">
        <w:rPr>
          <w:rFonts w:ascii="Calibri" w:hAnsi="Calibri"/>
          <w:lang w:val="fr-FR"/>
        </w:rPr>
        <w:t>’</w:t>
      </w:r>
      <w:r w:rsidRPr="00427B89">
        <w:rPr>
          <w:rFonts w:ascii="Calibri" w:hAnsi="Calibri"/>
        </w:rPr>
        <w:t>s portion of the ERCOT CP load, but less than the combined total of the NCP at each load point.</w:t>
      </w:r>
    </w:p>
    <w:p w:rsidR="00427B89" w:rsidRPr="00D155D1" w:rsidRDefault="00427B89" w:rsidP="007354D0">
      <w:pPr>
        <w:pStyle w:val="Body"/>
        <w:rPr>
          <w:rFonts w:ascii="Calibri" w:hAnsi="Calibri"/>
        </w:rPr>
      </w:pPr>
    </w:p>
    <w:p w:rsidR="009C1873" w:rsidRDefault="00427B89" w:rsidP="007354D0">
      <w:pPr>
        <w:pStyle w:val="NoSpacing"/>
        <w:spacing w:before="120"/>
        <w:rPr>
          <w:rFonts w:ascii="Calibri" w:hAnsi="Calibri"/>
          <w:sz w:val="28"/>
          <w:szCs w:val="28"/>
          <w:u w:val="single"/>
        </w:rPr>
      </w:pPr>
      <w:r w:rsidRPr="007354D0">
        <w:rPr>
          <w:rFonts w:ascii="Calibri" w:hAnsi="Calibri"/>
          <w:sz w:val="28"/>
          <w:szCs w:val="28"/>
          <w:u w:val="single"/>
        </w:rPr>
        <w:t>CenterPoint</w:t>
      </w:r>
    </w:p>
    <w:p w:rsidR="009C1873" w:rsidRDefault="009C1873" w:rsidP="007354D0">
      <w:pPr>
        <w:pStyle w:val="NoSpacing"/>
        <w:spacing w:before="120"/>
        <w:rPr>
          <w:rFonts w:ascii="Calibri" w:hAnsi="Calibri"/>
          <w:sz w:val="28"/>
          <w:szCs w:val="28"/>
          <w:u w:val="single"/>
        </w:rPr>
      </w:pPr>
    </w:p>
    <w:p w:rsidR="00427B89" w:rsidRPr="007354D0" w:rsidRDefault="00427B89" w:rsidP="007354D0">
      <w:pPr>
        <w:pStyle w:val="NoSpacing"/>
        <w:spacing w:before="120"/>
        <w:rPr>
          <w:rFonts w:ascii="Calibri" w:hAnsi="Calibri"/>
          <w:sz w:val="28"/>
          <w:szCs w:val="28"/>
          <w:u w:val="single"/>
        </w:rPr>
      </w:pPr>
      <w:r w:rsidRPr="00427B89">
        <w:rPr>
          <w:rFonts w:ascii="Calibri" w:hAnsi="Calibri"/>
          <w:sz w:val="24"/>
          <w:szCs w:val="24"/>
        </w:rPr>
        <w:t xml:space="preserve">CenterPoint Energy’s SSWG load data is based on our ALDR submittal. Loads within the CenterPoint Energy system include distribution loads, </w:t>
      </w:r>
      <w:r w:rsidR="00954ADF">
        <w:rPr>
          <w:rFonts w:ascii="Calibri" w:hAnsi="Calibri"/>
          <w:sz w:val="24"/>
          <w:szCs w:val="24"/>
        </w:rPr>
        <w:t>t</w:t>
      </w:r>
      <w:r w:rsidRPr="00427B89">
        <w:rPr>
          <w:rFonts w:ascii="Calibri" w:hAnsi="Calibri"/>
          <w:sz w:val="24"/>
          <w:szCs w:val="24"/>
        </w:rPr>
        <w:t xml:space="preserve">ransmission level customer loads, and </w:t>
      </w:r>
      <w:r w:rsidR="00954ADF">
        <w:rPr>
          <w:rFonts w:ascii="Calibri" w:hAnsi="Calibri"/>
          <w:sz w:val="24"/>
          <w:szCs w:val="24"/>
        </w:rPr>
        <w:t>s</w:t>
      </w:r>
      <w:r w:rsidRPr="00427B89">
        <w:rPr>
          <w:rFonts w:ascii="Calibri" w:hAnsi="Calibri"/>
          <w:sz w:val="24"/>
          <w:szCs w:val="24"/>
        </w:rPr>
        <w:t xml:space="preserve">elf-serve loads. </w:t>
      </w:r>
    </w:p>
    <w:p w:rsidR="00427B89" w:rsidRPr="00427B89" w:rsidRDefault="00427B89" w:rsidP="007354D0">
      <w:pPr>
        <w:pStyle w:val="NoSpacing"/>
        <w:spacing w:before="120"/>
        <w:rPr>
          <w:rFonts w:ascii="Calibri" w:hAnsi="Calibri"/>
          <w:sz w:val="24"/>
          <w:szCs w:val="24"/>
        </w:rPr>
      </w:pPr>
      <w:r w:rsidRPr="00427B89">
        <w:rPr>
          <w:rFonts w:ascii="Calibri" w:hAnsi="Calibri"/>
          <w:sz w:val="24"/>
          <w:szCs w:val="24"/>
        </w:rPr>
        <w:t>The distribution load forecast is based on 102 degree F average temperature across all CenterPoint Energy distribution substations. All distributed generators above 1 MW are modeled explicitly as negative loads based on historical operation. CenterPoint Energy’s energy efficiency programs are also incorporated in the distribution load forecast. Any new loads are added to the previous actual summer peak loads to produce a substation level forecast. Load projections for each substation are adjusted based on historical trends or similarly-situated customer demands.</w:t>
      </w:r>
    </w:p>
    <w:p w:rsidR="00427B89" w:rsidRPr="00427B89" w:rsidRDefault="00427B89" w:rsidP="007354D0">
      <w:pPr>
        <w:pStyle w:val="NoSpacing"/>
        <w:spacing w:before="120"/>
        <w:rPr>
          <w:rFonts w:ascii="Calibri" w:hAnsi="Calibri"/>
          <w:sz w:val="24"/>
          <w:szCs w:val="24"/>
        </w:rPr>
      </w:pPr>
      <w:r w:rsidRPr="00427B89">
        <w:rPr>
          <w:rFonts w:ascii="Calibri" w:hAnsi="Calibri"/>
          <w:sz w:val="24"/>
          <w:szCs w:val="24"/>
        </w:rPr>
        <w:t xml:space="preserve">The transmission level customer load forecast </w:t>
      </w:r>
      <w:r w:rsidR="00954ADF">
        <w:rPr>
          <w:rFonts w:ascii="Calibri" w:hAnsi="Calibri"/>
          <w:sz w:val="24"/>
          <w:szCs w:val="24"/>
        </w:rPr>
        <w:t>is independent of the ambient temperature</w:t>
      </w:r>
      <w:r w:rsidRPr="00427B89">
        <w:rPr>
          <w:rFonts w:ascii="Calibri" w:hAnsi="Calibri"/>
          <w:sz w:val="24"/>
          <w:szCs w:val="24"/>
        </w:rPr>
        <w:t>. Load forecasts for the large industrial customers are developed by reviewing billing data from the previous year’s peak load during summer weekday afternoon hours. Future load increases, based on customer provided data, are included in the models once construction of the new facilities has begun. The load forecast for future transmission level customers are developed using customer provided load estimates and included in the SSWG models once they sign a letter agreement with CenterPoint Energy, provide payment for service extension, and provide security for any associated upgrades.</w:t>
      </w:r>
    </w:p>
    <w:p w:rsidR="00427B89" w:rsidRPr="00427B89" w:rsidRDefault="00427B89" w:rsidP="007354D0">
      <w:pPr>
        <w:pStyle w:val="NoSpacing"/>
        <w:spacing w:before="120"/>
        <w:rPr>
          <w:rFonts w:ascii="Calibri" w:hAnsi="Calibri"/>
          <w:sz w:val="24"/>
          <w:szCs w:val="24"/>
        </w:rPr>
      </w:pPr>
      <w:r w:rsidRPr="00427B89">
        <w:rPr>
          <w:rFonts w:ascii="Calibri" w:hAnsi="Calibri"/>
          <w:sz w:val="24"/>
          <w:szCs w:val="24"/>
        </w:rPr>
        <w:t xml:space="preserve">Loads at self-serve facilities are explicitly modeled along with its self-serve generation. The self-serve load modeling in the SSWG </w:t>
      </w:r>
      <w:r w:rsidR="00A83AE5">
        <w:rPr>
          <w:rFonts w:ascii="Calibri" w:hAnsi="Calibri"/>
          <w:sz w:val="24"/>
          <w:szCs w:val="24"/>
        </w:rPr>
        <w:t>models</w:t>
      </w:r>
      <w:r w:rsidR="00A83AE5" w:rsidRPr="00427B89">
        <w:rPr>
          <w:rFonts w:ascii="Calibri" w:hAnsi="Calibri"/>
          <w:sz w:val="24"/>
          <w:szCs w:val="24"/>
        </w:rPr>
        <w:t xml:space="preserve"> </w:t>
      </w:r>
      <w:r w:rsidRPr="00427B89">
        <w:rPr>
          <w:rFonts w:ascii="Calibri" w:hAnsi="Calibri"/>
          <w:sz w:val="24"/>
          <w:szCs w:val="24"/>
        </w:rPr>
        <w:t>is based on actual net injection to the transmission grid and resource capability (i.e. self-serve load is off-set by self-serve generation). The net load forecast for self-serve customers are developed by reviewing billing data from the previous year’s peak load during summer weekday afternoon hours.</w:t>
      </w:r>
    </w:p>
    <w:p w:rsidR="00427B89" w:rsidRDefault="00427B89" w:rsidP="007354D0">
      <w:pPr>
        <w:pStyle w:val="Body"/>
        <w:rPr>
          <w:rFonts w:ascii="Calibri" w:hAnsi="Calibri"/>
        </w:rPr>
      </w:pPr>
    </w:p>
    <w:p w:rsidR="009C1873" w:rsidRPr="007354D0" w:rsidRDefault="009C1873" w:rsidP="007354D0">
      <w:pPr>
        <w:pStyle w:val="NoSpacing"/>
        <w:spacing w:before="120"/>
        <w:rPr>
          <w:rFonts w:ascii="Calibri" w:hAnsi="Calibri"/>
          <w:sz w:val="28"/>
          <w:szCs w:val="28"/>
          <w:u w:val="single"/>
        </w:rPr>
      </w:pPr>
      <w:r w:rsidRPr="007354D0">
        <w:rPr>
          <w:rFonts w:ascii="Calibri" w:hAnsi="Calibri"/>
          <w:sz w:val="28"/>
          <w:szCs w:val="28"/>
          <w:u w:val="single"/>
        </w:rPr>
        <w:t>CPS Energy</w:t>
      </w:r>
    </w:p>
    <w:p w:rsidR="009C1873" w:rsidRPr="007354D0" w:rsidRDefault="009C1873" w:rsidP="007354D0">
      <w:pPr>
        <w:pStyle w:val="Body"/>
        <w:rPr>
          <w:rFonts w:ascii="Calibri" w:hAnsi="Calibri"/>
        </w:rPr>
      </w:pPr>
    </w:p>
    <w:p w:rsidR="009C1873" w:rsidRPr="007354D0" w:rsidRDefault="009C1873" w:rsidP="007354D0">
      <w:pPr>
        <w:pStyle w:val="Body"/>
        <w:rPr>
          <w:rFonts w:ascii="Calibri" w:hAnsi="Calibri"/>
        </w:rPr>
      </w:pPr>
      <w:r w:rsidRPr="007354D0">
        <w:rPr>
          <w:rFonts w:ascii="Calibri" w:hAnsi="Calibri"/>
        </w:rPr>
        <w:t>The Annual Load Data Request (ALDR) serves as the starting point for determining the load profile to use in the SSWG base case</w:t>
      </w:r>
      <w:r w:rsidR="00A83AE5">
        <w:rPr>
          <w:rFonts w:ascii="Calibri" w:hAnsi="Calibri"/>
        </w:rPr>
        <w:t xml:space="preserve"> models</w:t>
      </w:r>
      <w:r w:rsidRPr="007354D0">
        <w:rPr>
          <w:rFonts w:ascii="Calibri" w:hAnsi="Calibri"/>
        </w:rPr>
        <w:t>. The ALDR load forecast data contains the forecasted non-coincident summer peak load for each delivery point.  A coincidence factor is calculated by dividing historical CPS Energy system peak load by the actual non-coincident load reported in the ALDR for the same year and season.  The coincidence factor provides a basis for scaling the forecasted non-coincident peaks provided in the ALDR.  Individual substation loads are scaled by the coincidence factor except those that primarily serve nonconforming load, which are not scaled.  Distributed Generation is modeled separately in the SSWG Base Case</w:t>
      </w:r>
      <w:r w:rsidR="00A83AE5">
        <w:rPr>
          <w:rFonts w:ascii="Calibri" w:hAnsi="Calibri"/>
        </w:rPr>
        <w:t xml:space="preserve"> Models</w:t>
      </w:r>
      <w:r w:rsidRPr="007354D0">
        <w:rPr>
          <w:rFonts w:ascii="Calibri" w:hAnsi="Calibri"/>
        </w:rPr>
        <w:t xml:space="preserve"> as negative load.  </w:t>
      </w:r>
    </w:p>
    <w:p w:rsidR="009C1873" w:rsidRPr="00D155D1" w:rsidRDefault="009C1873" w:rsidP="007354D0">
      <w:pPr>
        <w:pStyle w:val="Body"/>
        <w:rPr>
          <w:rFonts w:ascii="Calibri" w:hAnsi="Calibri"/>
        </w:rPr>
      </w:pPr>
    </w:p>
    <w:p w:rsidR="008D1485" w:rsidRPr="007354D0" w:rsidRDefault="00DB0CF3" w:rsidP="007354D0">
      <w:pPr>
        <w:pStyle w:val="Body"/>
        <w:rPr>
          <w:rFonts w:ascii="Calibri" w:eastAsia="Helvetica" w:hAnsi="Calibri" w:cs="Helvetica"/>
          <w:sz w:val="28"/>
          <w:szCs w:val="28"/>
          <w:u w:val="single"/>
        </w:rPr>
      </w:pPr>
      <w:r w:rsidRPr="007354D0">
        <w:rPr>
          <w:rFonts w:ascii="Calibri" w:hAnsi="Calibri"/>
          <w:sz w:val="28"/>
          <w:szCs w:val="28"/>
          <w:u w:val="single"/>
        </w:rPr>
        <w:t>LCRA</w:t>
      </w:r>
    </w:p>
    <w:p w:rsidR="008D1485" w:rsidRPr="007354D0" w:rsidRDefault="008D1485" w:rsidP="007354D0">
      <w:pPr>
        <w:pStyle w:val="Body"/>
        <w:rPr>
          <w:rFonts w:ascii="Calibri" w:eastAsia="Helvetica" w:hAnsi="Calibri" w:cs="Helvetica"/>
        </w:rPr>
      </w:pPr>
    </w:p>
    <w:p w:rsidR="008D1485" w:rsidRPr="007354D0" w:rsidRDefault="00DB0CF3" w:rsidP="007354D0">
      <w:pPr>
        <w:pStyle w:val="Body"/>
        <w:rPr>
          <w:rFonts w:ascii="Calibri" w:eastAsia="Helvetica" w:hAnsi="Calibri" w:cs="Helvetica"/>
        </w:rPr>
      </w:pPr>
      <w:r w:rsidRPr="007354D0">
        <w:rPr>
          <w:rFonts w:ascii="Calibri" w:hAnsi="Calibri"/>
        </w:rPr>
        <w:t xml:space="preserve">LCRA TSC receives load forecast information, consistent with loads reported in the ERCOT Annual Load Data Request (ALDR), from Load Serving Entities to use in developing a load profile for the SSWG power flow </w:t>
      </w:r>
      <w:r w:rsidR="00A83AE5">
        <w:rPr>
          <w:rFonts w:ascii="Calibri" w:hAnsi="Calibri"/>
        </w:rPr>
        <w:t>model</w:t>
      </w:r>
      <w:r w:rsidR="00A83AE5" w:rsidRPr="007354D0">
        <w:rPr>
          <w:rFonts w:ascii="Calibri" w:hAnsi="Calibri"/>
        </w:rPr>
        <w:t>s</w:t>
      </w:r>
      <w:r w:rsidRPr="007354D0">
        <w:rPr>
          <w:rFonts w:ascii="Calibri" w:hAnsi="Calibri"/>
        </w:rPr>
        <w:t>. This load forecast data contains the forecasted non-coincident summer and winter peak load on the low side of the substation power transformer for each delivery point. LCRA TSC derives a factor, the coincidence factor, to apply to each load in order to establish a load profile that is coincident with LCRA TSC</w:t>
      </w:r>
      <w:r w:rsidRPr="007354D0">
        <w:rPr>
          <w:rFonts w:ascii="Calibri" w:hAnsi="Calibri"/>
          <w:lang w:val="fr-FR"/>
        </w:rPr>
        <w:t>’</w:t>
      </w:r>
      <w:r w:rsidRPr="007354D0">
        <w:rPr>
          <w:rFonts w:ascii="Calibri" w:hAnsi="Calibri"/>
        </w:rPr>
        <w:t xml:space="preserve">s system peak then adds transformer losses so that the loads provided for the SSWG power flow </w:t>
      </w:r>
      <w:r w:rsidR="00A83AE5">
        <w:rPr>
          <w:rFonts w:ascii="Calibri" w:hAnsi="Calibri"/>
        </w:rPr>
        <w:t>model</w:t>
      </w:r>
      <w:r w:rsidR="00A83AE5" w:rsidRPr="007354D0">
        <w:rPr>
          <w:rFonts w:ascii="Calibri" w:hAnsi="Calibri"/>
        </w:rPr>
        <w:t xml:space="preserve">s </w:t>
      </w:r>
      <w:r w:rsidRPr="007354D0">
        <w:rPr>
          <w:rFonts w:ascii="Calibri" w:hAnsi="Calibri"/>
        </w:rPr>
        <w:t>are representative of the load connected to the LCRA TSC transmission system.  The coincidence factor is derived from the previous year</w:t>
      </w:r>
      <w:r w:rsidRPr="007354D0">
        <w:rPr>
          <w:rFonts w:ascii="Calibri" w:hAnsi="Calibri"/>
          <w:lang w:val="fr-FR"/>
        </w:rPr>
        <w:t>’</w:t>
      </w:r>
      <w:r w:rsidRPr="007354D0">
        <w:rPr>
          <w:rFonts w:ascii="Calibri" w:hAnsi="Calibri"/>
        </w:rPr>
        <w:t>s meter data for each delivery point.  LCRA TSC also analyzes the previous year</w:t>
      </w:r>
      <w:r w:rsidRPr="007354D0">
        <w:rPr>
          <w:rFonts w:ascii="Calibri" w:hAnsi="Calibri"/>
          <w:lang w:val="fr-FR"/>
        </w:rPr>
        <w:t>’</w:t>
      </w:r>
      <w:r w:rsidRPr="007354D0">
        <w:rPr>
          <w:rFonts w:ascii="Calibri" w:hAnsi="Calibri"/>
        </w:rPr>
        <w:t xml:space="preserve">s meter data for each delivery point to determine an appropriate power factor to establish the real and reactive power component for each load modeled in the SSWG summer and winter peak power flow </w:t>
      </w:r>
      <w:r w:rsidR="00A83AE5">
        <w:rPr>
          <w:rFonts w:ascii="Calibri" w:hAnsi="Calibri"/>
        </w:rPr>
        <w:t>model</w:t>
      </w:r>
      <w:r w:rsidR="00A83AE5" w:rsidRPr="007354D0">
        <w:rPr>
          <w:rFonts w:ascii="Calibri" w:hAnsi="Calibri"/>
        </w:rPr>
        <w:t>s</w:t>
      </w:r>
      <w:r w:rsidRPr="007354D0">
        <w:rPr>
          <w:rFonts w:ascii="Calibri" w:hAnsi="Calibri"/>
        </w:rPr>
        <w:t xml:space="preserve">.  LCRA TSC determines the load profile for the SSWG DSA seasonal peak and seasonal minimum power flow </w:t>
      </w:r>
      <w:r w:rsidR="00A83AE5">
        <w:rPr>
          <w:rFonts w:ascii="Calibri" w:hAnsi="Calibri"/>
        </w:rPr>
        <w:t>model</w:t>
      </w:r>
      <w:r w:rsidR="00A83AE5" w:rsidRPr="007354D0">
        <w:rPr>
          <w:rFonts w:ascii="Calibri" w:hAnsi="Calibri"/>
        </w:rPr>
        <w:t xml:space="preserve">s </w:t>
      </w:r>
      <w:r w:rsidRPr="007354D0">
        <w:rPr>
          <w:rFonts w:ascii="Calibri" w:hAnsi="Calibri"/>
        </w:rPr>
        <w:t xml:space="preserve">by scaling the summer peak load forecast by load factor ratios based on an analysis of five years of historical meter data. The appropriate load factor ratio is then applied to the LCRA TSC system peak coincident load profile for each delivery point, transformer losses are added and an appropriate power factor applied to prepare the load profile for use in the SSWG seasonal peak and minimum power flow </w:t>
      </w:r>
      <w:r w:rsidR="00A83AE5">
        <w:rPr>
          <w:rFonts w:ascii="Calibri" w:hAnsi="Calibri"/>
        </w:rPr>
        <w:t>model</w:t>
      </w:r>
      <w:r w:rsidR="00A83AE5" w:rsidRPr="007354D0">
        <w:rPr>
          <w:rFonts w:ascii="Calibri" w:hAnsi="Calibri"/>
        </w:rPr>
        <w:t>s</w:t>
      </w:r>
      <w:r w:rsidRPr="007354D0">
        <w:rPr>
          <w:rFonts w:ascii="Calibri" w:hAnsi="Calibri"/>
        </w:rPr>
        <w:t>.</w:t>
      </w:r>
    </w:p>
    <w:p w:rsidR="00427B89" w:rsidRPr="007354D0" w:rsidRDefault="00427B89" w:rsidP="007354D0">
      <w:pPr>
        <w:pStyle w:val="Body"/>
        <w:rPr>
          <w:rFonts w:ascii="Calibri" w:eastAsia="Helvetica" w:hAnsi="Calibri" w:cs="Helvetica"/>
        </w:rPr>
      </w:pPr>
    </w:p>
    <w:p w:rsidR="00427B89" w:rsidRPr="00D155D1" w:rsidRDefault="003D507D" w:rsidP="007354D0">
      <w:pPr>
        <w:pStyle w:val="ListParagraph"/>
        <w:spacing w:before="120"/>
        <w:ind w:left="0"/>
        <w:rPr>
          <w:rFonts w:cs="Helvetica"/>
          <w:sz w:val="28"/>
          <w:szCs w:val="28"/>
          <w:u w:val="single"/>
        </w:rPr>
      </w:pPr>
      <w:proofErr w:type="spellStart"/>
      <w:r w:rsidRPr="007354D0">
        <w:rPr>
          <w:rFonts w:cs="Helvetica"/>
          <w:sz w:val="28"/>
          <w:szCs w:val="28"/>
          <w:u w:val="single"/>
        </w:rPr>
        <w:t>Oncor</w:t>
      </w:r>
      <w:proofErr w:type="spellEnd"/>
    </w:p>
    <w:p w:rsidR="00427B89" w:rsidRPr="00D155D1" w:rsidRDefault="00427B89" w:rsidP="007354D0">
      <w:pPr>
        <w:pStyle w:val="ListParagraph"/>
        <w:ind w:left="0"/>
        <w:rPr>
          <w:rFonts w:cs="Helvetica"/>
          <w:sz w:val="24"/>
          <w:szCs w:val="24"/>
        </w:rPr>
      </w:pPr>
    </w:p>
    <w:p w:rsidR="003D507D" w:rsidRPr="007354D0" w:rsidRDefault="003D507D" w:rsidP="007354D0">
      <w:pPr>
        <w:pStyle w:val="ListParagraph"/>
        <w:ind w:left="0"/>
      </w:pPr>
      <w:proofErr w:type="spellStart"/>
      <w:r w:rsidRPr="007354D0">
        <w:rPr>
          <w:rFonts w:cs="Helvetica"/>
          <w:sz w:val="24"/>
          <w:szCs w:val="24"/>
        </w:rPr>
        <w:t>Oncor</w:t>
      </w:r>
      <w:proofErr w:type="spellEnd"/>
      <w:r w:rsidRPr="007354D0">
        <w:rPr>
          <w:rFonts w:cs="Helvetica"/>
          <w:sz w:val="24"/>
          <w:szCs w:val="24"/>
        </w:rPr>
        <w:t xml:space="preserve"> develops their ALDR based on substation bank peak load projections provided by their Distribution Planning Department and Industrial/Commercial load projections provided by the customer or customer representative. </w:t>
      </w:r>
      <w:proofErr w:type="spellStart"/>
      <w:r w:rsidRPr="007354D0">
        <w:rPr>
          <w:rFonts w:cs="Helvetica"/>
          <w:sz w:val="24"/>
          <w:szCs w:val="24"/>
        </w:rPr>
        <w:t>Oncor</w:t>
      </w:r>
      <w:proofErr w:type="spellEnd"/>
      <w:r w:rsidRPr="007354D0">
        <w:rPr>
          <w:rFonts w:cs="Helvetica"/>
          <w:sz w:val="24"/>
          <w:szCs w:val="24"/>
        </w:rPr>
        <w:t xml:space="preserve"> also develops load projections by weather zone. Load projections are considered an average (50/50 or 50th percentile). The </w:t>
      </w:r>
      <w:proofErr w:type="spellStart"/>
      <w:r w:rsidRPr="007354D0">
        <w:rPr>
          <w:rFonts w:cs="Helvetica"/>
          <w:sz w:val="24"/>
          <w:szCs w:val="24"/>
        </w:rPr>
        <w:t>Oncor</w:t>
      </w:r>
      <w:proofErr w:type="spellEnd"/>
      <w:r w:rsidRPr="007354D0">
        <w:rPr>
          <w:rFonts w:cs="Helvetica"/>
          <w:sz w:val="24"/>
          <w:szCs w:val="24"/>
        </w:rPr>
        <w:t xml:space="preserve"> weather zone load projections are adjusted to exclude system losses and then used to develop a “Target” for the SSWG base case loads. Non-conforming/non-scalable loads are determined and using an in-</w:t>
      </w:r>
      <w:r w:rsidRPr="007354D0">
        <w:rPr>
          <w:rFonts w:cs="Helvetica"/>
          <w:sz w:val="24"/>
          <w:szCs w:val="24"/>
        </w:rPr>
        <w:lastRenderedPageBreak/>
        <w:t>house program the remaining loads are adjusted based on the ALDR so that the target is met. If applicable, loads are also adjusted to include I2X transformer losses. Loads are applied to the appropriate PSS/E busses for use in the SSWG base case</w:t>
      </w:r>
      <w:r w:rsidR="00A83AE5">
        <w:rPr>
          <w:rFonts w:cs="Helvetica"/>
          <w:sz w:val="24"/>
          <w:szCs w:val="24"/>
        </w:rPr>
        <w:t xml:space="preserve"> models</w:t>
      </w:r>
      <w:r w:rsidRPr="007354D0">
        <w:rPr>
          <w:rFonts w:cs="Helvetica"/>
          <w:sz w:val="24"/>
          <w:szCs w:val="24"/>
        </w:rPr>
        <w:t xml:space="preserve">. These loads are submitted during the SSWG </w:t>
      </w:r>
      <w:r w:rsidR="00A83AE5">
        <w:rPr>
          <w:rFonts w:cs="Helvetica"/>
          <w:sz w:val="24"/>
          <w:szCs w:val="24"/>
        </w:rPr>
        <w:t>model</w:t>
      </w:r>
      <w:r w:rsidR="00A83AE5" w:rsidRPr="007354D0">
        <w:rPr>
          <w:rFonts w:cs="Helvetica"/>
          <w:sz w:val="24"/>
          <w:szCs w:val="24"/>
        </w:rPr>
        <w:t xml:space="preserve"> </w:t>
      </w:r>
      <w:r w:rsidRPr="007354D0">
        <w:rPr>
          <w:rFonts w:cs="Helvetica"/>
          <w:sz w:val="24"/>
          <w:szCs w:val="24"/>
        </w:rPr>
        <w:t xml:space="preserve">build process and adjusted if necessary during the SSWG </w:t>
      </w:r>
      <w:r w:rsidR="00A83AE5">
        <w:rPr>
          <w:rFonts w:cs="Helvetica"/>
          <w:sz w:val="24"/>
          <w:szCs w:val="24"/>
        </w:rPr>
        <w:t>model</w:t>
      </w:r>
      <w:r w:rsidR="00A83AE5" w:rsidRPr="007354D0">
        <w:rPr>
          <w:rFonts w:cs="Helvetica"/>
          <w:sz w:val="24"/>
          <w:szCs w:val="24"/>
        </w:rPr>
        <w:t xml:space="preserve"> </w:t>
      </w:r>
      <w:r w:rsidRPr="007354D0">
        <w:rPr>
          <w:rFonts w:cs="Helvetica"/>
          <w:sz w:val="24"/>
          <w:szCs w:val="24"/>
        </w:rPr>
        <w:t>update process.</w:t>
      </w:r>
    </w:p>
    <w:sectPr w:rsidR="003D507D" w:rsidRPr="007354D0" w:rsidSect="007D21D6">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E9A" w:rsidRDefault="002E5E9A" w:rsidP="008D1485">
      <w:r>
        <w:separator/>
      </w:r>
    </w:p>
  </w:endnote>
  <w:endnote w:type="continuationSeparator" w:id="0">
    <w:p w:rsidR="002E5E9A" w:rsidRDefault="002E5E9A" w:rsidP="008D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519" w:rsidRPr="00977E8B" w:rsidRDefault="00E60519">
    <w:pPr>
      <w:pStyle w:val="Footer"/>
      <w:jc w:val="right"/>
      <w:rPr>
        <w:rFonts w:ascii="Helvetica" w:hAnsi="Helvetica" w:cs="Helvetica"/>
        <w:sz w:val="20"/>
        <w:szCs w:val="20"/>
      </w:rPr>
    </w:pPr>
    <w:r w:rsidRPr="00977E8B">
      <w:rPr>
        <w:rFonts w:ascii="Helvetica" w:hAnsi="Helvetica" w:cs="Helvetica"/>
        <w:sz w:val="20"/>
        <w:szCs w:val="20"/>
      </w:rPr>
      <w:fldChar w:fldCharType="begin"/>
    </w:r>
    <w:r w:rsidRPr="00977E8B">
      <w:rPr>
        <w:rFonts w:ascii="Helvetica" w:hAnsi="Helvetica" w:cs="Helvetica"/>
        <w:sz w:val="20"/>
        <w:szCs w:val="20"/>
      </w:rPr>
      <w:instrText xml:space="preserve"> PAGE   \* MERGEFORMAT </w:instrText>
    </w:r>
    <w:r w:rsidRPr="00977E8B">
      <w:rPr>
        <w:rFonts w:ascii="Helvetica" w:hAnsi="Helvetica" w:cs="Helvetica"/>
        <w:sz w:val="20"/>
        <w:szCs w:val="20"/>
      </w:rPr>
      <w:fldChar w:fldCharType="separate"/>
    </w:r>
    <w:r w:rsidR="00B245BB">
      <w:rPr>
        <w:rFonts w:ascii="Helvetica" w:hAnsi="Helvetica" w:cs="Helvetica"/>
        <w:noProof/>
        <w:sz w:val="20"/>
        <w:szCs w:val="20"/>
      </w:rPr>
      <w:t>18</w:t>
    </w:r>
    <w:r w:rsidRPr="00977E8B">
      <w:rPr>
        <w:rFonts w:ascii="Helvetica" w:hAnsi="Helvetica" w:cs="Helvetica"/>
        <w:sz w:val="20"/>
        <w:szCs w:val="20"/>
      </w:rPr>
      <w:fldChar w:fldCharType="end"/>
    </w:r>
  </w:p>
  <w:p w:rsidR="00E60519" w:rsidRDefault="00E6051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E9A" w:rsidRDefault="002E5E9A" w:rsidP="008D1485">
      <w:r>
        <w:separator/>
      </w:r>
    </w:p>
  </w:footnote>
  <w:footnote w:type="continuationSeparator" w:id="0">
    <w:p w:rsidR="002E5E9A" w:rsidRDefault="002E5E9A" w:rsidP="008D1485">
      <w:r>
        <w:continuationSeparator/>
      </w:r>
    </w:p>
  </w:footnote>
  <w:footnote w:id="1">
    <w:p w:rsidR="00E60519" w:rsidRPr="007354D0" w:rsidRDefault="00E60519" w:rsidP="00B474E3">
      <w:pPr>
        <w:pStyle w:val="FootnoteText"/>
        <w:rPr>
          <w:rFonts w:ascii="Calibri" w:hAnsi="Calibri"/>
        </w:rPr>
      </w:pPr>
      <w:r w:rsidRPr="007354D0">
        <w:rPr>
          <w:rStyle w:val="FootnoteReference"/>
          <w:rFonts w:ascii="Calibri" w:hAnsi="Calibri"/>
        </w:rPr>
        <w:footnoteRef/>
      </w:r>
      <w:r w:rsidRPr="007354D0">
        <w:rPr>
          <w:rFonts w:ascii="Calibri" w:hAnsi="Calibri"/>
        </w:rPr>
        <w:t xml:space="preserve"> Protocol Section 3.2.6 contains additional detail about the calculation of the planning reserve margin.</w:t>
      </w:r>
    </w:p>
  </w:footnote>
  <w:footnote w:id="2">
    <w:p w:rsidR="00E60519" w:rsidRPr="007354D0" w:rsidRDefault="00E60519">
      <w:pPr>
        <w:pStyle w:val="FootnoteText"/>
        <w:rPr>
          <w:rFonts w:ascii="Calibri" w:hAnsi="Calibri"/>
        </w:rPr>
      </w:pPr>
      <w:r w:rsidRPr="007354D0">
        <w:rPr>
          <w:rStyle w:val="FootnoteReference"/>
          <w:rFonts w:ascii="Calibri" w:hAnsi="Calibri"/>
        </w:rPr>
        <w:footnoteRef/>
      </w:r>
      <w:r w:rsidRPr="007354D0">
        <w:rPr>
          <w:rFonts w:ascii="Calibri" w:hAnsi="Calibri"/>
        </w:rPr>
        <w:t xml:space="preserve"> The Tiers of RPG Project Review are defined in Protocol Section 3.11.4.</w:t>
      </w:r>
    </w:p>
  </w:footnote>
  <w:footnote w:id="3">
    <w:p w:rsidR="00E60519" w:rsidRPr="007354D0" w:rsidRDefault="00E60519">
      <w:pPr>
        <w:pStyle w:val="FootnoteText"/>
        <w:rPr>
          <w:rFonts w:ascii="Calibri" w:hAnsi="Calibri"/>
        </w:rPr>
      </w:pPr>
      <w:r w:rsidRPr="007354D0">
        <w:rPr>
          <w:rStyle w:val="FootnoteReference"/>
          <w:rFonts w:ascii="Calibri" w:hAnsi="Calibri"/>
        </w:rPr>
        <w:footnoteRef/>
      </w:r>
      <w:r w:rsidRPr="007354D0">
        <w:rPr>
          <w:rFonts w:ascii="Calibri" w:hAnsi="Calibri"/>
        </w:rPr>
        <w:t xml:space="preserve"> </w:t>
      </w:r>
      <w:proofErr w:type="gramStart"/>
      <w:r w:rsidRPr="007354D0">
        <w:rPr>
          <w:rFonts w:ascii="Calibri" w:hAnsi="Calibri" w:cs="Helvetica"/>
        </w:rPr>
        <w:t>Planning Guide Section 3.1.4.1(1).</w:t>
      </w:r>
      <w:proofErr w:type="gramEnd"/>
    </w:p>
  </w:footnote>
  <w:footnote w:id="4">
    <w:p w:rsidR="00E60519" w:rsidRDefault="00E60519">
      <w:pPr>
        <w:pStyle w:val="FootnoteText"/>
      </w:pPr>
      <w:r w:rsidRPr="007354D0">
        <w:rPr>
          <w:rStyle w:val="FootnoteReference"/>
          <w:rFonts w:ascii="Calibri" w:hAnsi="Calibri"/>
        </w:rPr>
        <w:footnoteRef/>
      </w:r>
      <w:r w:rsidRPr="007354D0">
        <w:rPr>
          <w:rFonts w:ascii="Calibri" w:hAnsi="Calibri"/>
        </w:rPr>
        <w:t xml:space="preserve"> </w:t>
      </w:r>
      <w:r w:rsidRPr="007354D0">
        <w:rPr>
          <w:rFonts w:ascii="Calibri" w:hAnsi="Calibri" w:cs="Helvetica"/>
        </w:rPr>
        <w:t xml:space="preserve">ERCOT uses a 90th percentile or 90/10 forecast (as opposed to a 50/50 forecast based on average weather conditions) in order to achieve a </w:t>
      </w:r>
      <w:r w:rsidRPr="007354D0">
        <w:rPr>
          <w:rFonts w:ascii="Calibri" w:hAnsi="Calibri" w:cs="Helvetica"/>
          <w:lang w:val="fr-FR"/>
        </w:rPr>
        <w:t xml:space="preserve">transmission system </w:t>
      </w:r>
      <w:r w:rsidRPr="007354D0">
        <w:rPr>
          <w:rFonts w:ascii="Calibri" w:hAnsi="Calibri" w:cs="Helvetica"/>
        </w:rPr>
        <w:t>that is sufficient to meet future loads 9 out of 10 years.</w:t>
      </w:r>
      <w:r w:rsidRPr="00977E8B">
        <w:rPr>
          <w:rFonts w:ascii="Helvetica" w:hAnsi="Helvetica" w:cs="Helvetica"/>
        </w:rPr>
        <w:t xml:space="preserve">  </w:t>
      </w:r>
      <w:r w:rsidRPr="007354D0">
        <w:rPr>
          <w:rFonts w:ascii="Calibri" w:hAnsi="Calibri" w:cs="Helvetica"/>
        </w:rPr>
        <w:t>The ERCOT 90/10 load forecast is developed using the ERCOT Long-Term Hourly Peak Demand and Energy Forecast with a 90</w:t>
      </w:r>
      <w:r w:rsidRPr="007354D0">
        <w:rPr>
          <w:rFonts w:ascii="Calibri" w:hAnsi="Calibri" w:cs="Helvetica"/>
          <w:vertAlign w:val="superscript"/>
        </w:rPr>
        <w:t>th</w:t>
      </w:r>
      <w:r w:rsidRPr="007354D0">
        <w:rPr>
          <w:rFonts w:ascii="Calibri" w:hAnsi="Calibri" w:cs="Helvetica"/>
        </w:rPr>
        <w:t xml:space="preserve"> percentile temperature assumption.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553"/>
    <w:multiLevelType w:val="multilevel"/>
    <w:tmpl w:val="5022B0A6"/>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1">
    <w:nsid w:val="0288453B"/>
    <w:multiLevelType w:val="multilevel"/>
    <w:tmpl w:val="4030D670"/>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2">
    <w:nsid w:val="02CF7EDE"/>
    <w:multiLevelType w:val="multilevel"/>
    <w:tmpl w:val="9E64EFF0"/>
    <w:styleLink w:val="List31"/>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3">
    <w:nsid w:val="04F26373"/>
    <w:multiLevelType w:val="multilevel"/>
    <w:tmpl w:val="1A00CA44"/>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numFmt w:val="bullet"/>
      <w:lvlText w:val="•"/>
      <w:lvlJc w:val="left"/>
      <w:pPr>
        <w:tabs>
          <w:tab w:val="num" w:pos="2880"/>
        </w:tabs>
        <w:ind w:left="2880" w:hanging="360"/>
      </w:pPr>
      <w:rPr>
        <w:rFonts w:ascii="Helvetica" w:eastAsia="Helvetica" w:hAnsi="Helvetica" w:cs="Helvetica"/>
        <w:position w:val="0"/>
        <w:sz w:val="20"/>
        <w:szCs w:val="20"/>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4">
    <w:nsid w:val="07073788"/>
    <w:multiLevelType w:val="multilevel"/>
    <w:tmpl w:val="280A4AC0"/>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5">
    <w:nsid w:val="07EF1C0B"/>
    <w:multiLevelType w:val="multilevel"/>
    <w:tmpl w:val="36AA8268"/>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6">
    <w:nsid w:val="0C0F5278"/>
    <w:multiLevelType w:val="multilevel"/>
    <w:tmpl w:val="2112F57E"/>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numFmt w:val="bullet"/>
      <w:lvlText w:val="▪"/>
      <w:lvlJc w:val="left"/>
      <w:pPr>
        <w:tabs>
          <w:tab w:val="num" w:pos="2160"/>
        </w:tabs>
        <w:ind w:left="2160" w:hanging="360"/>
      </w:pPr>
      <w:rPr>
        <w:rFonts w:ascii="Helvetica" w:eastAsia="Helvetica" w:hAnsi="Helvetica" w:cs="Helvetica"/>
        <w:position w:val="0"/>
        <w:sz w:val="20"/>
        <w:szCs w:val="20"/>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7">
    <w:nsid w:val="115941EE"/>
    <w:multiLevelType w:val="multilevel"/>
    <w:tmpl w:val="F7FAE734"/>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8">
    <w:nsid w:val="12382AB9"/>
    <w:multiLevelType w:val="multilevel"/>
    <w:tmpl w:val="6A747C3E"/>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numFmt w:val="bullet"/>
      <w:lvlText w:val="▪"/>
      <w:lvlJc w:val="left"/>
      <w:pPr>
        <w:tabs>
          <w:tab w:val="num" w:pos="2160"/>
        </w:tabs>
        <w:ind w:left="2160" w:hanging="360"/>
      </w:pPr>
      <w:rPr>
        <w:rFonts w:ascii="Helvetica" w:eastAsia="Helvetica" w:hAnsi="Helvetica" w:cs="Helvetica"/>
        <w:position w:val="0"/>
        <w:sz w:val="20"/>
        <w:szCs w:val="20"/>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9">
    <w:nsid w:val="13DC0137"/>
    <w:multiLevelType w:val="multilevel"/>
    <w:tmpl w:val="8DD818F2"/>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10">
    <w:nsid w:val="140705E2"/>
    <w:multiLevelType w:val="multilevel"/>
    <w:tmpl w:val="D1CACAC4"/>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11">
    <w:nsid w:val="16AB57BF"/>
    <w:multiLevelType w:val="multilevel"/>
    <w:tmpl w:val="18082DD2"/>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12">
    <w:nsid w:val="1C4B2BE1"/>
    <w:multiLevelType w:val="multilevel"/>
    <w:tmpl w:val="025E4C08"/>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13">
    <w:nsid w:val="1D0B546E"/>
    <w:multiLevelType w:val="multilevel"/>
    <w:tmpl w:val="B3A8E430"/>
    <w:lvl w:ilvl="0">
      <w:numFmt w:val="bullet"/>
      <w:lvlText w:val="•"/>
      <w:lvlJc w:val="left"/>
      <w:rPr>
        <w:rFonts w:ascii="Helvetica" w:eastAsia="Helvetica" w:hAnsi="Helvetica" w:cs="Helvetica"/>
        <w:i/>
        <w:iCs/>
        <w:position w:val="0"/>
      </w:rPr>
    </w:lvl>
    <w:lvl w:ilvl="1">
      <w:start w:val="1"/>
      <w:numFmt w:val="bullet"/>
      <w:lvlText w:val="o"/>
      <w:lvlJc w:val="left"/>
      <w:rPr>
        <w:rFonts w:ascii="Helvetica" w:eastAsia="Helvetica" w:hAnsi="Helvetica" w:cs="Helvetica"/>
        <w:i/>
        <w:iCs/>
        <w:position w:val="0"/>
      </w:rPr>
    </w:lvl>
    <w:lvl w:ilvl="2">
      <w:start w:val="1"/>
      <w:numFmt w:val="bullet"/>
      <w:lvlText w:val="▪"/>
      <w:lvlJc w:val="left"/>
      <w:rPr>
        <w:rFonts w:ascii="Helvetica" w:eastAsia="Helvetica" w:hAnsi="Helvetica" w:cs="Helvetica"/>
        <w:i/>
        <w:iCs/>
        <w:position w:val="0"/>
      </w:rPr>
    </w:lvl>
    <w:lvl w:ilvl="3">
      <w:start w:val="1"/>
      <w:numFmt w:val="bullet"/>
      <w:lvlText w:val="•"/>
      <w:lvlJc w:val="left"/>
      <w:rPr>
        <w:rFonts w:ascii="Helvetica" w:eastAsia="Helvetica" w:hAnsi="Helvetica" w:cs="Helvetica"/>
        <w:i/>
        <w:iCs/>
        <w:position w:val="0"/>
      </w:rPr>
    </w:lvl>
    <w:lvl w:ilvl="4">
      <w:start w:val="1"/>
      <w:numFmt w:val="bullet"/>
      <w:lvlText w:val="o"/>
      <w:lvlJc w:val="left"/>
      <w:rPr>
        <w:rFonts w:ascii="Helvetica" w:eastAsia="Helvetica" w:hAnsi="Helvetica" w:cs="Helvetica"/>
        <w:i/>
        <w:iCs/>
        <w:position w:val="0"/>
      </w:rPr>
    </w:lvl>
    <w:lvl w:ilvl="5">
      <w:start w:val="1"/>
      <w:numFmt w:val="bullet"/>
      <w:lvlText w:val="▪"/>
      <w:lvlJc w:val="left"/>
      <w:rPr>
        <w:rFonts w:ascii="Helvetica" w:eastAsia="Helvetica" w:hAnsi="Helvetica" w:cs="Helvetica"/>
        <w:i/>
        <w:iCs/>
        <w:position w:val="0"/>
      </w:rPr>
    </w:lvl>
    <w:lvl w:ilvl="6">
      <w:start w:val="1"/>
      <w:numFmt w:val="bullet"/>
      <w:lvlText w:val="•"/>
      <w:lvlJc w:val="left"/>
      <w:rPr>
        <w:rFonts w:ascii="Helvetica" w:eastAsia="Helvetica" w:hAnsi="Helvetica" w:cs="Helvetica"/>
        <w:i/>
        <w:iCs/>
        <w:position w:val="0"/>
      </w:rPr>
    </w:lvl>
    <w:lvl w:ilvl="7">
      <w:start w:val="1"/>
      <w:numFmt w:val="bullet"/>
      <w:lvlText w:val="o"/>
      <w:lvlJc w:val="left"/>
      <w:rPr>
        <w:rFonts w:ascii="Helvetica" w:eastAsia="Helvetica" w:hAnsi="Helvetica" w:cs="Helvetica"/>
        <w:i/>
        <w:iCs/>
        <w:position w:val="0"/>
      </w:rPr>
    </w:lvl>
    <w:lvl w:ilvl="8">
      <w:start w:val="1"/>
      <w:numFmt w:val="bullet"/>
      <w:lvlText w:val="▪"/>
      <w:lvlJc w:val="left"/>
      <w:rPr>
        <w:rFonts w:ascii="Helvetica" w:eastAsia="Helvetica" w:hAnsi="Helvetica" w:cs="Helvetica"/>
        <w:i/>
        <w:iCs/>
        <w:position w:val="0"/>
      </w:rPr>
    </w:lvl>
  </w:abstractNum>
  <w:abstractNum w:abstractNumId="14">
    <w:nsid w:val="1EFF4D6F"/>
    <w:multiLevelType w:val="multilevel"/>
    <w:tmpl w:val="A0F8B5AE"/>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numFmt w:val="bullet"/>
      <w:lvlText w:val="▪"/>
      <w:lvlJc w:val="left"/>
      <w:pPr>
        <w:tabs>
          <w:tab w:val="num" w:pos="2160"/>
        </w:tabs>
        <w:ind w:left="2160" w:hanging="360"/>
      </w:pPr>
      <w:rPr>
        <w:rFonts w:ascii="Helvetica" w:eastAsia="Helvetica" w:hAnsi="Helvetica" w:cs="Helvetica"/>
        <w:position w:val="0"/>
        <w:sz w:val="20"/>
        <w:szCs w:val="20"/>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15">
    <w:nsid w:val="1F386A84"/>
    <w:multiLevelType w:val="multilevel"/>
    <w:tmpl w:val="4CA0F0CA"/>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16">
    <w:nsid w:val="1F4B36B7"/>
    <w:multiLevelType w:val="multilevel"/>
    <w:tmpl w:val="7F8EF0EA"/>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17">
    <w:nsid w:val="1FC861C8"/>
    <w:multiLevelType w:val="multilevel"/>
    <w:tmpl w:val="153C0980"/>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numFmt w:val="bullet"/>
      <w:lvlText w:val="•"/>
      <w:lvlJc w:val="left"/>
      <w:pPr>
        <w:tabs>
          <w:tab w:val="num" w:pos="2880"/>
        </w:tabs>
        <w:ind w:left="2880" w:hanging="360"/>
      </w:pPr>
      <w:rPr>
        <w:rFonts w:ascii="Helvetica" w:eastAsia="Helvetica" w:hAnsi="Helvetica" w:cs="Helvetica"/>
        <w:position w:val="0"/>
        <w:sz w:val="20"/>
        <w:szCs w:val="20"/>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18">
    <w:nsid w:val="21307231"/>
    <w:multiLevelType w:val="hybridMultilevel"/>
    <w:tmpl w:val="FEB4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606141"/>
    <w:multiLevelType w:val="multilevel"/>
    <w:tmpl w:val="B0206726"/>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20">
    <w:nsid w:val="25003584"/>
    <w:multiLevelType w:val="multilevel"/>
    <w:tmpl w:val="9FF05F1A"/>
    <w:styleLink w:val="List51"/>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numFmt w:val="bullet"/>
      <w:lvlText w:val="▪"/>
      <w:lvlJc w:val="left"/>
      <w:pPr>
        <w:tabs>
          <w:tab w:val="num" w:pos="2160"/>
        </w:tabs>
        <w:ind w:left="2160" w:hanging="360"/>
      </w:pPr>
      <w:rPr>
        <w:rFonts w:ascii="Helvetica" w:eastAsia="Helvetica" w:hAnsi="Helvetica" w:cs="Helvetica"/>
        <w:position w:val="0"/>
        <w:sz w:val="20"/>
        <w:szCs w:val="20"/>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21">
    <w:nsid w:val="26070C6A"/>
    <w:multiLevelType w:val="multilevel"/>
    <w:tmpl w:val="0664A1A0"/>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22">
    <w:nsid w:val="2B213A1D"/>
    <w:multiLevelType w:val="multilevel"/>
    <w:tmpl w:val="5E9CE130"/>
    <w:lvl w:ilvl="0">
      <w:numFmt w:val="bullet"/>
      <w:lvlText w:val="•"/>
      <w:lvlJc w:val="left"/>
      <w:rPr>
        <w:rFonts w:ascii="Helvetica" w:eastAsia="Helvetica" w:hAnsi="Helvetica" w:cs="Helvetica"/>
        <w:i/>
        <w:iCs/>
        <w:position w:val="0"/>
      </w:rPr>
    </w:lvl>
    <w:lvl w:ilvl="1">
      <w:start w:val="1"/>
      <w:numFmt w:val="bullet"/>
      <w:lvlText w:val="o"/>
      <w:lvlJc w:val="left"/>
      <w:rPr>
        <w:rFonts w:ascii="Helvetica" w:eastAsia="Helvetica" w:hAnsi="Helvetica" w:cs="Helvetica"/>
        <w:i/>
        <w:iCs/>
        <w:position w:val="0"/>
      </w:rPr>
    </w:lvl>
    <w:lvl w:ilvl="2">
      <w:start w:val="1"/>
      <w:numFmt w:val="bullet"/>
      <w:lvlText w:val="▪"/>
      <w:lvlJc w:val="left"/>
      <w:rPr>
        <w:rFonts w:ascii="Helvetica" w:eastAsia="Helvetica" w:hAnsi="Helvetica" w:cs="Helvetica"/>
        <w:i/>
        <w:iCs/>
        <w:position w:val="0"/>
      </w:rPr>
    </w:lvl>
    <w:lvl w:ilvl="3">
      <w:start w:val="1"/>
      <w:numFmt w:val="bullet"/>
      <w:lvlText w:val="•"/>
      <w:lvlJc w:val="left"/>
      <w:rPr>
        <w:rFonts w:ascii="Helvetica" w:eastAsia="Helvetica" w:hAnsi="Helvetica" w:cs="Helvetica"/>
        <w:i/>
        <w:iCs/>
        <w:position w:val="0"/>
      </w:rPr>
    </w:lvl>
    <w:lvl w:ilvl="4">
      <w:start w:val="1"/>
      <w:numFmt w:val="bullet"/>
      <w:lvlText w:val="o"/>
      <w:lvlJc w:val="left"/>
      <w:rPr>
        <w:rFonts w:ascii="Helvetica" w:eastAsia="Helvetica" w:hAnsi="Helvetica" w:cs="Helvetica"/>
        <w:i/>
        <w:iCs/>
        <w:position w:val="0"/>
      </w:rPr>
    </w:lvl>
    <w:lvl w:ilvl="5">
      <w:start w:val="1"/>
      <w:numFmt w:val="bullet"/>
      <w:lvlText w:val="▪"/>
      <w:lvlJc w:val="left"/>
      <w:rPr>
        <w:rFonts w:ascii="Helvetica" w:eastAsia="Helvetica" w:hAnsi="Helvetica" w:cs="Helvetica"/>
        <w:i/>
        <w:iCs/>
        <w:position w:val="0"/>
      </w:rPr>
    </w:lvl>
    <w:lvl w:ilvl="6">
      <w:start w:val="1"/>
      <w:numFmt w:val="bullet"/>
      <w:lvlText w:val="•"/>
      <w:lvlJc w:val="left"/>
      <w:rPr>
        <w:rFonts w:ascii="Helvetica" w:eastAsia="Helvetica" w:hAnsi="Helvetica" w:cs="Helvetica"/>
        <w:i/>
        <w:iCs/>
        <w:position w:val="0"/>
      </w:rPr>
    </w:lvl>
    <w:lvl w:ilvl="7">
      <w:start w:val="1"/>
      <w:numFmt w:val="bullet"/>
      <w:lvlText w:val="o"/>
      <w:lvlJc w:val="left"/>
      <w:rPr>
        <w:rFonts w:ascii="Helvetica" w:eastAsia="Helvetica" w:hAnsi="Helvetica" w:cs="Helvetica"/>
        <w:i/>
        <w:iCs/>
        <w:position w:val="0"/>
      </w:rPr>
    </w:lvl>
    <w:lvl w:ilvl="8">
      <w:start w:val="1"/>
      <w:numFmt w:val="bullet"/>
      <w:lvlText w:val="▪"/>
      <w:lvlJc w:val="left"/>
      <w:rPr>
        <w:rFonts w:ascii="Helvetica" w:eastAsia="Helvetica" w:hAnsi="Helvetica" w:cs="Helvetica"/>
        <w:i/>
        <w:iCs/>
        <w:position w:val="0"/>
      </w:rPr>
    </w:lvl>
  </w:abstractNum>
  <w:abstractNum w:abstractNumId="23">
    <w:nsid w:val="33087591"/>
    <w:multiLevelType w:val="multilevel"/>
    <w:tmpl w:val="00B21334"/>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24">
    <w:nsid w:val="36343031"/>
    <w:multiLevelType w:val="multilevel"/>
    <w:tmpl w:val="1C3A23C8"/>
    <w:styleLink w:val="List41"/>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25">
    <w:nsid w:val="37E169E5"/>
    <w:multiLevelType w:val="multilevel"/>
    <w:tmpl w:val="8DC2C7A4"/>
    <w:styleLink w:val="List1"/>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26">
    <w:nsid w:val="37FD2949"/>
    <w:multiLevelType w:val="multilevel"/>
    <w:tmpl w:val="229C30E0"/>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numFmt w:val="bullet"/>
      <w:lvlText w:val="▪"/>
      <w:lvlJc w:val="left"/>
      <w:pPr>
        <w:tabs>
          <w:tab w:val="num" w:pos="2160"/>
        </w:tabs>
        <w:ind w:left="2160" w:hanging="360"/>
      </w:pPr>
      <w:rPr>
        <w:rFonts w:ascii="Helvetica" w:eastAsia="Helvetica" w:hAnsi="Helvetica" w:cs="Helvetica"/>
        <w:position w:val="0"/>
        <w:sz w:val="20"/>
        <w:szCs w:val="20"/>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27">
    <w:nsid w:val="3923456E"/>
    <w:multiLevelType w:val="multilevel"/>
    <w:tmpl w:val="8A148F3E"/>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28">
    <w:nsid w:val="3CED06E4"/>
    <w:multiLevelType w:val="multilevel"/>
    <w:tmpl w:val="335814DE"/>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29">
    <w:nsid w:val="3DF659B2"/>
    <w:multiLevelType w:val="multilevel"/>
    <w:tmpl w:val="8938CB1A"/>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30">
    <w:nsid w:val="3F5279B0"/>
    <w:multiLevelType w:val="multilevel"/>
    <w:tmpl w:val="2D209082"/>
    <w:styleLink w:val="List21"/>
    <w:lvl w:ilvl="0">
      <w:start w:val="1"/>
      <w:numFmt w:val="decimal"/>
      <w:lvlText w:val="%1."/>
      <w:lvlJc w:val="left"/>
      <w:pPr>
        <w:tabs>
          <w:tab w:val="num" w:pos="720"/>
        </w:tabs>
        <w:ind w:left="720" w:hanging="360"/>
      </w:pPr>
      <w:rPr>
        <w:rFonts w:ascii="Helvetica" w:eastAsia="Helvetica" w:hAnsi="Helvetica" w:cs="Helvetica"/>
        <w:position w:val="0"/>
        <w:sz w:val="22"/>
        <w:szCs w:val="22"/>
      </w:rPr>
    </w:lvl>
    <w:lvl w:ilvl="1">
      <w:start w:val="1"/>
      <w:numFmt w:val="lowerLetter"/>
      <w:lvlText w:val="%2."/>
      <w:lvlJc w:val="left"/>
      <w:pPr>
        <w:tabs>
          <w:tab w:val="num" w:pos="1410"/>
        </w:tabs>
        <w:ind w:left="1410" w:hanging="330"/>
      </w:pPr>
      <w:rPr>
        <w:rFonts w:ascii="Helvetica" w:eastAsia="Helvetica" w:hAnsi="Helvetica" w:cs="Helvetica"/>
        <w:position w:val="0"/>
        <w:sz w:val="22"/>
        <w:szCs w:val="22"/>
      </w:rPr>
    </w:lvl>
    <w:lvl w:ilvl="2">
      <w:start w:val="1"/>
      <w:numFmt w:val="lowerRoman"/>
      <w:lvlText w:val="%3."/>
      <w:lvlJc w:val="left"/>
      <w:pPr>
        <w:tabs>
          <w:tab w:val="num" w:pos="2135"/>
        </w:tabs>
        <w:ind w:left="2135" w:hanging="271"/>
      </w:pPr>
      <w:rPr>
        <w:rFonts w:ascii="Helvetica" w:eastAsia="Helvetica" w:hAnsi="Helvetica" w:cs="Helvetica"/>
        <w:position w:val="0"/>
        <w:sz w:val="22"/>
        <w:szCs w:val="22"/>
      </w:rPr>
    </w:lvl>
    <w:lvl w:ilvl="3">
      <w:start w:val="1"/>
      <w:numFmt w:val="decimal"/>
      <w:lvlText w:val="%4."/>
      <w:lvlJc w:val="left"/>
      <w:pPr>
        <w:tabs>
          <w:tab w:val="num" w:pos="2850"/>
        </w:tabs>
        <w:ind w:left="2850" w:hanging="330"/>
      </w:pPr>
      <w:rPr>
        <w:rFonts w:ascii="Helvetica" w:eastAsia="Helvetica" w:hAnsi="Helvetica" w:cs="Helvetica"/>
        <w:position w:val="0"/>
        <w:sz w:val="22"/>
        <w:szCs w:val="22"/>
      </w:rPr>
    </w:lvl>
    <w:lvl w:ilvl="4">
      <w:start w:val="1"/>
      <w:numFmt w:val="lowerLetter"/>
      <w:lvlText w:val="%5."/>
      <w:lvlJc w:val="left"/>
      <w:pPr>
        <w:tabs>
          <w:tab w:val="num" w:pos="3570"/>
        </w:tabs>
        <w:ind w:left="3570" w:hanging="330"/>
      </w:pPr>
      <w:rPr>
        <w:rFonts w:ascii="Helvetica" w:eastAsia="Helvetica" w:hAnsi="Helvetica" w:cs="Helvetica"/>
        <w:position w:val="0"/>
        <w:sz w:val="22"/>
        <w:szCs w:val="22"/>
      </w:rPr>
    </w:lvl>
    <w:lvl w:ilvl="5">
      <w:start w:val="1"/>
      <w:numFmt w:val="lowerRoman"/>
      <w:lvlText w:val="%6."/>
      <w:lvlJc w:val="left"/>
      <w:pPr>
        <w:tabs>
          <w:tab w:val="num" w:pos="4295"/>
        </w:tabs>
        <w:ind w:left="4295" w:hanging="271"/>
      </w:pPr>
      <w:rPr>
        <w:rFonts w:ascii="Helvetica" w:eastAsia="Helvetica" w:hAnsi="Helvetica" w:cs="Helvetica"/>
        <w:position w:val="0"/>
        <w:sz w:val="22"/>
        <w:szCs w:val="22"/>
      </w:rPr>
    </w:lvl>
    <w:lvl w:ilvl="6">
      <w:start w:val="1"/>
      <w:numFmt w:val="decimal"/>
      <w:lvlText w:val="%7."/>
      <w:lvlJc w:val="left"/>
      <w:pPr>
        <w:tabs>
          <w:tab w:val="num" w:pos="5010"/>
        </w:tabs>
        <w:ind w:left="5010" w:hanging="330"/>
      </w:pPr>
      <w:rPr>
        <w:rFonts w:ascii="Helvetica" w:eastAsia="Helvetica" w:hAnsi="Helvetica" w:cs="Helvetica"/>
        <w:position w:val="0"/>
        <w:sz w:val="22"/>
        <w:szCs w:val="22"/>
      </w:rPr>
    </w:lvl>
    <w:lvl w:ilvl="7">
      <w:start w:val="1"/>
      <w:numFmt w:val="lowerLetter"/>
      <w:lvlText w:val="%8."/>
      <w:lvlJc w:val="left"/>
      <w:pPr>
        <w:tabs>
          <w:tab w:val="num" w:pos="5730"/>
        </w:tabs>
        <w:ind w:left="5730" w:hanging="330"/>
      </w:pPr>
      <w:rPr>
        <w:rFonts w:ascii="Helvetica" w:eastAsia="Helvetica" w:hAnsi="Helvetica" w:cs="Helvetica"/>
        <w:position w:val="0"/>
        <w:sz w:val="22"/>
        <w:szCs w:val="22"/>
      </w:rPr>
    </w:lvl>
    <w:lvl w:ilvl="8">
      <w:start w:val="1"/>
      <w:numFmt w:val="lowerRoman"/>
      <w:lvlText w:val="%9."/>
      <w:lvlJc w:val="left"/>
      <w:pPr>
        <w:tabs>
          <w:tab w:val="num" w:pos="6455"/>
        </w:tabs>
        <w:ind w:left="6455" w:hanging="271"/>
      </w:pPr>
      <w:rPr>
        <w:rFonts w:ascii="Helvetica" w:eastAsia="Helvetica" w:hAnsi="Helvetica" w:cs="Helvetica"/>
        <w:position w:val="0"/>
        <w:sz w:val="22"/>
        <w:szCs w:val="22"/>
      </w:rPr>
    </w:lvl>
  </w:abstractNum>
  <w:abstractNum w:abstractNumId="31">
    <w:nsid w:val="3F8B7D71"/>
    <w:multiLevelType w:val="multilevel"/>
    <w:tmpl w:val="6EF296EC"/>
    <w:lvl w:ilvl="0">
      <w:numFmt w:val="bullet"/>
      <w:lvlText w:val="•"/>
      <w:lvlJc w:val="left"/>
      <w:rPr>
        <w:rFonts w:ascii="Helvetica" w:eastAsia="Helvetica" w:hAnsi="Helvetica" w:cs="Helvetica"/>
        <w:i/>
        <w:iCs/>
        <w:position w:val="0"/>
      </w:rPr>
    </w:lvl>
    <w:lvl w:ilvl="1">
      <w:start w:val="1"/>
      <w:numFmt w:val="bullet"/>
      <w:lvlText w:val="o"/>
      <w:lvlJc w:val="left"/>
      <w:rPr>
        <w:rFonts w:ascii="Helvetica" w:eastAsia="Helvetica" w:hAnsi="Helvetica" w:cs="Helvetica"/>
        <w:i/>
        <w:iCs/>
        <w:position w:val="0"/>
      </w:rPr>
    </w:lvl>
    <w:lvl w:ilvl="2">
      <w:start w:val="1"/>
      <w:numFmt w:val="bullet"/>
      <w:lvlText w:val="▪"/>
      <w:lvlJc w:val="left"/>
      <w:rPr>
        <w:rFonts w:ascii="Helvetica" w:eastAsia="Helvetica" w:hAnsi="Helvetica" w:cs="Helvetica"/>
        <w:i/>
        <w:iCs/>
        <w:position w:val="0"/>
      </w:rPr>
    </w:lvl>
    <w:lvl w:ilvl="3">
      <w:start w:val="1"/>
      <w:numFmt w:val="bullet"/>
      <w:lvlText w:val="•"/>
      <w:lvlJc w:val="left"/>
      <w:rPr>
        <w:rFonts w:ascii="Helvetica" w:eastAsia="Helvetica" w:hAnsi="Helvetica" w:cs="Helvetica"/>
        <w:i/>
        <w:iCs/>
        <w:position w:val="0"/>
      </w:rPr>
    </w:lvl>
    <w:lvl w:ilvl="4">
      <w:start w:val="1"/>
      <w:numFmt w:val="bullet"/>
      <w:lvlText w:val="o"/>
      <w:lvlJc w:val="left"/>
      <w:rPr>
        <w:rFonts w:ascii="Helvetica" w:eastAsia="Helvetica" w:hAnsi="Helvetica" w:cs="Helvetica"/>
        <w:i/>
        <w:iCs/>
        <w:position w:val="0"/>
      </w:rPr>
    </w:lvl>
    <w:lvl w:ilvl="5">
      <w:start w:val="1"/>
      <w:numFmt w:val="bullet"/>
      <w:lvlText w:val="▪"/>
      <w:lvlJc w:val="left"/>
      <w:rPr>
        <w:rFonts w:ascii="Helvetica" w:eastAsia="Helvetica" w:hAnsi="Helvetica" w:cs="Helvetica"/>
        <w:i/>
        <w:iCs/>
        <w:position w:val="0"/>
      </w:rPr>
    </w:lvl>
    <w:lvl w:ilvl="6">
      <w:start w:val="1"/>
      <w:numFmt w:val="bullet"/>
      <w:lvlText w:val="•"/>
      <w:lvlJc w:val="left"/>
      <w:rPr>
        <w:rFonts w:ascii="Helvetica" w:eastAsia="Helvetica" w:hAnsi="Helvetica" w:cs="Helvetica"/>
        <w:i/>
        <w:iCs/>
        <w:position w:val="0"/>
      </w:rPr>
    </w:lvl>
    <w:lvl w:ilvl="7">
      <w:start w:val="1"/>
      <w:numFmt w:val="bullet"/>
      <w:lvlText w:val="o"/>
      <w:lvlJc w:val="left"/>
      <w:rPr>
        <w:rFonts w:ascii="Helvetica" w:eastAsia="Helvetica" w:hAnsi="Helvetica" w:cs="Helvetica"/>
        <w:i/>
        <w:iCs/>
        <w:position w:val="0"/>
      </w:rPr>
    </w:lvl>
    <w:lvl w:ilvl="8">
      <w:start w:val="1"/>
      <w:numFmt w:val="bullet"/>
      <w:lvlText w:val="▪"/>
      <w:lvlJc w:val="left"/>
      <w:rPr>
        <w:rFonts w:ascii="Helvetica" w:eastAsia="Helvetica" w:hAnsi="Helvetica" w:cs="Helvetica"/>
        <w:i/>
        <w:iCs/>
        <w:position w:val="0"/>
      </w:rPr>
    </w:lvl>
  </w:abstractNum>
  <w:abstractNum w:abstractNumId="32">
    <w:nsid w:val="405F3AF8"/>
    <w:multiLevelType w:val="multilevel"/>
    <w:tmpl w:val="FBD272C4"/>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numFmt w:val="bullet"/>
      <w:lvlText w:val="▪"/>
      <w:lvlJc w:val="left"/>
      <w:pPr>
        <w:tabs>
          <w:tab w:val="num" w:pos="2160"/>
        </w:tabs>
        <w:ind w:left="2160" w:hanging="360"/>
      </w:pPr>
      <w:rPr>
        <w:rFonts w:ascii="Helvetica" w:eastAsia="Helvetica" w:hAnsi="Helvetica" w:cs="Helvetica"/>
        <w:position w:val="0"/>
        <w:sz w:val="20"/>
        <w:szCs w:val="20"/>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33">
    <w:nsid w:val="418A0F36"/>
    <w:multiLevelType w:val="multilevel"/>
    <w:tmpl w:val="57364612"/>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34">
    <w:nsid w:val="42B25AF3"/>
    <w:multiLevelType w:val="multilevel"/>
    <w:tmpl w:val="D4F8CE2C"/>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35">
    <w:nsid w:val="42F1665A"/>
    <w:multiLevelType w:val="hybridMultilevel"/>
    <w:tmpl w:val="A9A0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4A3D58"/>
    <w:multiLevelType w:val="multilevel"/>
    <w:tmpl w:val="2ED0583A"/>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37">
    <w:nsid w:val="43B362CB"/>
    <w:multiLevelType w:val="multilevel"/>
    <w:tmpl w:val="AD76341A"/>
    <w:lvl w:ilvl="0">
      <w:numFmt w:val="bullet"/>
      <w:lvlText w:val="•"/>
      <w:lvlJc w:val="left"/>
      <w:rPr>
        <w:rFonts w:ascii="Helvetica" w:eastAsia="Helvetica" w:hAnsi="Helvetica" w:cs="Helvetica"/>
        <w:i/>
        <w:iCs/>
        <w:position w:val="0"/>
      </w:rPr>
    </w:lvl>
    <w:lvl w:ilvl="1">
      <w:start w:val="1"/>
      <w:numFmt w:val="bullet"/>
      <w:lvlText w:val="o"/>
      <w:lvlJc w:val="left"/>
      <w:rPr>
        <w:rFonts w:ascii="Helvetica" w:eastAsia="Helvetica" w:hAnsi="Helvetica" w:cs="Helvetica"/>
        <w:i/>
        <w:iCs/>
        <w:position w:val="0"/>
      </w:rPr>
    </w:lvl>
    <w:lvl w:ilvl="2">
      <w:start w:val="1"/>
      <w:numFmt w:val="bullet"/>
      <w:lvlText w:val="▪"/>
      <w:lvlJc w:val="left"/>
      <w:rPr>
        <w:rFonts w:ascii="Helvetica" w:eastAsia="Helvetica" w:hAnsi="Helvetica" w:cs="Helvetica"/>
        <w:i/>
        <w:iCs/>
        <w:position w:val="0"/>
      </w:rPr>
    </w:lvl>
    <w:lvl w:ilvl="3">
      <w:start w:val="1"/>
      <w:numFmt w:val="bullet"/>
      <w:lvlText w:val="•"/>
      <w:lvlJc w:val="left"/>
      <w:rPr>
        <w:rFonts w:ascii="Helvetica" w:eastAsia="Helvetica" w:hAnsi="Helvetica" w:cs="Helvetica"/>
        <w:i/>
        <w:iCs/>
        <w:position w:val="0"/>
      </w:rPr>
    </w:lvl>
    <w:lvl w:ilvl="4">
      <w:start w:val="1"/>
      <w:numFmt w:val="bullet"/>
      <w:lvlText w:val="o"/>
      <w:lvlJc w:val="left"/>
      <w:rPr>
        <w:rFonts w:ascii="Helvetica" w:eastAsia="Helvetica" w:hAnsi="Helvetica" w:cs="Helvetica"/>
        <w:i/>
        <w:iCs/>
        <w:position w:val="0"/>
      </w:rPr>
    </w:lvl>
    <w:lvl w:ilvl="5">
      <w:start w:val="1"/>
      <w:numFmt w:val="bullet"/>
      <w:lvlText w:val="▪"/>
      <w:lvlJc w:val="left"/>
      <w:rPr>
        <w:rFonts w:ascii="Helvetica" w:eastAsia="Helvetica" w:hAnsi="Helvetica" w:cs="Helvetica"/>
        <w:i/>
        <w:iCs/>
        <w:position w:val="0"/>
      </w:rPr>
    </w:lvl>
    <w:lvl w:ilvl="6">
      <w:start w:val="1"/>
      <w:numFmt w:val="bullet"/>
      <w:lvlText w:val="•"/>
      <w:lvlJc w:val="left"/>
      <w:rPr>
        <w:rFonts w:ascii="Helvetica" w:eastAsia="Helvetica" w:hAnsi="Helvetica" w:cs="Helvetica"/>
        <w:i/>
        <w:iCs/>
        <w:position w:val="0"/>
      </w:rPr>
    </w:lvl>
    <w:lvl w:ilvl="7">
      <w:start w:val="1"/>
      <w:numFmt w:val="bullet"/>
      <w:lvlText w:val="o"/>
      <w:lvlJc w:val="left"/>
      <w:rPr>
        <w:rFonts w:ascii="Helvetica" w:eastAsia="Helvetica" w:hAnsi="Helvetica" w:cs="Helvetica"/>
        <w:i/>
        <w:iCs/>
        <w:position w:val="0"/>
      </w:rPr>
    </w:lvl>
    <w:lvl w:ilvl="8">
      <w:start w:val="1"/>
      <w:numFmt w:val="bullet"/>
      <w:lvlText w:val="▪"/>
      <w:lvlJc w:val="left"/>
      <w:rPr>
        <w:rFonts w:ascii="Helvetica" w:eastAsia="Helvetica" w:hAnsi="Helvetica" w:cs="Helvetica"/>
        <w:i/>
        <w:iCs/>
        <w:position w:val="0"/>
      </w:rPr>
    </w:lvl>
  </w:abstractNum>
  <w:abstractNum w:abstractNumId="38">
    <w:nsid w:val="4807099A"/>
    <w:multiLevelType w:val="multilevel"/>
    <w:tmpl w:val="1D4A0694"/>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numFmt w:val="bullet"/>
      <w:lvlText w:val="▪"/>
      <w:lvlJc w:val="left"/>
      <w:pPr>
        <w:tabs>
          <w:tab w:val="num" w:pos="2160"/>
        </w:tabs>
        <w:ind w:left="2160" w:hanging="360"/>
      </w:pPr>
      <w:rPr>
        <w:rFonts w:ascii="Helvetica" w:eastAsia="Helvetica" w:hAnsi="Helvetica" w:cs="Helvetica"/>
        <w:position w:val="0"/>
        <w:sz w:val="20"/>
        <w:szCs w:val="20"/>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39">
    <w:nsid w:val="4E270144"/>
    <w:multiLevelType w:val="multilevel"/>
    <w:tmpl w:val="8DFA1974"/>
    <w:styleLink w:val="List0"/>
    <w:lvl w:ilvl="0">
      <w:numFmt w:val="bullet"/>
      <w:lvlText w:val="•"/>
      <w:lvlJc w:val="left"/>
      <w:rPr>
        <w:rFonts w:ascii="Helvetica" w:eastAsia="Helvetica" w:hAnsi="Helvetica" w:cs="Helvetica"/>
        <w:i/>
        <w:iCs/>
        <w:position w:val="0"/>
      </w:rPr>
    </w:lvl>
    <w:lvl w:ilvl="1">
      <w:start w:val="1"/>
      <w:numFmt w:val="bullet"/>
      <w:lvlText w:val="o"/>
      <w:lvlJc w:val="left"/>
      <w:rPr>
        <w:rFonts w:ascii="Helvetica" w:eastAsia="Helvetica" w:hAnsi="Helvetica" w:cs="Helvetica"/>
        <w:i/>
        <w:iCs/>
        <w:position w:val="0"/>
      </w:rPr>
    </w:lvl>
    <w:lvl w:ilvl="2">
      <w:start w:val="1"/>
      <w:numFmt w:val="bullet"/>
      <w:lvlText w:val="▪"/>
      <w:lvlJc w:val="left"/>
      <w:rPr>
        <w:rFonts w:ascii="Helvetica" w:eastAsia="Helvetica" w:hAnsi="Helvetica" w:cs="Helvetica"/>
        <w:i/>
        <w:iCs/>
        <w:position w:val="0"/>
      </w:rPr>
    </w:lvl>
    <w:lvl w:ilvl="3">
      <w:start w:val="1"/>
      <w:numFmt w:val="bullet"/>
      <w:lvlText w:val="•"/>
      <w:lvlJc w:val="left"/>
      <w:rPr>
        <w:rFonts w:ascii="Helvetica" w:eastAsia="Helvetica" w:hAnsi="Helvetica" w:cs="Helvetica"/>
        <w:i/>
        <w:iCs/>
        <w:position w:val="0"/>
      </w:rPr>
    </w:lvl>
    <w:lvl w:ilvl="4">
      <w:start w:val="1"/>
      <w:numFmt w:val="bullet"/>
      <w:lvlText w:val="o"/>
      <w:lvlJc w:val="left"/>
      <w:rPr>
        <w:rFonts w:ascii="Helvetica" w:eastAsia="Helvetica" w:hAnsi="Helvetica" w:cs="Helvetica"/>
        <w:i/>
        <w:iCs/>
        <w:position w:val="0"/>
      </w:rPr>
    </w:lvl>
    <w:lvl w:ilvl="5">
      <w:start w:val="1"/>
      <w:numFmt w:val="bullet"/>
      <w:lvlText w:val="▪"/>
      <w:lvlJc w:val="left"/>
      <w:rPr>
        <w:rFonts w:ascii="Helvetica" w:eastAsia="Helvetica" w:hAnsi="Helvetica" w:cs="Helvetica"/>
        <w:i/>
        <w:iCs/>
        <w:position w:val="0"/>
      </w:rPr>
    </w:lvl>
    <w:lvl w:ilvl="6">
      <w:start w:val="1"/>
      <w:numFmt w:val="bullet"/>
      <w:lvlText w:val="•"/>
      <w:lvlJc w:val="left"/>
      <w:rPr>
        <w:rFonts w:ascii="Helvetica" w:eastAsia="Helvetica" w:hAnsi="Helvetica" w:cs="Helvetica"/>
        <w:i/>
        <w:iCs/>
        <w:position w:val="0"/>
      </w:rPr>
    </w:lvl>
    <w:lvl w:ilvl="7">
      <w:start w:val="1"/>
      <w:numFmt w:val="bullet"/>
      <w:lvlText w:val="o"/>
      <w:lvlJc w:val="left"/>
      <w:rPr>
        <w:rFonts w:ascii="Helvetica" w:eastAsia="Helvetica" w:hAnsi="Helvetica" w:cs="Helvetica"/>
        <w:i/>
        <w:iCs/>
        <w:position w:val="0"/>
      </w:rPr>
    </w:lvl>
    <w:lvl w:ilvl="8">
      <w:start w:val="1"/>
      <w:numFmt w:val="bullet"/>
      <w:lvlText w:val="▪"/>
      <w:lvlJc w:val="left"/>
      <w:rPr>
        <w:rFonts w:ascii="Helvetica" w:eastAsia="Helvetica" w:hAnsi="Helvetica" w:cs="Helvetica"/>
        <w:i/>
        <w:iCs/>
        <w:position w:val="0"/>
      </w:rPr>
    </w:lvl>
  </w:abstractNum>
  <w:abstractNum w:abstractNumId="40">
    <w:nsid w:val="4E847212"/>
    <w:multiLevelType w:val="multilevel"/>
    <w:tmpl w:val="D9C63F26"/>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numFmt w:val="bullet"/>
      <w:lvlText w:val="•"/>
      <w:lvlJc w:val="left"/>
      <w:pPr>
        <w:tabs>
          <w:tab w:val="num" w:pos="2880"/>
        </w:tabs>
        <w:ind w:left="2880" w:hanging="360"/>
      </w:pPr>
      <w:rPr>
        <w:rFonts w:ascii="Helvetica" w:eastAsia="Helvetica" w:hAnsi="Helvetica" w:cs="Helvetica"/>
        <w:position w:val="0"/>
        <w:sz w:val="20"/>
        <w:szCs w:val="20"/>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41">
    <w:nsid w:val="5D08585F"/>
    <w:multiLevelType w:val="multilevel"/>
    <w:tmpl w:val="E4A0668E"/>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numFmt w:val="bullet"/>
      <w:lvlText w:val="▪"/>
      <w:lvlJc w:val="left"/>
      <w:pPr>
        <w:tabs>
          <w:tab w:val="num" w:pos="2160"/>
        </w:tabs>
        <w:ind w:left="2160" w:hanging="360"/>
      </w:pPr>
      <w:rPr>
        <w:rFonts w:ascii="Helvetica" w:eastAsia="Helvetica" w:hAnsi="Helvetica" w:cs="Helvetica"/>
        <w:position w:val="0"/>
        <w:sz w:val="20"/>
        <w:szCs w:val="20"/>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42">
    <w:nsid w:val="6057273F"/>
    <w:multiLevelType w:val="hybridMultilevel"/>
    <w:tmpl w:val="BABA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0B796F"/>
    <w:multiLevelType w:val="multilevel"/>
    <w:tmpl w:val="BEB814DA"/>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44">
    <w:nsid w:val="64607D3E"/>
    <w:multiLevelType w:val="multilevel"/>
    <w:tmpl w:val="176E4A6E"/>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45">
    <w:nsid w:val="69DB3E42"/>
    <w:multiLevelType w:val="multilevel"/>
    <w:tmpl w:val="69205E2A"/>
    <w:styleLink w:val="List6"/>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numFmt w:val="bullet"/>
      <w:lvlText w:val="•"/>
      <w:lvlJc w:val="left"/>
      <w:pPr>
        <w:tabs>
          <w:tab w:val="num" w:pos="2880"/>
        </w:tabs>
        <w:ind w:left="2880" w:hanging="360"/>
      </w:pPr>
      <w:rPr>
        <w:rFonts w:ascii="Helvetica" w:eastAsia="Helvetica" w:hAnsi="Helvetica" w:cs="Helvetica"/>
        <w:position w:val="0"/>
        <w:sz w:val="20"/>
        <w:szCs w:val="20"/>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46">
    <w:nsid w:val="6F2A662F"/>
    <w:multiLevelType w:val="multilevel"/>
    <w:tmpl w:val="B480350C"/>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47">
    <w:nsid w:val="71213F34"/>
    <w:multiLevelType w:val="multilevel"/>
    <w:tmpl w:val="CEA4FFBC"/>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48">
    <w:nsid w:val="72852E1F"/>
    <w:multiLevelType w:val="hybridMultilevel"/>
    <w:tmpl w:val="29D0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6D6033"/>
    <w:multiLevelType w:val="multilevel"/>
    <w:tmpl w:val="8F040FFA"/>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50">
    <w:nsid w:val="779F5C7C"/>
    <w:multiLevelType w:val="hybridMultilevel"/>
    <w:tmpl w:val="B226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8884C49"/>
    <w:multiLevelType w:val="multilevel"/>
    <w:tmpl w:val="C8CA9C72"/>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numFmt w:val="bullet"/>
      <w:lvlText w:val="▪"/>
      <w:lvlJc w:val="left"/>
      <w:pPr>
        <w:tabs>
          <w:tab w:val="num" w:pos="2160"/>
        </w:tabs>
        <w:ind w:left="2160" w:hanging="360"/>
      </w:pPr>
      <w:rPr>
        <w:rFonts w:ascii="Helvetica" w:eastAsia="Helvetica" w:hAnsi="Helvetica" w:cs="Helvetica"/>
        <w:position w:val="0"/>
        <w:sz w:val="20"/>
        <w:szCs w:val="20"/>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52">
    <w:nsid w:val="7A776E6C"/>
    <w:multiLevelType w:val="multilevel"/>
    <w:tmpl w:val="D1DED546"/>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start w:val="1"/>
      <w:numFmt w:val="bullet"/>
      <w:lvlText w:val="o"/>
      <w:lvlJc w:val="left"/>
      <w:pPr>
        <w:tabs>
          <w:tab w:val="num" w:pos="1410"/>
        </w:tabs>
        <w:ind w:left="1410" w:hanging="330"/>
      </w:pPr>
      <w:rPr>
        <w:rFonts w:ascii="Helvetica" w:eastAsia="Helvetica" w:hAnsi="Helvetica" w:cs="Helvetica"/>
        <w:position w:val="0"/>
        <w:sz w:val="22"/>
        <w:szCs w:val="22"/>
      </w:rPr>
    </w:lvl>
    <w:lvl w:ilvl="2">
      <w:numFmt w:val="bullet"/>
      <w:lvlText w:val="▪"/>
      <w:lvlJc w:val="left"/>
      <w:pPr>
        <w:tabs>
          <w:tab w:val="num" w:pos="2160"/>
        </w:tabs>
        <w:ind w:left="2160" w:hanging="360"/>
      </w:pPr>
      <w:rPr>
        <w:rFonts w:ascii="Helvetica" w:eastAsia="Helvetica" w:hAnsi="Helvetica" w:cs="Helvetica"/>
        <w:position w:val="0"/>
        <w:sz w:val="20"/>
        <w:szCs w:val="20"/>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abstractNum w:abstractNumId="53">
    <w:nsid w:val="7C150571"/>
    <w:multiLevelType w:val="multilevel"/>
    <w:tmpl w:val="CC72E7FE"/>
    <w:lvl w:ilvl="0">
      <w:start w:val="1"/>
      <w:numFmt w:val="bullet"/>
      <w:lvlText w:val="-"/>
      <w:lvlJc w:val="left"/>
      <w:pPr>
        <w:tabs>
          <w:tab w:val="num" w:pos="690"/>
        </w:tabs>
        <w:ind w:left="690" w:hanging="330"/>
      </w:pPr>
      <w:rPr>
        <w:rFonts w:ascii="Helvetica" w:eastAsia="Helvetica" w:hAnsi="Helvetica" w:cs="Helvetica"/>
        <w:position w:val="0"/>
        <w:sz w:val="22"/>
        <w:szCs w:val="22"/>
      </w:rPr>
    </w:lvl>
    <w:lvl w:ilvl="1">
      <w:numFmt w:val="bullet"/>
      <w:lvlText w:val="o"/>
      <w:lvlJc w:val="left"/>
      <w:pPr>
        <w:tabs>
          <w:tab w:val="num" w:pos="1440"/>
        </w:tabs>
        <w:ind w:left="1440" w:hanging="360"/>
      </w:pPr>
      <w:rPr>
        <w:rFonts w:ascii="Helvetica" w:eastAsia="Helvetica" w:hAnsi="Helvetica" w:cs="Helvetica"/>
        <w:position w:val="0"/>
        <w:sz w:val="20"/>
        <w:szCs w:val="20"/>
      </w:rPr>
    </w:lvl>
    <w:lvl w:ilvl="2">
      <w:start w:val="1"/>
      <w:numFmt w:val="bullet"/>
      <w:lvlText w:val="▪"/>
      <w:lvlJc w:val="left"/>
      <w:pPr>
        <w:tabs>
          <w:tab w:val="num" w:pos="2130"/>
        </w:tabs>
        <w:ind w:left="2130" w:hanging="330"/>
      </w:pPr>
      <w:rPr>
        <w:rFonts w:ascii="Helvetica" w:eastAsia="Helvetica" w:hAnsi="Helvetica" w:cs="Helvetica"/>
        <w:position w:val="0"/>
        <w:sz w:val="22"/>
        <w:szCs w:val="22"/>
      </w:rPr>
    </w:lvl>
    <w:lvl w:ilvl="3">
      <w:start w:val="1"/>
      <w:numFmt w:val="bullet"/>
      <w:lvlText w:val="•"/>
      <w:lvlJc w:val="left"/>
      <w:pPr>
        <w:tabs>
          <w:tab w:val="num" w:pos="2850"/>
        </w:tabs>
        <w:ind w:left="2850" w:hanging="330"/>
      </w:pPr>
      <w:rPr>
        <w:rFonts w:ascii="Helvetica" w:eastAsia="Helvetica" w:hAnsi="Helvetica" w:cs="Helvetica"/>
        <w:position w:val="0"/>
        <w:sz w:val="22"/>
        <w:szCs w:val="22"/>
      </w:rPr>
    </w:lvl>
    <w:lvl w:ilvl="4">
      <w:start w:val="1"/>
      <w:numFmt w:val="bullet"/>
      <w:lvlText w:val="o"/>
      <w:lvlJc w:val="left"/>
      <w:pPr>
        <w:tabs>
          <w:tab w:val="num" w:pos="3570"/>
        </w:tabs>
        <w:ind w:left="3570" w:hanging="330"/>
      </w:pPr>
      <w:rPr>
        <w:rFonts w:ascii="Helvetica" w:eastAsia="Helvetica" w:hAnsi="Helvetica" w:cs="Helvetica"/>
        <w:position w:val="0"/>
        <w:sz w:val="22"/>
        <w:szCs w:val="22"/>
      </w:rPr>
    </w:lvl>
    <w:lvl w:ilvl="5">
      <w:start w:val="1"/>
      <w:numFmt w:val="bullet"/>
      <w:lvlText w:val="▪"/>
      <w:lvlJc w:val="left"/>
      <w:pPr>
        <w:tabs>
          <w:tab w:val="num" w:pos="4290"/>
        </w:tabs>
        <w:ind w:left="4290" w:hanging="330"/>
      </w:pPr>
      <w:rPr>
        <w:rFonts w:ascii="Helvetica" w:eastAsia="Helvetica" w:hAnsi="Helvetica" w:cs="Helvetica"/>
        <w:position w:val="0"/>
        <w:sz w:val="22"/>
        <w:szCs w:val="22"/>
      </w:rPr>
    </w:lvl>
    <w:lvl w:ilvl="6">
      <w:start w:val="1"/>
      <w:numFmt w:val="bullet"/>
      <w:lvlText w:val="•"/>
      <w:lvlJc w:val="left"/>
      <w:pPr>
        <w:tabs>
          <w:tab w:val="num" w:pos="5010"/>
        </w:tabs>
        <w:ind w:left="5010" w:hanging="330"/>
      </w:pPr>
      <w:rPr>
        <w:rFonts w:ascii="Helvetica" w:eastAsia="Helvetica" w:hAnsi="Helvetica" w:cs="Helvetica"/>
        <w:position w:val="0"/>
        <w:sz w:val="22"/>
        <w:szCs w:val="22"/>
      </w:rPr>
    </w:lvl>
    <w:lvl w:ilvl="7">
      <w:start w:val="1"/>
      <w:numFmt w:val="bullet"/>
      <w:lvlText w:val="o"/>
      <w:lvlJc w:val="left"/>
      <w:pPr>
        <w:tabs>
          <w:tab w:val="num" w:pos="5730"/>
        </w:tabs>
        <w:ind w:left="5730" w:hanging="330"/>
      </w:pPr>
      <w:rPr>
        <w:rFonts w:ascii="Helvetica" w:eastAsia="Helvetica" w:hAnsi="Helvetica" w:cs="Helvetica"/>
        <w:position w:val="0"/>
        <w:sz w:val="22"/>
        <w:szCs w:val="22"/>
      </w:rPr>
    </w:lvl>
    <w:lvl w:ilvl="8">
      <w:start w:val="1"/>
      <w:numFmt w:val="bullet"/>
      <w:lvlText w:val="▪"/>
      <w:lvlJc w:val="left"/>
      <w:pPr>
        <w:tabs>
          <w:tab w:val="num" w:pos="6450"/>
        </w:tabs>
        <w:ind w:left="6450" w:hanging="330"/>
      </w:pPr>
      <w:rPr>
        <w:rFonts w:ascii="Helvetica" w:eastAsia="Helvetica" w:hAnsi="Helvetica" w:cs="Helvetica"/>
        <w:position w:val="0"/>
        <w:sz w:val="22"/>
        <w:szCs w:val="22"/>
      </w:rPr>
    </w:lvl>
  </w:abstractNum>
  <w:num w:numId="1">
    <w:abstractNumId w:val="31"/>
  </w:num>
  <w:num w:numId="2">
    <w:abstractNumId w:val="22"/>
  </w:num>
  <w:num w:numId="3">
    <w:abstractNumId w:val="37"/>
  </w:num>
  <w:num w:numId="4">
    <w:abstractNumId w:val="13"/>
  </w:num>
  <w:num w:numId="5">
    <w:abstractNumId w:val="39"/>
  </w:num>
  <w:num w:numId="6">
    <w:abstractNumId w:val="34"/>
  </w:num>
  <w:num w:numId="7">
    <w:abstractNumId w:val="0"/>
  </w:num>
  <w:num w:numId="8">
    <w:abstractNumId w:val="16"/>
  </w:num>
  <w:num w:numId="9">
    <w:abstractNumId w:val="46"/>
  </w:num>
  <w:num w:numId="10">
    <w:abstractNumId w:val="28"/>
  </w:num>
  <w:num w:numId="11">
    <w:abstractNumId w:val="47"/>
  </w:num>
  <w:num w:numId="12">
    <w:abstractNumId w:val="25"/>
  </w:num>
  <w:num w:numId="13">
    <w:abstractNumId w:val="30"/>
  </w:num>
  <w:num w:numId="14">
    <w:abstractNumId w:val="9"/>
  </w:num>
  <w:num w:numId="15">
    <w:abstractNumId w:val="29"/>
  </w:num>
  <w:num w:numId="16">
    <w:abstractNumId w:val="12"/>
  </w:num>
  <w:num w:numId="17">
    <w:abstractNumId w:val="7"/>
  </w:num>
  <w:num w:numId="18">
    <w:abstractNumId w:val="19"/>
  </w:num>
  <w:num w:numId="19">
    <w:abstractNumId w:val="33"/>
  </w:num>
  <w:num w:numId="20">
    <w:abstractNumId w:val="36"/>
  </w:num>
  <w:num w:numId="21">
    <w:abstractNumId w:val="1"/>
  </w:num>
  <w:num w:numId="22">
    <w:abstractNumId w:val="5"/>
  </w:num>
  <w:num w:numId="23">
    <w:abstractNumId w:val="15"/>
  </w:num>
  <w:num w:numId="24">
    <w:abstractNumId w:val="53"/>
  </w:num>
  <w:num w:numId="25">
    <w:abstractNumId w:val="8"/>
  </w:num>
  <w:num w:numId="26">
    <w:abstractNumId w:val="41"/>
  </w:num>
  <w:num w:numId="27">
    <w:abstractNumId w:val="51"/>
  </w:num>
  <w:num w:numId="28">
    <w:abstractNumId w:val="14"/>
  </w:num>
  <w:num w:numId="29">
    <w:abstractNumId w:val="21"/>
  </w:num>
  <w:num w:numId="30">
    <w:abstractNumId w:val="4"/>
  </w:num>
  <w:num w:numId="31">
    <w:abstractNumId w:val="10"/>
  </w:num>
  <w:num w:numId="32">
    <w:abstractNumId w:val="23"/>
  </w:num>
  <w:num w:numId="33">
    <w:abstractNumId w:val="52"/>
  </w:num>
  <w:num w:numId="34">
    <w:abstractNumId w:val="26"/>
  </w:num>
  <w:num w:numId="35">
    <w:abstractNumId w:val="32"/>
  </w:num>
  <w:num w:numId="36">
    <w:abstractNumId w:val="11"/>
  </w:num>
  <w:num w:numId="37">
    <w:abstractNumId w:val="6"/>
  </w:num>
  <w:num w:numId="38">
    <w:abstractNumId w:val="38"/>
  </w:num>
  <w:num w:numId="39">
    <w:abstractNumId w:val="43"/>
  </w:num>
  <w:num w:numId="40">
    <w:abstractNumId w:val="20"/>
  </w:num>
  <w:num w:numId="41">
    <w:abstractNumId w:val="40"/>
  </w:num>
  <w:num w:numId="42">
    <w:abstractNumId w:val="3"/>
  </w:num>
  <w:num w:numId="43">
    <w:abstractNumId w:val="17"/>
  </w:num>
  <w:num w:numId="44">
    <w:abstractNumId w:val="45"/>
  </w:num>
  <w:num w:numId="45">
    <w:abstractNumId w:val="2"/>
  </w:num>
  <w:num w:numId="46">
    <w:abstractNumId w:val="27"/>
  </w:num>
  <w:num w:numId="47">
    <w:abstractNumId w:val="44"/>
  </w:num>
  <w:num w:numId="48">
    <w:abstractNumId w:val="49"/>
  </w:num>
  <w:num w:numId="49">
    <w:abstractNumId w:val="24"/>
  </w:num>
  <w:num w:numId="50">
    <w:abstractNumId w:val="18"/>
  </w:num>
  <w:num w:numId="51">
    <w:abstractNumId w:val="35"/>
  </w:num>
  <w:num w:numId="52">
    <w:abstractNumId w:val="48"/>
  </w:num>
  <w:num w:numId="53">
    <w:abstractNumId w:val="50"/>
  </w:num>
  <w:num w:numId="54">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485"/>
    <w:rsid w:val="000020C4"/>
    <w:rsid w:val="000232EC"/>
    <w:rsid w:val="000770BC"/>
    <w:rsid w:val="000942D6"/>
    <w:rsid w:val="000961FB"/>
    <w:rsid w:val="000A696C"/>
    <w:rsid w:val="000B0DCA"/>
    <w:rsid w:val="000E2633"/>
    <w:rsid w:val="00100BA1"/>
    <w:rsid w:val="00102AE1"/>
    <w:rsid w:val="00104E80"/>
    <w:rsid w:val="00106979"/>
    <w:rsid w:val="00113A19"/>
    <w:rsid w:val="00114DB2"/>
    <w:rsid w:val="00130A6F"/>
    <w:rsid w:val="00142BEE"/>
    <w:rsid w:val="0014698F"/>
    <w:rsid w:val="00165699"/>
    <w:rsid w:val="00170CC6"/>
    <w:rsid w:val="001867E0"/>
    <w:rsid w:val="001B1F59"/>
    <w:rsid w:val="001C1B67"/>
    <w:rsid w:val="001C7782"/>
    <w:rsid w:val="001E191C"/>
    <w:rsid w:val="001E4C52"/>
    <w:rsid w:val="001E51FB"/>
    <w:rsid w:val="001F12CE"/>
    <w:rsid w:val="00212298"/>
    <w:rsid w:val="00236EC6"/>
    <w:rsid w:val="00240B2E"/>
    <w:rsid w:val="00245754"/>
    <w:rsid w:val="002504C7"/>
    <w:rsid w:val="0025306D"/>
    <w:rsid w:val="002551D3"/>
    <w:rsid w:val="00257C8E"/>
    <w:rsid w:val="00287E8F"/>
    <w:rsid w:val="00295965"/>
    <w:rsid w:val="002B2901"/>
    <w:rsid w:val="002B2F89"/>
    <w:rsid w:val="002B6A7B"/>
    <w:rsid w:val="002D36D4"/>
    <w:rsid w:val="002D6F30"/>
    <w:rsid w:val="002E5E9A"/>
    <w:rsid w:val="002E7C8E"/>
    <w:rsid w:val="002F596E"/>
    <w:rsid w:val="00302870"/>
    <w:rsid w:val="0030345C"/>
    <w:rsid w:val="0031102B"/>
    <w:rsid w:val="003114B6"/>
    <w:rsid w:val="0031745B"/>
    <w:rsid w:val="00337974"/>
    <w:rsid w:val="00387246"/>
    <w:rsid w:val="003A3157"/>
    <w:rsid w:val="003B2D94"/>
    <w:rsid w:val="003B6317"/>
    <w:rsid w:val="003D4900"/>
    <w:rsid w:val="003D507D"/>
    <w:rsid w:val="003D743E"/>
    <w:rsid w:val="003D7B4D"/>
    <w:rsid w:val="003E595C"/>
    <w:rsid w:val="003F0836"/>
    <w:rsid w:val="00427B89"/>
    <w:rsid w:val="00437345"/>
    <w:rsid w:val="00443B15"/>
    <w:rsid w:val="00446312"/>
    <w:rsid w:val="004560EB"/>
    <w:rsid w:val="00465623"/>
    <w:rsid w:val="00480A79"/>
    <w:rsid w:val="0048367B"/>
    <w:rsid w:val="00483798"/>
    <w:rsid w:val="00492E9D"/>
    <w:rsid w:val="004A3735"/>
    <w:rsid w:val="004A61E3"/>
    <w:rsid w:val="004B4217"/>
    <w:rsid w:val="004C1606"/>
    <w:rsid w:val="004D03B8"/>
    <w:rsid w:val="004D3C79"/>
    <w:rsid w:val="00536718"/>
    <w:rsid w:val="00554CF8"/>
    <w:rsid w:val="00562642"/>
    <w:rsid w:val="005656C8"/>
    <w:rsid w:val="00565C3F"/>
    <w:rsid w:val="005705D4"/>
    <w:rsid w:val="00580054"/>
    <w:rsid w:val="00584863"/>
    <w:rsid w:val="00591482"/>
    <w:rsid w:val="0059207D"/>
    <w:rsid w:val="00593205"/>
    <w:rsid w:val="005A05F5"/>
    <w:rsid w:val="005B60FA"/>
    <w:rsid w:val="005D7E59"/>
    <w:rsid w:val="005E69AB"/>
    <w:rsid w:val="00606C1C"/>
    <w:rsid w:val="00631375"/>
    <w:rsid w:val="0063612B"/>
    <w:rsid w:val="0065182D"/>
    <w:rsid w:val="00655C74"/>
    <w:rsid w:val="00662D5F"/>
    <w:rsid w:val="00663B81"/>
    <w:rsid w:val="00681790"/>
    <w:rsid w:val="006925F8"/>
    <w:rsid w:val="006940E2"/>
    <w:rsid w:val="006A73BC"/>
    <w:rsid w:val="006C5B87"/>
    <w:rsid w:val="006E0BE9"/>
    <w:rsid w:val="00701C7F"/>
    <w:rsid w:val="00706956"/>
    <w:rsid w:val="007131A4"/>
    <w:rsid w:val="00715FB4"/>
    <w:rsid w:val="007172C5"/>
    <w:rsid w:val="00717AA0"/>
    <w:rsid w:val="007354D0"/>
    <w:rsid w:val="0074513B"/>
    <w:rsid w:val="007523DB"/>
    <w:rsid w:val="00760B88"/>
    <w:rsid w:val="007615F1"/>
    <w:rsid w:val="00766714"/>
    <w:rsid w:val="00766ADF"/>
    <w:rsid w:val="007672CB"/>
    <w:rsid w:val="00783B73"/>
    <w:rsid w:val="00787BBB"/>
    <w:rsid w:val="007B7864"/>
    <w:rsid w:val="007B7F62"/>
    <w:rsid w:val="007C4CCB"/>
    <w:rsid w:val="007C6849"/>
    <w:rsid w:val="007D21D6"/>
    <w:rsid w:val="007E1498"/>
    <w:rsid w:val="00801EFE"/>
    <w:rsid w:val="008214A9"/>
    <w:rsid w:val="00830D27"/>
    <w:rsid w:val="00832609"/>
    <w:rsid w:val="0083432B"/>
    <w:rsid w:val="00840CA4"/>
    <w:rsid w:val="00844696"/>
    <w:rsid w:val="00870ED9"/>
    <w:rsid w:val="00887E76"/>
    <w:rsid w:val="00896611"/>
    <w:rsid w:val="008A5F14"/>
    <w:rsid w:val="008C560F"/>
    <w:rsid w:val="008C7B09"/>
    <w:rsid w:val="008D0599"/>
    <w:rsid w:val="008D1485"/>
    <w:rsid w:val="008D1728"/>
    <w:rsid w:val="008E4DA8"/>
    <w:rsid w:val="00900270"/>
    <w:rsid w:val="00923B9D"/>
    <w:rsid w:val="00931D03"/>
    <w:rsid w:val="00932D1B"/>
    <w:rsid w:val="00940566"/>
    <w:rsid w:val="009421D9"/>
    <w:rsid w:val="009426E4"/>
    <w:rsid w:val="009519C9"/>
    <w:rsid w:val="00953E34"/>
    <w:rsid w:val="00954ADF"/>
    <w:rsid w:val="00960690"/>
    <w:rsid w:val="009628E8"/>
    <w:rsid w:val="00977E8B"/>
    <w:rsid w:val="00994BAF"/>
    <w:rsid w:val="009A54F9"/>
    <w:rsid w:val="009C1873"/>
    <w:rsid w:val="009E4435"/>
    <w:rsid w:val="009F24E7"/>
    <w:rsid w:val="009F5ADA"/>
    <w:rsid w:val="00A07F19"/>
    <w:rsid w:val="00A1326B"/>
    <w:rsid w:val="00A30123"/>
    <w:rsid w:val="00A34E7E"/>
    <w:rsid w:val="00A648BB"/>
    <w:rsid w:val="00A64D31"/>
    <w:rsid w:val="00A65612"/>
    <w:rsid w:val="00A83AE5"/>
    <w:rsid w:val="00AA4450"/>
    <w:rsid w:val="00AA6A1A"/>
    <w:rsid w:val="00AC2B4A"/>
    <w:rsid w:val="00AC51FE"/>
    <w:rsid w:val="00AC604A"/>
    <w:rsid w:val="00AD4019"/>
    <w:rsid w:val="00AD71EE"/>
    <w:rsid w:val="00B2120E"/>
    <w:rsid w:val="00B2121E"/>
    <w:rsid w:val="00B245BB"/>
    <w:rsid w:val="00B4452F"/>
    <w:rsid w:val="00B474E3"/>
    <w:rsid w:val="00B5067E"/>
    <w:rsid w:val="00B56FF1"/>
    <w:rsid w:val="00B5740F"/>
    <w:rsid w:val="00B575AC"/>
    <w:rsid w:val="00B64657"/>
    <w:rsid w:val="00B76351"/>
    <w:rsid w:val="00B76673"/>
    <w:rsid w:val="00B85FF0"/>
    <w:rsid w:val="00B91138"/>
    <w:rsid w:val="00B923DF"/>
    <w:rsid w:val="00BC073E"/>
    <w:rsid w:val="00BC272E"/>
    <w:rsid w:val="00BD6540"/>
    <w:rsid w:val="00BE3DE2"/>
    <w:rsid w:val="00BE5F39"/>
    <w:rsid w:val="00BF18FD"/>
    <w:rsid w:val="00BF238B"/>
    <w:rsid w:val="00BF33BF"/>
    <w:rsid w:val="00BF6327"/>
    <w:rsid w:val="00C102F3"/>
    <w:rsid w:val="00C2010C"/>
    <w:rsid w:val="00C20FF4"/>
    <w:rsid w:val="00C3662C"/>
    <w:rsid w:val="00C47B62"/>
    <w:rsid w:val="00C72241"/>
    <w:rsid w:val="00C82C3C"/>
    <w:rsid w:val="00C95B43"/>
    <w:rsid w:val="00C95F86"/>
    <w:rsid w:val="00CB4832"/>
    <w:rsid w:val="00CC28A7"/>
    <w:rsid w:val="00CD2C03"/>
    <w:rsid w:val="00CE030C"/>
    <w:rsid w:val="00CE05A1"/>
    <w:rsid w:val="00CE7DC2"/>
    <w:rsid w:val="00CF2296"/>
    <w:rsid w:val="00CF23F1"/>
    <w:rsid w:val="00D11727"/>
    <w:rsid w:val="00D12E2C"/>
    <w:rsid w:val="00D155D1"/>
    <w:rsid w:val="00D16689"/>
    <w:rsid w:val="00D255EF"/>
    <w:rsid w:val="00D46F77"/>
    <w:rsid w:val="00D51486"/>
    <w:rsid w:val="00D56C5A"/>
    <w:rsid w:val="00D70725"/>
    <w:rsid w:val="00D725B9"/>
    <w:rsid w:val="00D72ADB"/>
    <w:rsid w:val="00D77CDA"/>
    <w:rsid w:val="00D826F4"/>
    <w:rsid w:val="00DA5281"/>
    <w:rsid w:val="00DB0CF3"/>
    <w:rsid w:val="00DB4B78"/>
    <w:rsid w:val="00DD134F"/>
    <w:rsid w:val="00DD5F2C"/>
    <w:rsid w:val="00DE4140"/>
    <w:rsid w:val="00DE4E4B"/>
    <w:rsid w:val="00DF5232"/>
    <w:rsid w:val="00E013A1"/>
    <w:rsid w:val="00E02081"/>
    <w:rsid w:val="00E070E3"/>
    <w:rsid w:val="00E30794"/>
    <w:rsid w:val="00E35B24"/>
    <w:rsid w:val="00E5261F"/>
    <w:rsid w:val="00E60519"/>
    <w:rsid w:val="00E670B0"/>
    <w:rsid w:val="00EA55AE"/>
    <w:rsid w:val="00EA66CF"/>
    <w:rsid w:val="00EC4704"/>
    <w:rsid w:val="00EC7A0C"/>
    <w:rsid w:val="00ED226A"/>
    <w:rsid w:val="00EE59C3"/>
    <w:rsid w:val="00EF19AB"/>
    <w:rsid w:val="00F04F3F"/>
    <w:rsid w:val="00F24B07"/>
    <w:rsid w:val="00F36B43"/>
    <w:rsid w:val="00F41086"/>
    <w:rsid w:val="00F443AF"/>
    <w:rsid w:val="00F47CB8"/>
    <w:rsid w:val="00F55FCE"/>
    <w:rsid w:val="00F60890"/>
    <w:rsid w:val="00F80D58"/>
    <w:rsid w:val="00F82EF3"/>
    <w:rsid w:val="00F83A29"/>
    <w:rsid w:val="00F86710"/>
    <w:rsid w:val="00F9541E"/>
    <w:rsid w:val="00FB515A"/>
    <w:rsid w:val="00FE182B"/>
    <w:rsid w:val="00FE4ED3"/>
    <w:rsid w:val="00FE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1485"/>
    <w:pPr>
      <w:pBdr>
        <w:top w:val="nil"/>
        <w:left w:val="nil"/>
        <w:bottom w:val="nil"/>
        <w:right w:val="nil"/>
        <w:between w:val="nil"/>
        <w:bar w:val="nil"/>
      </w:pBdr>
    </w:pPr>
    <w:rPr>
      <w:sz w:val="24"/>
      <w:szCs w:val="24"/>
      <w:bdr w:val="nil"/>
    </w:rPr>
  </w:style>
  <w:style w:type="paragraph" w:styleId="Heading2">
    <w:name w:val="heading 2"/>
    <w:basedOn w:val="Normal"/>
    <w:next w:val="Normal"/>
    <w:link w:val="Heading2Char"/>
    <w:uiPriority w:val="9"/>
    <w:unhideWhenUsed/>
    <w:qFormat/>
    <w:rsid w:val="00B474E3"/>
    <w:pPr>
      <w:keepNext/>
      <w:keepLines/>
      <w:spacing w:before="200"/>
      <w:outlineLvl w:val="1"/>
    </w:pPr>
    <w:rPr>
      <w:rFonts w:ascii="Helvetica" w:eastAsia="Times New Roman" w:hAnsi="Helvetica"/>
      <w:b/>
      <w:bCs/>
      <w:color w:val="499BC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1485"/>
    <w:rPr>
      <w:u w:val="single"/>
    </w:rPr>
  </w:style>
  <w:style w:type="paragraph" w:customStyle="1" w:styleId="HeaderFooter">
    <w:name w:val="Header &amp; Footer"/>
    <w:rsid w:val="008D1485"/>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customStyle="1" w:styleId="BodyA">
    <w:name w:val="Body A"/>
    <w:rsid w:val="008D1485"/>
    <w:pPr>
      <w:pBdr>
        <w:top w:val="nil"/>
        <w:left w:val="nil"/>
        <w:bottom w:val="nil"/>
        <w:right w:val="nil"/>
        <w:between w:val="nil"/>
        <w:bar w:val="nil"/>
      </w:pBdr>
    </w:pPr>
    <w:rPr>
      <w:rFonts w:ascii="Helvetica" w:hAnsi="Arial Unicode MS" w:cs="Arial Unicode MS"/>
      <w:color w:val="000000"/>
      <w:sz w:val="22"/>
      <w:szCs w:val="22"/>
      <w:u w:color="000000"/>
      <w:bdr w:val="nil"/>
    </w:rPr>
  </w:style>
  <w:style w:type="paragraph" w:customStyle="1" w:styleId="Body">
    <w:name w:val="Body"/>
    <w:rsid w:val="008D1485"/>
    <w:pPr>
      <w:pBdr>
        <w:top w:val="nil"/>
        <w:left w:val="nil"/>
        <w:bottom w:val="nil"/>
        <w:right w:val="nil"/>
        <w:between w:val="nil"/>
        <w:bar w:val="nil"/>
      </w:pBdr>
    </w:pPr>
    <w:rPr>
      <w:rFonts w:eastAsia="Times New Roman"/>
      <w:color w:val="000000"/>
      <w:sz w:val="24"/>
      <w:szCs w:val="24"/>
      <w:u w:color="000000"/>
      <w:bdr w:val="nil"/>
    </w:rPr>
  </w:style>
  <w:style w:type="paragraph" w:customStyle="1" w:styleId="TableStyle2">
    <w:name w:val="Table Style 2"/>
    <w:rsid w:val="008D1485"/>
    <w:pPr>
      <w:pBdr>
        <w:top w:val="nil"/>
        <w:left w:val="nil"/>
        <w:bottom w:val="nil"/>
        <w:right w:val="nil"/>
        <w:between w:val="nil"/>
        <w:bar w:val="nil"/>
      </w:pBdr>
    </w:pPr>
    <w:rPr>
      <w:rFonts w:ascii="Helvetica" w:eastAsia="Helvetica" w:hAnsi="Helvetica" w:cs="Helvetica"/>
      <w:color w:val="000000"/>
      <w:bdr w:val="nil"/>
    </w:rPr>
  </w:style>
  <w:style w:type="paragraph" w:styleId="NoSpacing">
    <w:name w:val="No Spacing"/>
    <w:qFormat/>
    <w:rsid w:val="008D1485"/>
    <w:pPr>
      <w:pBdr>
        <w:top w:val="nil"/>
        <w:left w:val="nil"/>
        <w:bottom w:val="nil"/>
        <w:right w:val="nil"/>
        <w:between w:val="nil"/>
        <w:bar w:val="nil"/>
      </w:pBdr>
    </w:pPr>
    <w:rPr>
      <w:rFonts w:ascii="Helvetica" w:hAnsi="Arial Unicode MS" w:cs="Arial Unicode MS"/>
      <w:color w:val="000000"/>
      <w:sz w:val="22"/>
      <w:szCs w:val="22"/>
      <w:u w:color="000000"/>
      <w:bdr w:val="nil"/>
    </w:rPr>
  </w:style>
  <w:style w:type="numbering" w:customStyle="1" w:styleId="List0">
    <w:name w:val="List 0"/>
    <w:basedOn w:val="ImportedStyle1"/>
    <w:rsid w:val="008D1485"/>
    <w:pPr>
      <w:numPr>
        <w:numId w:val="5"/>
      </w:numPr>
    </w:pPr>
  </w:style>
  <w:style w:type="numbering" w:customStyle="1" w:styleId="ImportedStyle1">
    <w:name w:val="Imported Style 1"/>
    <w:rsid w:val="008D1485"/>
  </w:style>
  <w:style w:type="paragraph" w:styleId="ListParagraph">
    <w:name w:val="List Paragraph"/>
    <w:rsid w:val="008D1485"/>
    <w:pPr>
      <w:pBdr>
        <w:top w:val="nil"/>
        <w:left w:val="nil"/>
        <w:bottom w:val="nil"/>
        <w:right w:val="nil"/>
        <w:between w:val="nil"/>
        <w:bar w:val="nil"/>
      </w:pBdr>
      <w:ind w:left="720"/>
    </w:pPr>
    <w:rPr>
      <w:rFonts w:ascii="Calibri" w:eastAsia="Calibri" w:hAnsi="Calibri" w:cs="Calibri"/>
      <w:color w:val="000000"/>
      <w:u w:color="000000"/>
      <w:bdr w:val="nil"/>
    </w:rPr>
  </w:style>
  <w:style w:type="numbering" w:customStyle="1" w:styleId="List1">
    <w:name w:val="List 1"/>
    <w:basedOn w:val="ImportedStyle2"/>
    <w:rsid w:val="008D1485"/>
    <w:pPr>
      <w:numPr>
        <w:numId w:val="12"/>
      </w:numPr>
    </w:pPr>
  </w:style>
  <w:style w:type="numbering" w:customStyle="1" w:styleId="ImportedStyle2">
    <w:name w:val="Imported Style 2"/>
    <w:rsid w:val="008D1485"/>
  </w:style>
  <w:style w:type="numbering" w:customStyle="1" w:styleId="List21">
    <w:name w:val="List 21"/>
    <w:basedOn w:val="ImportedStyle3"/>
    <w:rsid w:val="008D1485"/>
    <w:pPr>
      <w:numPr>
        <w:numId w:val="13"/>
      </w:numPr>
    </w:pPr>
  </w:style>
  <w:style w:type="numbering" w:customStyle="1" w:styleId="ImportedStyle3">
    <w:name w:val="Imported Style 3"/>
    <w:rsid w:val="008D1485"/>
  </w:style>
  <w:style w:type="numbering" w:customStyle="1" w:styleId="List31">
    <w:name w:val="List 31"/>
    <w:basedOn w:val="ImportedStyle4"/>
    <w:rsid w:val="008D1485"/>
    <w:pPr>
      <w:numPr>
        <w:numId w:val="45"/>
      </w:numPr>
    </w:pPr>
  </w:style>
  <w:style w:type="numbering" w:customStyle="1" w:styleId="ImportedStyle4">
    <w:name w:val="Imported Style 4"/>
    <w:rsid w:val="008D1485"/>
  </w:style>
  <w:style w:type="numbering" w:customStyle="1" w:styleId="List41">
    <w:name w:val="List 41"/>
    <w:basedOn w:val="ImportedStyle4"/>
    <w:rsid w:val="008D1485"/>
    <w:pPr>
      <w:numPr>
        <w:numId w:val="49"/>
      </w:numPr>
    </w:pPr>
  </w:style>
  <w:style w:type="numbering" w:customStyle="1" w:styleId="List51">
    <w:name w:val="List 51"/>
    <w:basedOn w:val="ImportedStyle4"/>
    <w:rsid w:val="008D1485"/>
    <w:pPr>
      <w:numPr>
        <w:numId w:val="40"/>
      </w:numPr>
    </w:pPr>
  </w:style>
  <w:style w:type="numbering" w:customStyle="1" w:styleId="List6">
    <w:name w:val="List 6"/>
    <w:basedOn w:val="ImportedStyle4"/>
    <w:rsid w:val="008D1485"/>
    <w:pPr>
      <w:numPr>
        <w:numId w:val="44"/>
      </w:numPr>
    </w:pPr>
  </w:style>
  <w:style w:type="paragraph" w:styleId="Header">
    <w:name w:val="header"/>
    <w:basedOn w:val="Normal"/>
    <w:link w:val="HeaderChar"/>
    <w:uiPriority w:val="99"/>
    <w:unhideWhenUsed/>
    <w:rsid w:val="00AA4450"/>
    <w:pPr>
      <w:tabs>
        <w:tab w:val="center" w:pos="4680"/>
        <w:tab w:val="right" w:pos="9360"/>
      </w:tabs>
    </w:pPr>
  </w:style>
  <w:style w:type="character" w:customStyle="1" w:styleId="HeaderChar">
    <w:name w:val="Header Char"/>
    <w:link w:val="Header"/>
    <w:uiPriority w:val="99"/>
    <w:rsid w:val="00AA4450"/>
    <w:rPr>
      <w:sz w:val="24"/>
      <w:szCs w:val="24"/>
    </w:rPr>
  </w:style>
  <w:style w:type="paragraph" w:styleId="Footer">
    <w:name w:val="footer"/>
    <w:basedOn w:val="Normal"/>
    <w:link w:val="FooterChar"/>
    <w:uiPriority w:val="99"/>
    <w:unhideWhenUsed/>
    <w:rsid w:val="00AA4450"/>
    <w:pPr>
      <w:tabs>
        <w:tab w:val="center" w:pos="4680"/>
        <w:tab w:val="right" w:pos="9360"/>
      </w:tabs>
    </w:pPr>
  </w:style>
  <w:style w:type="character" w:customStyle="1" w:styleId="FooterChar">
    <w:name w:val="Footer Char"/>
    <w:link w:val="Footer"/>
    <w:uiPriority w:val="99"/>
    <w:rsid w:val="00AA4450"/>
    <w:rPr>
      <w:sz w:val="24"/>
      <w:szCs w:val="24"/>
    </w:rPr>
  </w:style>
  <w:style w:type="character" w:styleId="CommentReference">
    <w:name w:val="annotation reference"/>
    <w:uiPriority w:val="99"/>
    <w:semiHidden/>
    <w:unhideWhenUsed/>
    <w:rsid w:val="0074513B"/>
    <w:rPr>
      <w:sz w:val="16"/>
      <w:szCs w:val="16"/>
    </w:rPr>
  </w:style>
  <w:style w:type="paragraph" w:styleId="CommentText">
    <w:name w:val="annotation text"/>
    <w:basedOn w:val="Normal"/>
    <w:link w:val="CommentTextChar"/>
    <w:uiPriority w:val="99"/>
    <w:semiHidden/>
    <w:unhideWhenUsed/>
    <w:rsid w:val="0074513B"/>
    <w:rPr>
      <w:sz w:val="20"/>
      <w:szCs w:val="20"/>
    </w:rPr>
  </w:style>
  <w:style w:type="character" w:customStyle="1" w:styleId="CommentTextChar">
    <w:name w:val="Comment Text Char"/>
    <w:basedOn w:val="DefaultParagraphFont"/>
    <w:link w:val="CommentText"/>
    <w:uiPriority w:val="99"/>
    <w:semiHidden/>
    <w:rsid w:val="0074513B"/>
  </w:style>
  <w:style w:type="paragraph" w:styleId="CommentSubject">
    <w:name w:val="annotation subject"/>
    <w:basedOn w:val="CommentText"/>
    <w:next w:val="CommentText"/>
    <w:link w:val="CommentSubjectChar"/>
    <w:uiPriority w:val="99"/>
    <w:semiHidden/>
    <w:unhideWhenUsed/>
    <w:rsid w:val="0074513B"/>
    <w:rPr>
      <w:b/>
      <w:bCs/>
    </w:rPr>
  </w:style>
  <w:style w:type="character" w:customStyle="1" w:styleId="CommentSubjectChar">
    <w:name w:val="Comment Subject Char"/>
    <w:link w:val="CommentSubject"/>
    <w:uiPriority w:val="99"/>
    <w:semiHidden/>
    <w:rsid w:val="0074513B"/>
    <w:rPr>
      <w:b/>
      <w:bCs/>
    </w:rPr>
  </w:style>
  <w:style w:type="paragraph" w:styleId="BalloonText">
    <w:name w:val="Balloon Text"/>
    <w:basedOn w:val="Normal"/>
    <w:link w:val="BalloonTextChar"/>
    <w:uiPriority w:val="99"/>
    <w:semiHidden/>
    <w:unhideWhenUsed/>
    <w:rsid w:val="0074513B"/>
    <w:rPr>
      <w:rFonts w:ascii="Tahoma" w:hAnsi="Tahoma" w:cs="Tahoma"/>
      <w:sz w:val="16"/>
      <w:szCs w:val="16"/>
    </w:rPr>
  </w:style>
  <w:style w:type="character" w:customStyle="1" w:styleId="BalloonTextChar">
    <w:name w:val="Balloon Text Char"/>
    <w:link w:val="BalloonText"/>
    <w:uiPriority w:val="99"/>
    <w:semiHidden/>
    <w:rsid w:val="0074513B"/>
    <w:rPr>
      <w:rFonts w:ascii="Tahoma" w:hAnsi="Tahoma" w:cs="Tahoma"/>
      <w:sz w:val="16"/>
      <w:szCs w:val="16"/>
    </w:rPr>
  </w:style>
  <w:style w:type="paragraph" w:styleId="Revision">
    <w:name w:val="Revision"/>
    <w:hidden/>
    <w:uiPriority w:val="99"/>
    <w:semiHidden/>
    <w:rsid w:val="00584863"/>
    <w:rPr>
      <w:sz w:val="24"/>
      <w:szCs w:val="24"/>
      <w:bdr w:val="nil"/>
    </w:rPr>
  </w:style>
  <w:style w:type="paragraph" w:styleId="FootnoteText">
    <w:name w:val="footnote text"/>
    <w:basedOn w:val="Normal"/>
    <w:link w:val="FootnoteTextChar"/>
    <w:uiPriority w:val="99"/>
    <w:semiHidden/>
    <w:unhideWhenUsed/>
    <w:rsid w:val="00994BAF"/>
    <w:rPr>
      <w:sz w:val="20"/>
      <w:szCs w:val="20"/>
    </w:rPr>
  </w:style>
  <w:style w:type="character" w:customStyle="1" w:styleId="FootnoteTextChar">
    <w:name w:val="Footnote Text Char"/>
    <w:basedOn w:val="DefaultParagraphFont"/>
    <w:link w:val="FootnoteText"/>
    <w:uiPriority w:val="99"/>
    <w:semiHidden/>
    <w:rsid w:val="00994BAF"/>
  </w:style>
  <w:style w:type="character" w:styleId="FootnoteReference">
    <w:name w:val="footnote reference"/>
    <w:uiPriority w:val="99"/>
    <w:semiHidden/>
    <w:unhideWhenUsed/>
    <w:rsid w:val="00994BAF"/>
    <w:rPr>
      <w:vertAlign w:val="superscript"/>
    </w:rPr>
  </w:style>
  <w:style w:type="character" w:customStyle="1" w:styleId="Heading2Char">
    <w:name w:val="Heading 2 Char"/>
    <w:link w:val="Heading2"/>
    <w:uiPriority w:val="9"/>
    <w:rsid w:val="00B474E3"/>
    <w:rPr>
      <w:rFonts w:ascii="Helvetica" w:eastAsia="Times New Roman" w:hAnsi="Helvetica" w:cs="Times New Roman"/>
      <w:b/>
      <w:bCs/>
      <w:color w:val="499BC9"/>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1485"/>
    <w:pPr>
      <w:pBdr>
        <w:top w:val="nil"/>
        <w:left w:val="nil"/>
        <w:bottom w:val="nil"/>
        <w:right w:val="nil"/>
        <w:between w:val="nil"/>
        <w:bar w:val="nil"/>
      </w:pBdr>
    </w:pPr>
    <w:rPr>
      <w:sz w:val="24"/>
      <w:szCs w:val="24"/>
      <w:bdr w:val="nil"/>
    </w:rPr>
  </w:style>
  <w:style w:type="paragraph" w:styleId="Heading2">
    <w:name w:val="heading 2"/>
    <w:basedOn w:val="Normal"/>
    <w:next w:val="Normal"/>
    <w:link w:val="Heading2Char"/>
    <w:uiPriority w:val="9"/>
    <w:unhideWhenUsed/>
    <w:qFormat/>
    <w:rsid w:val="00B474E3"/>
    <w:pPr>
      <w:keepNext/>
      <w:keepLines/>
      <w:spacing w:before="200"/>
      <w:outlineLvl w:val="1"/>
    </w:pPr>
    <w:rPr>
      <w:rFonts w:ascii="Helvetica" w:eastAsia="Times New Roman" w:hAnsi="Helvetica"/>
      <w:b/>
      <w:bCs/>
      <w:color w:val="499BC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1485"/>
    <w:rPr>
      <w:u w:val="single"/>
    </w:rPr>
  </w:style>
  <w:style w:type="paragraph" w:customStyle="1" w:styleId="HeaderFooter">
    <w:name w:val="Header &amp; Footer"/>
    <w:rsid w:val="008D1485"/>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customStyle="1" w:styleId="BodyA">
    <w:name w:val="Body A"/>
    <w:rsid w:val="008D1485"/>
    <w:pPr>
      <w:pBdr>
        <w:top w:val="nil"/>
        <w:left w:val="nil"/>
        <w:bottom w:val="nil"/>
        <w:right w:val="nil"/>
        <w:between w:val="nil"/>
        <w:bar w:val="nil"/>
      </w:pBdr>
    </w:pPr>
    <w:rPr>
      <w:rFonts w:ascii="Helvetica" w:hAnsi="Arial Unicode MS" w:cs="Arial Unicode MS"/>
      <w:color w:val="000000"/>
      <w:sz w:val="22"/>
      <w:szCs w:val="22"/>
      <w:u w:color="000000"/>
      <w:bdr w:val="nil"/>
    </w:rPr>
  </w:style>
  <w:style w:type="paragraph" w:customStyle="1" w:styleId="Body">
    <w:name w:val="Body"/>
    <w:rsid w:val="008D1485"/>
    <w:pPr>
      <w:pBdr>
        <w:top w:val="nil"/>
        <w:left w:val="nil"/>
        <w:bottom w:val="nil"/>
        <w:right w:val="nil"/>
        <w:between w:val="nil"/>
        <w:bar w:val="nil"/>
      </w:pBdr>
    </w:pPr>
    <w:rPr>
      <w:rFonts w:eastAsia="Times New Roman"/>
      <w:color w:val="000000"/>
      <w:sz w:val="24"/>
      <w:szCs w:val="24"/>
      <w:u w:color="000000"/>
      <w:bdr w:val="nil"/>
    </w:rPr>
  </w:style>
  <w:style w:type="paragraph" w:customStyle="1" w:styleId="TableStyle2">
    <w:name w:val="Table Style 2"/>
    <w:rsid w:val="008D1485"/>
    <w:pPr>
      <w:pBdr>
        <w:top w:val="nil"/>
        <w:left w:val="nil"/>
        <w:bottom w:val="nil"/>
        <w:right w:val="nil"/>
        <w:between w:val="nil"/>
        <w:bar w:val="nil"/>
      </w:pBdr>
    </w:pPr>
    <w:rPr>
      <w:rFonts w:ascii="Helvetica" w:eastAsia="Helvetica" w:hAnsi="Helvetica" w:cs="Helvetica"/>
      <w:color w:val="000000"/>
      <w:bdr w:val="nil"/>
    </w:rPr>
  </w:style>
  <w:style w:type="paragraph" w:styleId="NoSpacing">
    <w:name w:val="No Spacing"/>
    <w:qFormat/>
    <w:rsid w:val="008D1485"/>
    <w:pPr>
      <w:pBdr>
        <w:top w:val="nil"/>
        <w:left w:val="nil"/>
        <w:bottom w:val="nil"/>
        <w:right w:val="nil"/>
        <w:between w:val="nil"/>
        <w:bar w:val="nil"/>
      </w:pBdr>
    </w:pPr>
    <w:rPr>
      <w:rFonts w:ascii="Helvetica" w:hAnsi="Arial Unicode MS" w:cs="Arial Unicode MS"/>
      <w:color w:val="000000"/>
      <w:sz w:val="22"/>
      <w:szCs w:val="22"/>
      <w:u w:color="000000"/>
      <w:bdr w:val="nil"/>
    </w:rPr>
  </w:style>
  <w:style w:type="numbering" w:customStyle="1" w:styleId="List0">
    <w:name w:val="List 0"/>
    <w:basedOn w:val="ImportedStyle1"/>
    <w:rsid w:val="008D1485"/>
    <w:pPr>
      <w:numPr>
        <w:numId w:val="5"/>
      </w:numPr>
    </w:pPr>
  </w:style>
  <w:style w:type="numbering" w:customStyle="1" w:styleId="ImportedStyle1">
    <w:name w:val="Imported Style 1"/>
    <w:rsid w:val="008D1485"/>
  </w:style>
  <w:style w:type="paragraph" w:styleId="ListParagraph">
    <w:name w:val="List Paragraph"/>
    <w:rsid w:val="008D1485"/>
    <w:pPr>
      <w:pBdr>
        <w:top w:val="nil"/>
        <w:left w:val="nil"/>
        <w:bottom w:val="nil"/>
        <w:right w:val="nil"/>
        <w:between w:val="nil"/>
        <w:bar w:val="nil"/>
      </w:pBdr>
      <w:ind w:left="720"/>
    </w:pPr>
    <w:rPr>
      <w:rFonts w:ascii="Calibri" w:eastAsia="Calibri" w:hAnsi="Calibri" w:cs="Calibri"/>
      <w:color w:val="000000"/>
      <w:u w:color="000000"/>
      <w:bdr w:val="nil"/>
    </w:rPr>
  </w:style>
  <w:style w:type="numbering" w:customStyle="1" w:styleId="List1">
    <w:name w:val="List 1"/>
    <w:basedOn w:val="ImportedStyle2"/>
    <w:rsid w:val="008D1485"/>
    <w:pPr>
      <w:numPr>
        <w:numId w:val="12"/>
      </w:numPr>
    </w:pPr>
  </w:style>
  <w:style w:type="numbering" w:customStyle="1" w:styleId="ImportedStyle2">
    <w:name w:val="Imported Style 2"/>
    <w:rsid w:val="008D1485"/>
  </w:style>
  <w:style w:type="numbering" w:customStyle="1" w:styleId="List21">
    <w:name w:val="List 21"/>
    <w:basedOn w:val="ImportedStyle3"/>
    <w:rsid w:val="008D1485"/>
    <w:pPr>
      <w:numPr>
        <w:numId w:val="13"/>
      </w:numPr>
    </w:pPr>
  </w:style>
  <w:style w:type="numbering" w:customStyle="1" w:styleId="ImportedStyle3">
    <w:name w:val="Imported Style 3"/>
    <w:rsid w:val="008D1485"/>
  </w:style>
  <w:style w:type="numbering" w:customStyle="1" w:styleId="List31">
    <w:name w:val="List 31"/>
    <w:basedOn w:val="ImportedStyle4"/>
    <w:rsid w:val="008D1485"/>
    <w:pPr>
      <w:numPr>
        <w:numId w:val="45"/>
      </w:numPr>
    </w:pPr>
  </w:style>
  <w:style w:type="numbering" w:customStyle="1" w:styleId="ImportedStyle4">
    <w:name w:val="Imported Style 4"/>
    <w:rsid w:val="008D1485"/>
  </w:style>
  <w:style w:type="numbering" w:customStyle="1" w:styleId="List41">
    <w:name w:val="List 41"/>
    <w:basedOn w:val="ImportedStyle4"/>
    <w:rsid w:val="008D1485"/>
    <w:pPr>
      <w:numPr>
        <w:numId w:val="49"/>
      </w:numPr>
    </w:pPr>
  </w:style>
  <w:style w:type="numbering" w:customStyle="1" w:styleId="List51">
    <w:name w:val="List 51"/>
    <w:basedOn w:val="ImportedStyle4"/>
    <w:rsid w:val="008D1485"/>
    <w:pPr>
      <w:numPr>
        <w:numId w:val="40"/>
      </w:numPr>
    </w:pPr>
  </w:style>
  <w:style w:type="numbering" w:customStyle="1" w:styleId="List6">
    <w:name w:val="List 6"/>
    <w:basedOn w:val="ImportedStyle4"/>
    <w:rsid w:val="008D1485"/>
    <w:pPr>
      <w:numPr>
        <w:numId w:val="44"/>
      </w:numPr>
    </w:pPr>
  </w:style>
  <w:style w:type="paragraph" w:styleId="Header">
    <w:name w:val="header"/>
    <w:basedOn w:val="Normal"/>
    <w:link w:val="HeaderChar"/>
    <w:uiPriority w:val="99"/>
    <w:unhideWhenUsed/>
    <w:rsid w:val="00AA4450"/>
    <w:pPr>
      <w:tabs>
        <w:tab w:val="center" w:pos="4680"/>
        <w:tab w:val="right" w:pos="9360"/>
      </w:tabs>
    </w:pPr>
  </w:style>
  <w:style w:type="character" w:customStyle="1" w:styleId="HeaderChar">
    <w:name w:val="Header Char"/>
    <w:link w:val="Header"/>
    <w:uiPriority w:val="99"/>
    <w:rsid w:val="00AA4450"/>
    <w:rPr>
      <w:sz w:val="24"/>
      <w:szCs w:val="24"/>
    </w:rPr>
  </w:style>
  <w:style w:type="paragraph" w:styleId="Footer">
    <w:name w:val="footer"/>
    <w:basedOn w:val="Normal"/>
    <w:link w:val="FooterChar"/>
    <w:uiPriority w:val="99"/>
    <w:unhideWhenUsed/>
    <w:rsid w:val="00AA4450"/>
    <w:pPr>
      <w:tabs>
        <w:tab w:val="center" w:pos="4680"/>
        <w:tab w:val="right" w:pos="9360"/>
      </w:tabs>
    </w:pPr>
  </w:style>
  <w:style w:type="character" w:customStyle="1" w:styleId="FooterChar">
    <w:name w:val="Footer Char"/>
    <w:link w:val="Footer"/>
    <w:uiPriority w:val="99"/>
    <w:rsid w:val="00AA4450"/>
    <w:rPr>
      <w:sz w:val="24"/>
      <w:szCs w:val="24"/>
    </w:rPr>
  </w:style>
  <w:style w:type="character" w:styleId="CommentReference">
    <w:name w:val="annotation reference"/>
    <w:uiPriority w:val="99"/>
    <w:semiHidden/>
    <w:unhideWhenUsed/>
    <w:rsid w:val="0074513B"/>
    <w:rPr>
      <w:sz w:val="16"/>
      <w:szCs w:val="16"/>
    </w:rPr>
  </w:style>
  <w:style w:type="paragraph" w:styleId="CommentText">
    <w:name w:val="annotation text"/>
    <w:basedOn w:val="Normal"/>
    <w:link w:val="CommentTextChar"/>
    <w:uiPriority w:val="99"/>
    <w:semiHidden/>
    <w:unhideWhenUsed/>
    <w:rsid w:val="0074513B"/>
    <w:rPr>
      <w:sz w:val="20"/>
      <w:szCs w:val="20"/>
    </w:rPr>
  </w:style>
  <w:style w:type="character" w:customStyle="1" w:styleId="CommentTextChar">
    <w:name w:val="Comment Text Char"/>
    <w:basedOn w:val="DefaultParagraphFont"/>
    <w:link w:val="CommentText"/>
    <w:uiPriority w:val="99"/>
    <w:semiHidden/>
    <w:rsid w:val="0074513B"/>
  </w:style>
  <w:style w:type="paragraph" w:styleId="CommentSubject">
    <w:name w:val="annotation subject"/>
    <w:basedOn w:val="CommentText"/>
    <w:next w:val="CommentText"/>
    <w:link w:val="CommentSubjectChar"/>
    <w:uiPriority w:val="99"/>
    <w:semiHidden/>
    <w:unhideWhenUsed/>
    <w:rsid w:val="0074513B"/>
    <w:rPr>
      <w:b/>
      <w:bCs/>
    </w:rPr>
  </w:style>
  <w:style w:type="character" w:customStyle="1" w:styleId="CommentSubjectChar">
    <w:name w:val="Comment Subject Char"/>
    <w:link w:val="CommentSubject"/>
    <w:uiPriority w:val="99"/>
    <w:semiHidden/>
    <w:rsid w:val="0074513B"/>
    <w:rPr>
      <w:b/>
      <w:bCs/>
    </w:rPr>
  </w:style>
  <w:style w:type="paragraph" w:styleId="BalloonText">
    <w:name w:val="Balloon Text"/>
    <w:basedOn w:val="Normal"/>
    <w:link w:val="BalloonTextChar"/>
    <w:uiPriority w:val="99"/>
    <w:semiHidden/>
    <w:unhideWhenUsed/>
    <w:rsid w:val="0074513B"/>
    <w:rPr>
      <w:rFonts w:ascii="Tahoma" w:hAnsi="Tahoma" w:cs="Tahoma"/>
      <w:sz w:val="16"/>
      <w:szCs w:val="16"/>
    </w:rPr>
  </w:style>
  <w:style w:type="character" w:customStyle="1" w:styleId="BalloonTextChar">
    <w:name w:val="Balloon Text Char"/>
    <w:link w:val="BalloonText"/>
    <w:uiPriority w:val="99"/>
    <w:semiHidden/>
    <w:rsid w:val="0074513B"/>
    <w:rPr>
      <w:rFonts w:ascii="Tahoma" w:hAnsi="Tahoma" w:cs="Tahoma"/>
      <w:sz w:val="16"/>
      <w:szCs w:val="16"/>
    </w:rPr>
  </w:style>
  <w:style w:type="paragraph" w:styleId="Revision">
    <w:name w:val="Revision"/>
    <w:hidden/>
    <w:uiPriority w:val="99"/>
    <w:semiHidden/>
    <w:rsid w:val="00584863"/>
    <w:rPr>
      <w:sz w:val="24"/>
      <w:szCs w:val="24"/>
      <w:bdr w:val="nil"/>
    </w:rPr>
  </w:style>
  <w:style w:type="paragraph" w:styleId="FootnoteText">
    <w:name w:val="footnote text"/>
    <w:basedOn w:val="Normal"/>
    <w:link w:val="FootnoteTextChar"/>
    <w:uiPriority w:val="99"/>
    <w:semiHidden/>
    <w:unhideWhenUsed/>
    <w:rsid w:val="00994BAF"/>
    <w:rPr>
      <w:sz w:val="20"/>
      <w:szCs w:val="20"/>
    </w:rPr>
  </w:style>
  <w:style w:type="character" w:customStyle="1" w:styleId="FootnoteTextChar">
    <w:name w:val="Footnote Text Char"/>
    <w:basedOn w:val="DefaultParagraphFont"/>
    <w:link w:val="FootnoteText"/>
    <w:uiPriority w:val="99"/>
    <w:semiHidden/>
    <w:rsid w:val="00994BAF"/>
  </w:style>
  <w:style w:type="character" w:styleId="FootnoteReference">
    <w:name w:val="footnote reference"/>
    <w:uiPriority w:val="99"/>
    <w:semiHidden/>
    <w:unhideWhenUsed/>
    <w:rsid w:val="00994BAF"/>
    <w:rPr>
      <w:vertAlign w:val="superscript"/>
    </w:rPr>
  </w:style>
  <w:style w:type="character" w:customStyle="1" w:styleId="Heading2Char">
    <w:name w:val="Heading 2 Char"/>
    <w:link w:val="Heading2"/>
    <w:uiPriority w:val="9"/>
    <w:rsid w:val="00B474E3"/>
    <w:rPr>
      <w:rFonts w:ascii="Helvetica" w:eastAsia="Times New Roman" w:hAnsi="Helvetica" w:cs="Times New Roman"/>
      <w:b/>
      <w:bCs/>
      <w:color w:val="499BC9"/>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966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0630-1EF7-49F8-9155-98D10BCC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5826</Words>
  <Characters>33213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38962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Brad Schwarz</cp:lastModifiedBy>
  <cp:revision>2</cp:revision>
  <cp:lastPrinted>2015-05-26T20:38:00Z</cp:lastPrinted>
  <dcterms:created xsi:type="dcterms:W3CDTF">2015-06-29T21:44:00Z</dcterms:created>
  <dcterms:modified xsi:type="dcterms:W3CDTF">2015-06-29T21:44:00Z</dcterms:modified>
</cp:coreProperties>
</file>