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997" w:rsidRDefault="00207997" w:rsidP="00507592">
      <w:bookmarkStart w:id="0" w:name="_GoBack"/>
      <w:bookmarkEnd w:id="0"/>
    </w:p>
    <w:p w:rsidR="00207997" w:rsidRDefault="00207997" w:rsidP="00507592"/>
    <w:p w:rsidR="007E0EC9" w:rsidRDefault="007E0EC9" w:rsidP="00507592"/>
    <w:p w:rsidR="009B2DA3" w:rsidRDefault="009B2DA3" w:rsidP="009B2DA3"/>
    <w:p w:rsidR="009B2DA3" w:rsidRDefault="009B2DA3" w:rsidP="009B2DA3"/>
    <w:p w:rsidR="009B2DA3" w:rsidRDefault="009B2DA3" w:rsidP="009B2DA3"/>
    <w:p w:rsidR="009B2DA3" w:rsidRPr="00C0548B" w:rsidRDefault="00D324C5" w:rsidP="009B2DA3">
      <w:pPr>
        <w:jc w:val="center"/>
        <w:rPr>
          <w:rFonts w:ascii="Arial" w:eastAsiaTheme="minorHAnsi" w:hAnsi="Arial"/>
          <w:b/>
          <w:noProof/>
          <w:sz w:val="56"/>
          <w:szCs w:val="56"/>
        </w:rPr>
      </w:pPr>
      <w:r>
        <w:rPr>
          <w:rFonts w:ascii="Arial" w:eastAsiaTheme="minorHAnsi" w:hAnsi="Arial"/>
          <w:b/>
          <w:noProof/>
          <w:sz w:val="56"/>
          <w:szCs w:val="56"/>
        </w:rPr>
        <mc:AlternateContent>
          <mc:Choice Requires="wpg">
            <w:drawing>
              <wp:anchor distT="0" distB="0" distL="114300" distR="114300" simplePos="0" relativeHeight="251663360" behindDoc="1" locked="0" layoutInCell="1" allowOverlap="1">
                <wp:simplePos x="0" y="0"/>
                <wp:positionH relativeFrom="page">
                  <wp:posOffset>679450</wp:posOffset>
                </wp:positionH>
                <wp:positionV relativeFrom="paragraph">
                  <wp:posOffset>-323215</wp:posOffset>
                </wp:positionV>
                <wp:extent cx="6449695" cy="1270"/>
                <wp:effectExtent l="0" t="0" r="27305" b="1778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9695" cy="1270"/>
                          <a:chOff x="1070" y="-509"/>
                          <a:chExt cx="10157" cy="2"/>
                        </a:xfrm>
                      </wpg:grpSpPr>
                      <wps:wsp>
                        <wps:cNvPr id="53" name="Freeform 6"/>
                        <wps:cNvSpPr>
                          <a:spLocks/>
                        </wps:cNvSpPr>
                        <wps:spPr bwMode="auto">
                          <a:xfrm>
                            <a:off x="1070" y="-509"/>
                            <a:ext cx="10157" cy="2"/>
                          </a:xfrm>
                          <a:custGeom>
                            <a:avLst/>
                            <a:gdLst>
                              <a:gd name="T0" fmla="+- 0 1070 1070"/>
                              <a:gd name="T1" fmla="*/ T0 w 10157"/>
                              <a:gd name="T2" fmla="+- 0 11227 1070"/>
                              <a:gd name="T3" fmla="*/ T2 w 10157"/>
                            </a:gdLst>
                            <a:ahLst/>
                            <a:cxnLst>
                              <a:cxn ang="0">
                                <a:pos x="T1" y="0"/>
                              </a:cxn>
                              <a:cxn ang="0">
                                <a:pos x="T3" y="0"/>
                              </a:cxn>
                            </a:cxnLst>
                            <a:rect l="0" t="0" r="r" b="b"/>
                            <a:pathLst>
                              <a:path w="10157">
                                <a:moveTo>
                                  <a:pt x="0" y="0"/>
                                </a:moveTo>
                                <a:lnTo>
                                  <a:pt x="101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2BEFA1" id="Group 52" o:spid="_x0000_s1026" style="position:absolute;margin-left:53.5pt;margin-top:-25.45pt;width:507.85pt;height:.1pt;z-index:-251653120;mso-position-horizontal-relative:page" coordorigin="1070,-509" coordsize="10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">
                <v:shape id="Freeform 6" o:spid="_x0000_s1027" style="position:absolute;left:1070;top:-509;width:10157;height:2;visibility:visible;mso-wrap-style:square;v-text-anchor:top" coordsize="10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TNcMA&#10;AADbAAAADwAAAGRycy9kb3ducmV2LnhtbESPQWvCQBSE7wX/w/IEb3WjYpHUVYqg9iQ0RujxkX3N&#10;hmTfxuwa03/vCoUeh5n5hllvB9uInjpfOVYwmyYgiAunKy4V5Of96wqED8gaG8ek4Jc8bDejlzWm&#10;2t35i/oslCJC2KeowITQplL6wpBFP3UtcfR+XGcxRNmVUnd4j3DbyHmSvEmLFccFgy3tDBV1drMK&#10;MpPn38tT706X4XpY0bme3461UpPx8PEOItAQ/sN/7U+tYLmA55f4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wTNcMAAADbAAAADwAAAAAAAAAAAAAAAACYAgAAZHJzL2Rv&#10;d25yZXYueG1sUEsFBgAAAAAEAAQA9QAAAIgDAAAAAA==&#10;" path="m,l10157,e" filled="f" strokeweight=".58pt">
                  <v:path arrowok="t" o:connecttype="custom" o:connectlocs="0,0;10157,0" o:connectangles="0,0"/>
                </v:shape>
                <w10:wrap anchorx="page"/>
              </v:group>
            </w:pict>
          </mc:Fallback>
        </mc:AlternateContent>
      </w:r>
      <w:r w:rsidR="00830E2C" w:rsidRPr="00C0548B">
        <w:rPr>
          <w:rFonts w:ascii="Arial" w:eastAsiaTheme="minorHAnsi" w:hAnsi="Arial"/>
          <w:b/>
          <w:noProof/>
          <w:sz w:val="56"/>
          <w:szCs w:val="56"/>
        </w:rPr>
        <w:t>THIRD PARTY ACCESS</w:t>
      </w:r>
    </w:p>
    <w:p w:rsidR="00830E2C" w:rsidRPr="00C0548B" w:rsidRDefault="00830E2C" w:rsidP="009B2DA3">
      <w:pPr>
        <w:jc w:val="center"/>
        <w:rPr>
          <w:rFonts w:ascii="Arial" w:eastAsiaTheme="minorHAnsi" w:hAnsi="Arial"/>
          <w:b/>
          <w:noProof/>
          <w:sz w:val="56"/>
          <w:szCs w:val="56"/>
        </w:rPr>
      </w:pPr>
      <w:r w:rsidRPr="00C0548B">
        <w:rPr>
          <w:rFonts w:ascii="Arial" w:eastAsiaTheme="minorHAnsi" w:hAnsi="Arial"/>
          <w:b/>
          <w:noProof/>
          <w:sz w:val="56"/>
          <w:szCs w:val="56"/>
        </w:rPr>
        <w:t xml:space="preserve">TO </w:t>
      </w:r>
    </w:p>
    <w:p w:rsidR="00C0548B" w:rsidRDefault="00AA6DD5" w:rsidP="00C0548B">
      <w:pPr>
        <w:jc w:val="center"/>
        <w:rPr>
          <w:rFonts w:eastAsia="Arial"/>
          <w:sz w:val="32"/>
          <w:szCs w:val="32"/>
        </w:rPr>
      </w:pPr>
      <w:r>
        <w:rPr>
          <w:rFonts w:eastAsia="Arial"/>
          <w:noProof/>
          <w:sz w:val="32"/>
          <w:szCs w:val="32"/>
        </w:rPr>
        <w:drawing>
          <wp:inline distT="0" distB="0" distL="0" distR="0" wp14:anchorId="4006478B">
            <wp:extent cx="2920365" cy="1207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0365" cy="1207135"/>
                    </a:xfrm>
                    <a:prstGeom prst="rect">
                      <a:avLst/>
                    </a:prstGeom>
                    <a:noFill/>
                  </pic:spPr>
                </pic:pic>
              </a:graphicData>
            </a:graphic>
          </wp:inline>
        </w:drawing>
      </w:r>
    </w:p>
    <w:p w:rsidR="00D5090B" w:rsidRDefault="00651828" w:rsidP="009B2DA3">
      <w:pPr>
        <w:jc w:val="center"/>
        <w:rPr>
          <w:rFonts w:eastAsia="Arial"/>
          <w:sz w:val="32"/>
          <w:szCs w:val="32"/>
        </w:rPr>
      </w:pPr>
      <w:r>
        <w:rPr>
          <w:rFonts w:eastAsia="Arial"/>
          <w:sz w:val="32"/>
          <w:szCs w:val="32"/>
        </w:rPr>
        <w:t>Version 1.0</w:t>
      </w:r>
    </w:p>
    <w:p w:rsidR="009B2DA3" w:rsidRPr="00D5090B" w:rsidRDefault="00526A4C" w:rsidP="00D5090B">
      <w:pPr>
        <w:jc w:val="center"/>
        <w:rPr>
          <w:rFonts w:eastAsia="Arial"/>
          <w:sz w:val="32"/>
          <w:szCs w:val="32"/>
        </w:rPr>
      </w:pPr>
      <w:r>
        <w:rPr>
          <w:rFonts w:eastAsia="Arial"/>
          <w:sz w:val="32"/>
          <w:szCs w:val="32"/>
        </w:rPr>
        <w:t>November</w:t>
      </w:r>
      <w:r w:rsidR="009A0DDF" w:rsidRPr="009A0DDF">
        <w:rPr>
          <w:rFonts w:eastAsia="Arial"/>
          <w:sz w:val="32"/>
          <w:szCs w:val="32"/>
        </w:rPr>
        <w:t>, 201</w:t>
      </w:r>
      <w:r w:rsidR="00BD0700">
        <w:rPr>
          <w:rFonts w:eastAsia="Arial"/>
          <w:sz w:val="32"/>
          <w:szCs w:val="32"/>
        </w:rPr>
        <w:t>4</w:t>
      </w:r>
    </w:p>
    <w:p w:rsidR="00207997" w:rsidRPr="00072993" w:rsidRDefault="00D324C5" w:rsidP="00507592">
      <w:pPr>
        <w:rPr>
          <w:rFonts w:eastAsia="Cambria"/>
        </w:rPr>
        <w:sectPr w:rsidR="00207997" w:rsidRPr="00072993" w:rsidSect="000817E1">
          <w:headerReference w:type="default" r:id="rId10"/>
          <w:footerReference w:type="default" r:id="rId11"/>
          <w:headerReference w:type="first" r:id="rId12"/>
          <w:footerReference w:type="first" r:id="rId13"/>
          <w:type w:val="continuous"/>
          <w:pgSz w:w="12240" w:h="15840"/>
          <w:pgMar w:top="1000" w:right="880" w:bottom="700" w:left="920" w:header="749" w:footer="511" w:gutter="0"/>
          <w:pgNumType w:start="1"/>
          <w:cols w:space="720"/>
          <w:titlePg/>
          <w:docGrid w:linePitch="272"/>
        </w:sectPr>
      </w:pPr>
      <w:r>
        <w:rPr>
          <w:rFonts w:eastAsiaTheme="minorHAnsi"/>
          <w:noProof/>
        </w:rPr>
        <mc:AlternateContent>
          <mc:Choice Requires="wpg">
            <w:drawing>
              <wp:anchor distT="0" distB="0" distL="114300" distR="114300" simplePos="0" relativeHeight="251658240" behindDoc="1" locked="0" layoutInCell="1" allowOverlap="1" wp14:anchorId="66797AAF" wp14:editId="5D64857B">
                <wp:simplePos x="0" y="0"/>
                <wp:positionH relativeFrom="page">
                  <wp:posOffset>679450</wp:posOffset>
                </wp:positionH>
                <wp:positionV relativeFrom="paragraph">
                  <wp:posOffset>632460</wp:posOffset>
                </wp:positionV>
                <wp:extent cx="6449695" cy="1270"/>
                <wp:effectExtent l="0" t="0" r="27305" b="1778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9695" cy="1270"/>
                          <a:chOff x="1070" y="996"/>
                          <a:chExt cx="10157" cy="2"/>
                        </a:xfrm>
                      </wpg:grpSpPr>
                      <wps:wsp>
                        <wps:cNvPr id="40" name="Freeform 12"/>
                        <wps:cNvSpPr>
                          <a:spLocks/>
                        </wps:cNvSpPr>
                        <wps:spPr bwMode="auto">
                          <a:xfrm>
                            <a:off x="1070" y="996"/>
                            <a:ext cx="10157" cy="2"/>
                          </a:xfrm>
                          <a:custGeom>
                            <a:avLst/>
                            <a:gdLst>
                              <a:gd name="T0" fmla="+- 0 1070 1070"/>
                              <a:gd name="T1" fmla="*/ T0 w 10157"/>
                              <a:gd name="T2" fmla="+- 0 11227 1070"/>
                              <a:gd name="T3" fmla="*/ T2 w 10157"/>
                            </a:gdLst>
                            <a:ahLst/>
                            <a:cxnLst>
                              <a:cxn ang="0">
                                <a:pos x="T1" y="0"/>
                              </a:cxn>
                              <a:cxn ang="0">
                                <a:pos x="T3" y="0"/>
                              </a:cxn>
                            </a:cxnLst>
                            <a:rect l="0" t="0" r="r" b="b"/>
                            <a:pathLst>
                              <a:path w="10157">
                                <a:moveTo>
                                  <a:pt x="0" y="0"/>
                                </a:moveTo>
                                <a:lnTo>
                                  <a:pt x="101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D307B4" id="Group 39" o:spid="_x0000_s1026" style="position:absolute;margin-left:53.5pt;margin-top:49.8pt;width:507.85pt;height:.1pt;z-index:-251658240;mso-position-horizontal-relative:page" coordorigin="1070,996" coordsize="10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">
                <v:shape id="Freeform 12" o:spid="_x0000_s1027" style="position:absolute;left:1070;top:996;width:10157;height:2;visibility:visible;mso-wrap-style:square;v-text-anchor:top" coordsize="10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bn8AA&#10;AADbAAAADwAAAGRycy9kb3ducmV2LnhtbERPy4rCMBTdD/gP4QqzG1NlFKlGEWEeK8FaweWluTal&#10;zU2nibXz92YhuDyc93o72Eb01PnKsYLpJAFBXDhdcakgP319LEH4gKyxcUwK/snDdjN6W2Oq3Z2P&#10;1GehFDGEfYoKTAhtKqUvDFn0E9cSR+7qOoshwq6UusN7DLeNnCXJQlqsODYYbGlvqKizm1WQmTy/&#10;zA+9O5yHv+8lnerZ7adW6n087FYgAg3hJX66f7WCz7g+fok/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cbn8AAAADbAAAADwAAAAAAAAAAAAAAAACYAgAAZHJzL2Rvd25y&#10;ZXYueG1sUEsFBgAAAAAEAAQA9QAAAIUDAAAAAA==&#10;" path="m,l10157,e" filled="f" strokeweight=".58pt">
                  <v:path arrowok="t" o:connecttype="custom" o:connectlocs="0,0;10157,0" o:connectangles="0,0"/>
                </v:shape>
                <w10:wrap anchorx="page"/>
              </v:group>
            </w:pict>
          </mc:Fallback>
        </mc:AlternateContent>
      </w:r>
    </w:p>
    <w:p w:rsidR="00EC75A7" w:rsidRDefault="00EC75A7">
      <w:pPr>
        <w:spacing w:before="0" w:after="0" w:line="240" w:lineRule="auto"/>
        <w:rPr>
          <w:b/>
          <w:bCs/>
          <w:kern w:val="32"/>
          <w:sz w:val="36"/>
          <w:szCs w:val="36"/>
        </w:rPr>
      </w:pPr>
    </w:p>
    <w:p w:rsidR="005C3BCB" w:rsidRPr="00036736" w:rsidRDefault="005C3BCB" w:rsidP="005C3BCB">
      <w:pPr>
        <w:spacing w:before="0" w:after="0" w:line="240" w:lineRule="auto"/>
        <w:jc w:val="center"/>
        <w:rPr>
          <w:b/>
          <w:sz w:val="28"/>
          <w:szCs w:val="28"/>
        </w:rPr>
      </w:pPr>
      <w:r w:rsidRPr="00036736">
        <w:rPr>
          <w:b/>
          <w:sz w:val="28"/>
          <w:szCs w:val="28"/>
        </w:rPr>
        <w:t>ACKNOWLEDGEMENTS</w:t>
      </w:r>
    </w:p>
    <w:p w:rsidR="005C3BCB" w:rsidRDefault="005C3BCB" w:rsidP="005C3BCB">
      <w:pPr>
        <w:spacing w:before="0" w:after="0" w:line="240" w:lineRule="auto"/>
        <w:rPr>
          <w:b/>
          <w:szCs w:val="24"/>
        </w:rPr>
      </w:pPr>
    </w:p>
    <w:p w:rsidR="005C3BCB" w:rsidRPr="00036736" w:rsidRDefault="005C3BCB" w:rsidP="005C3BCB">
      <w:pPr>
        <w:spacing w:before="0" w:after="0" w:line="240" w:lineRule="auto"/>
        <w:rPr>
          <w:rFonts w:cs="Times New Roman"/>
          <w:szCs w:val="24"/>
        </w:rPr>
      </w:pPr>
      <w:r w:rsidRPr="00036736">
        <w:rPr>
          <w:rFonts w:cs="Times New Roman"/>
          <w:szCs w:val="24"/>
        </w:rPr>
        <w:t xml:space="preserve">This document was produced by the combined efforts of the following companies and individuals. </w:t>
      </w:r>
    </w:p>
    <w:p w:rsidR="005C3BCB" w:rsidRPr="00036736" w:rsidRDefault="005C3BCB" w:rsidP="005C3BCB">
      <w:pPr>
        <w:spacing w:before="0" w:after="0" w:line="240" w:lineRule="auto"/>
        <w:rPr>
          <w:rFonts w:cs="Times New Roman"/>
          <w:szCs w:val="24"/>
        </w:rPr>
      </w:pPr>
    </w:p>
    <w:p w:rsidR="005C3BCB" w:rsidRPr="00036736" w:rsidRDefault="005C3BCB" w:rsidP="005C3BCB">
      <w:pPr>
        <w:spacing w:before="0" w:after="60" w:line="240" w:lineRule="auto"/>
        <w:rPr>
          <w:rFonts w:cs="Times New Roman"/>
          <w:szCs w:val="24"/>
        </w:rPr>
      </w:pPr>
      <w:r w:rsidRPr="00036736">
        <w:rPr>
          <w:rFonts w:cs="Times New Roman"/>
          <w:szCs w:val="24"/>
        </w:rPr>
        <w:t>Funded by:</w:t>
      </w:r>
      <w:r w:rsidRPr="00036736">
        <w:rPr>
          <w:rFonts w:cs="Times New Roman"/>
          <w:szCs w:val="24"/>
        </w:rPr>
        <w:tab/>
        <w:t xml:space="preserve"> AEP Texas Central Company and AEP Texas North Company</w:t>
      </w:r>
    </w:p>
    <w:p w:rsidR="005C3BCB" w:rsidRPr="00036736" w:rsidRDefault="005C3BCB" w:rsidP="005C3BCB">
      <w:pPr>
        <w:spacing w:before="0" w:after="60" w:line="240" w:lineRule="auto"/>
        <w:ind w:left="1440"/>
        <w:rPr>
          <w:rFonts w:cs="Times New Roman"/>
          <w:szCs w:val="24"/>
        </w:rPr>
      </w:pPr>
      <w:r w:rsidRPr="00036736">
        <w:rPr>
          <w:rFonts w:cs="Times New Roman"/>
          <w:szCs w:val="24"/>
        </w:rPr>
        <w:t xml:space="preserve"> CenterPoint Energy Houston Electric, LLC</w:t>
      </w:r>
    </w:p>
    <w:p w:rsidR="005C3BCB" w:rsidRPr="00036736" w:rsidRDefault="005C3BCB" w:rsidP="005C3BCB">
      <w:pPr>
        <w:spacing w:before="0" w:after="60" w:line="240" w:lineRule="auto"/>
        <w:ind w:left="1440"/>
        <w:rPr>
          <w:rFonts w:cs="Times New Roman"/>
          <w:szCs w:val="24"/>
        </w:rPr>
      </w:pPr>
      <w:r w:rsidRPr="00036736">
        <w:rPr>
          <w:rFonts w:cs="Times New Roman"/>
          <w:szCs w:val="24"/>
        </w:rPr>
        <w:t xml:space="preserve"> Oncor Electric Delivery Company LLC</w:t>
      </w:r>
    </w:p>
    <w:p w:rsidR="005C3BCB" w:rsidRPr="00036736" w:rsidRDefault="005C3BCB" w:rsidP="005C3BCB">
      <w:pPr>
        <w:spacing w:before="0" w:after="60" w:line="240" w:lineRule="auto"/>
        <w:ind w:left="1440"/>
        <w:rPr>
          <w:rFonts w:cs="Times New Roman"/>
          <w:szCs w:val="24"/>
        </w:rPr>
      </w:pPr>
      <w:r w:rsidRPr="00036736">
        <w:rPr>
          <w:rFonts w:cs="Times New Roman"/>
          <w:szCs w:val="24"/>
        </w:rPr>
        <w:t xml:space="preserve"> Texas-New Mexico Power Company</w:t>
      </w:r>
    </w:p>
    <w:p w:rsidR="005C3BCB" w:rsidRPr="00036736" w:rsidRDefault="005C3BCB" w:rsidP="005C3BCB">
      <w:pPr>
        <w:spacing w:before="0" w:after="0" w:line="240" w:lineRule="auto"/>
        <w:rPr>
          <w:rFonts w:cs="Times New Roman"/>
          <w:szCs w:val="24"/>
        </w:rPr>
      </w:pPr>
    </w:p>
    <w:p w:rsidR="005C3BCB" w:rsidRPr="00036736" w:rsidRDefault="005C3BCB" w:rsidP="005C3BCB">
      <w:pPr>
        <w:spacing w:before="0" w:after="60" w:line="240" w:lineRule="auto"/>
        <w:rPr>
          <w:rFonts w:cs="Times New Roman"/>
          <w:szCs w:val="24"/>
        </w:rPr>
      </w:pPr>
      <w:r w:rsidRPr="00036736">
        <w:rPr>
          <w:rFonts w:cs="Times New Roman"/>
          <w:szCs w:val="24"/>
        </w:rPr>
        <w:t>Drafted by:</w:t>
      </w:r>
      <w:r w:rsidRPr="00036736">
        <w:rPr>
          <w:rFonts w:cs="Times New Roman"/>
          <w:szCs w:val="24"/>
        </w:rPr>
        <w:tab/>
        <w:t>Mary Zientara, Guernsey</w:t>
      </w:r>
    </w:p>
    <w:p w:rsidR="005C3BCB" w:rsidRPr="00036736" w:rsidRDefault="005C3BCB" w:rsidP="005C3BCB">
      <w:pPr>
        <w:spacing w:before="0" w:after="60" w:line="240" w:lineRule="auto"/>
        <w:rPr>
          <w:rFonts w:cs="Times New Roman"/>
          <w:szCs w:val="24"/>
        </w:rPr>
      </w:pPr>
      <w:r w:rsidRPr="00036736">
        <w:rPr>
          <w:rFonts w:cs="Times New Roman"/>
          <w:szCs w:val="24"/>
        </w:rPr>
        <w:t xml:space="preserve"> </w:t>
      </w:r>
      <w:r w:rsidRPr="00036736">
        <w:rPr>
          <w:rFonts w:cs="Times New Roman"/>
          <w:szCs w:val="24"/>
        </w:rPr>
        <w:tab/>
      </w:r>
      <w:r w:rsidRPr="00036736">
        <w:rPr>
          <w:rFonts w:cs="Times New Roman"/>
          <w:szCs w:val="24"/>
        </w:rPr>
        <w:tab/>
        <w:t>Ben Rankin, EnerNex</w:t>
      </w:r>
    </w:p>
    <w:p w:rsidR="005C3BCB" w:rsidRPr="00036736" w:rsidRDefault="005C3BCB" w:rsidP="005C3BCB">
      <w:pPr>
        <w:spacing w:before="0" w:after="60" w:line="240" w:lineRule="auto"/>
        <w:rPr>
          <w:rFonts w:cs="Times New Roman"/>
          <w:szCs w:val="24"/>
        </w:rPr>
      </w:pPr>
      <w:r w:rsidRPr="00036736">
        <w:rPr>
          <w:rFonts w:cs="Times New Roman"/>
          <w:szCs w:val="24"/>
        </w:rPr>
        <w:t xml:space="preserve"> </w:t>
      </w:r>
      <w:r w:rsidRPr="00036736">
        <w:rPr>
          <w:rFonts w:cs="Times New Roman"/>
          <w:szCs w:val="24"/>
        </w:rPr>
        <w:tab/>
      </w:r>
      <w:r w:rsidRPr="00036736">
        <w:rPr>
          <w:rFonts w:cs="Times New Roman"/>
          <w:szCs w:val="24"/>
        </w:rPr>
        <w:tab/>
        <w:t>Rick Wornat, EnerNex</w:t>
      </w:r>
    </w:p>
    <w:p w:rsidR="005C3BCB" w:rsidRPr="00036736" w:rsidRDefault="005C3BCB" w:rsidP="005C3BCB">
      <w:pPr>
        <w:spacing w:before="0" w:after="0" w:line="240" w:lineRule="auto"/>
        <w:rPr>
          <w:rFonts w:cs="Times New Roman"/>
          <w:szCs w:val="24"/>
        </w:rPr>
      </w:pPr>
      <w:r w:rsidRPr="00036736">
        <w:rPr>
          <w:rFonts w:cs="Times New Roman"/>
          <w:szCs w:val="24"/>
        </w:rPr>
        <w:tab/>
      </w:r>
    </w:p>
    <w:p w:rsidR="005C3BCB" w:rsidRPr="00036736" w:rsidRDefault="005C3BCB" w:rsidP="005C3BCB">
      <w:pPr>
        <w:spacing w:before="0" w:after="60" w:line="240" w:lineRule="auto"/>
        <w:rPr>
          <w:rFonts w:cs="Times New Roman"/>
          <w:szCs w:val="24"/>
        </w:rPr>
      </w:pPr>
      <w:r w:rsidRPr="00036736">
        <w:rPr>
          <w:rFonts w:cs="Times New Roman"/>
          <w:szCs w:val="24"/>
        </w:rPr>
        <w:t>Reviewed by:</w:t>
      </w:r>
      <w:r w:rsidRPr="00036736">
        <w:rPr>
          <w:rFonts w:cs="Times New Roman"/>
          <w:szCs w:val="24"/>
        </w:rPr>
        <w:tab/>
        <w:t>Andrea O’Flaherty-Brown, Smart Meter Texas PM</w:t>
      </w:r>
    </w:p>
    <w:p w:rsidR="005C3BCB" w:rsidRPr="00036736" w:rsidRDefault="005C3BCB" w:rsidP="005C3BCB">
      <w:pPr>
        <w:spacing w:before="0" w:after="60" w:line="240" w:lineRule="auto"/>
        <w:rPr>
          <w:rFonts w:cs="Times New Roman"/>
          <w:szCs w:val="24"/>
        </w:rPr>
      </w:pPr>
      <w:r w:rsidRPr="00036736">
        <w:rPr>
          <w:rFonts w:cs="Times New Roman"/>
          <w:szCs w:val="24"/>
        </w:rPr>
        <w:tab/>
      </w:r>
      <w:r w:rsidRPr="00036736">
        <w:rPr>
          <w:rFonts w:cs="Times New Roman"/>
          <w:szCs w:val="24"/>
        </w:rPr>
        <w:tab/>
        <w:t>Jeff Stracener, AEP Texas Central Company and AEP Texas North Company</w:t>
      </w:r>
    </w:p>
    <w:p w:rsidR="005C3BCB" w:rsidRPr="00036736" w:rsidRDefault="005C3BCB" w:rsidP="005C3BCB">
      <w:pPr>
        <w:spacing w:before="0" w:after="60" w:line="240" w:lineRule="auto"/>
        <w:rPr>
          <w:rFonts w:cs="Times New Roman"/>
          <w:szCs w:val="24"/>
        </w:rPr>
      </w:pPr>
      <w:r w:rsidRPr="00036736">
        <w:rPr>
          <w:rFonts w:cs="Times New Roman"/>
          <w:szCs w:val="24"/>
        </w:rPr>
        <w:tab/>
      </w:r>
      <w:r w:rsidRPr="00036736">
        <w:rPr>
          <w:rFonts w:cs="Times New Roman"/>
          <w:szCs w:val="24"/>
        </w:rPr>
        <w:tab/>
        <w:t>Denny Daugherty, AEP Texas Central Company and AEP Texas North Company</w:t>
      </w:r>
    </w:p>
    <w:p w:rsidR="005C3BCB" w:rsidRPr="00036736" w:rsidRDefault="005C3BCB" w:rsidP="005C3BCB">
      <w:pPr>
        <w:spacing w:before="0" w:after="60" w:line="240" w:lineRule="auto"/>
        <w:rPr>
          <w:rFonts w:cs="Times New Roman"/>
          <w:szCs w:val="24"/>
        </w:rPr>
      </w:pPr>
      <w:r w:rsidRPr="00036736">
        <w:rPr>
          <w:rFonts w:cs="Times New Roman"/>
          <w:szCs w:val="24"/>
        </w:rPr>
        <w:tab/>
      </w:r>
      <w:r w:rsidRPr="00036736">
        <w:rPr>
          <w:rFonts w:cs="Times New Roman"/>
          <w:szCs w:val="24"/>
        </w:rPr>
        <w:tab/>
        <w:t>Robert Frazier, CenterPoint Energy Houston Electric, LLC</w:t>
      </w:r>
    </w:p>
    <w:p w:rsidR="005C3BCB" w:rsidRPr="00036736" w:rsidRDefault="005C3BCB" w:rsidP="005C3BCB">
      <w:pPr>
        <w:spacing w:before="0" w:after="60" w:line="240" w:lineRule="auto"/>
        <w:rPr>
          <w:rFonts w:cs="Times New Roman"/>
          <w:szCs w:val="24"/>
        </w:rPr>
      </w:pPr>
      <w:r w:rsidRPr="00036736">
        <w:rPr>
          <w:rFonts w:cs="Times New Roman"/>
          <w:szCs w:val="24"/>
        </w:rPr>
        <w:tab/>
      </w:r>
      <w:r w:rsidRPr="00036736">
        <w:rPr>
          <w:rFonts w:cs="Times New Roman"/>
          <w:szCs w:val="24"/>
        </w:rPr>
        <w:tab/>
        <w:t>Donny Helm, Oncor Electric Delivery Company LLC</w:t>
      </w:r>
    </w:p>
    <w:p w:rsidR="005C3BCB" w:rsidRPr="00036736" w:rsidRDefault="005C3BCB" w:rsidP="005C3BCB">
      <w:pPr>
        <w:spacing w:before="0" w:after="60" w:line="240" w:lineRule="auto"/>
        <w:rPr>
          <w:rFonts w:cs="Times New Roman"/>
          <w:szCs w:val="24"/>
        </w:rPr>
      </w:pPr>
      <w:r w:rsidRPr="00036736">
        <w:rPr>
          <w:rFonts w:cs="Times New Roman"/>
          <w:szCs w:val="24"/>
        </w:rPr>
        <w:tab/>
      </w:r>
      <w:r w:rsidRPr="00036736">
        <w:rPr>
          <w:rFonts w:cs="Times New Roman"/>
          <w:szCs w:val="24"/>
        </w:rPr>
        <w:tab/>
        <w:t>Ronnie Pucket, Oncor Electric Delivery Company LLC</w:t>
      </w:r>
    </w:p>
    <w:p w:rsidR="005C3BCB" w:rsidRPr="00036736" w:rsidRDefault="005C3BCB" w:rsidP="005C3BCB">
      <w:pPr>
        <w:spacing w:before="0" w:after="60" w:line="240" w:lineRule="auto"/>
        <w:rPr>
          <w:rFonts w:cs="Times New Roman"/>
          <w:szCs w:val="24"/>
        </w:rPr>
      </w:pPr>
      <w:r w:rsidRPr="00036736">
        <w:rPr>
          <w:rFonts w:cs="Times New Roman"/>
          <w:szCs w:val="24"/>
        </w:rPr>
        <w:tab/>
      </w:r>
      <w:r w:rsidRPr="00036736">
        <w:rPr>
          <w:rFonts w:cs="Times New Roman"/>
          <w:szCs w:val="24"/>
        </w:rPr>
        <w:tab/>
        <w:t>Bobby Roberts, Texas-New Mexico Power Company</w:t>
      </w:r>
    </w:p>
    <w:p w:rsidR="005C3BCB" w:rsidRPr="00036736" w:rsidRDefault="005C3BCB" w:rsidP="005C3BCB">
      <w:pPr>
        <w:spacing w:before="0" w:after="60" w:line="240" w:lineRule="auto"/>
        <w:rPr>
          <w:rFonts w:cs="Times New Roman"/>
          <w:szCs w:val="24"/>
        </w:rPr>
      </w:pPr>
      <w:r w:rsidRPr="00036736">
        <w:rPr>
          <w:rFonts w:cs="Times New Roman"/>
          <w:szCs w:val="24"/>
        </w:rPr>
        <w:tab/>
      </w:r>
      <w:r w:rsidRPr="00036736">
        <w:rPr>
          <w:rFonts w:cs="Times New Roman"/>
          <w:szCs w:val="24"/>
        </w:rPr>
        <w:tab/>
        <w:t>Christine Wright, Texas Public Utility Commission</w:t>
      </w:r>
    </w:p>
    <w:p w:rsidR="00EC75A7" w:rsidRDefault="005C3BCB" w:rsidP="005C3BCB">
      <w:pPr>
        <w:spacing w:before="0" w:after="0" w:line="240" w:lineRule="auto"/>
        <w:rPr>
          <w:b/>
          <w:szCs w:val="24"/>
        </w:rPr>
      </w:pPr>
      <w:r w:rsidRPr="00036736">
        <w:rPr>
          <w:rFonts w:cs="Times New Roman"/>
          <w:szCs w:val="24"/>
        </w:rPr>
        <w:tab/>
      </w:r>
      <w:r w:rsidRPr="00036736">
        <w:rPr>
          <w:rFonts w:cs="Times New Roman"/>
          <w:szCs w:val="24"/>
        </w:rPr>
        <w:tab/>
        <w:t>Alan Rivaldo, Texas Public Utility Commission</w:t>
      </w:r>
    </w:p>
    <w:p w:rsidR="00EC75A7" w:rsidRPr="00EC75A7" w:rsidRDefault="00EC75A7" w:rsidP="00EC75A7">
      <w:pPr>
        <w:spacing w:before="0" w:after="0" w:line="240" w:lineRule="auto"/>
        <w:jc w:val="center"/>
        <w:rPr>
          <w:b/>
          <w:bCs/>
          <w:kern w:val="32"/>
          <w:szCs w:val="24"/>
        </w:rPr>
      </w:pPr>
    </w:p>
    <w:p w:rsidR="001F2460" w:rsidRPr="005C3BCB" w:rsidRDefault="008A0A7E" w:rsidP="005C3BCB">
      <w:pPr>
        <w:spacing w:before="0" w:after="0" w:line="240" w:lineRule="auto"/>
        <w:jc w:val="center"/>
        <w:rPr>
          <w:rFonts w:ascii="Arial" w:hAnsi="Arial"/>
          <w:b/>
          <w:sz w:val="36"/>
          <w:szCs w:val="36"/>
        </w:rPr>
      </w:pPr>
      <w:r>
        <w:br w:type="page"/>
      </w:r>
      <w:bookmarkStart w:id="1" w:name="_Toc348345266"/>
      <w:r w:rsidR="00BB154A" w:rsidRPr="005C3BCB">
        <w:rPr>
          <w:rFonts w:ascii="Arial" w:hAnsi="Arial"/>
          <w:b/>
          <w:sz w:val="36"/>
          <w:szCs w:val="36"/>
        </w:rPr>
        <w:lastRenderedPageBreak/>
        <w:t>Table of Contents</w:t>
      </w:r>
      <w:bookmarkEnd w:id="1"/>
    </w:p>
    <w:bookmarkStart w:id="2" w:name="_Toc170106485"/>
    <w:p w:rsidR="000A59E4" w:rsidRPr="00AA6DD5" w:rsidRDefault="00CE48DF" w:rsidP="00AA6DD5">
      <w:pPr>
        <w:pStyle w:val="TOC1"/>
        <w:rPr>
          <w:rFonts w:asciiTheme="minorHAnsi" w:eastAsiaTheme="minorEastAsia" w:hAnsiTheme="minorHAnsi" w:cstheme="minorBidi"/>
        </w:rPr>
      </w:pPr>
      <w:r w:rsidRPr="005C3BCB">
        <w:fldChar w:fldCharType="begin"/>
      </w:r>
      <w:r w:rsidR="00272EDA" w:rsidRPr="005C3BCB">
        <w:instrText xml:space="preserve"> TOC \o "1-2" \h \z \u </w:instrText>
      </w:r>
      <w:r w:rsidRPr="005C3BCB">
        <w:fldChar w:fldCharType="separate"/>
      </w:r>
      <w:hyperlink w:anchor="_Toc401563529" w:history="1">
        <w:r w:rsidR="000A59E4" w:rsidRPr="00AA6DD5">
          <w:rPr>
            <w:rStyle w:val="Hyperlink"/>
          </w:rPr>
          <w:t>1</w:t>
        </w:r>
        <w:r w:rsidR="000A59E4" w:rsidRPr="00AA6DD5">
          <w:rPr>
            <w:rFonts w:asciiTheme="minorHAnsi" w:eastAsiaTheme="minorEastAsia" w:hAnsiTheme="minorHAnsi" w:cstheme="minorBidi"/>
          </w:rPr>
          <w:tab/>
        </w:r>
        <w:r w:rsidR="000A59E4" w:rsidRPr="00AA6DD5">
          <w:rPr>
            <w:rStyle w:val="Hyperlink"/>
          </w:rPr>
          <w:t>Introduction</w:t>
        </w:r>
        <w:r w:rsidR="000A59E4" w:rsidRPr="00AA6DD5">
          <w:rPr>
            <w:webHidden/>
          </w:rPr>
          <w:tab/>
        </w:r>
        <w:r w:rsidR="000A59E4" w:rsidRPr="00AA6DD5">
          <w:rPr>
            <w:webHidden/>
          </w:rPr>
          <w:fldChar w:fldCharType="begin"/>
        </w:r>
        <w:r w:rsidR="000A59E4" w:rsidRPr="00AA6DD5">
          <w:rPr>
            <w:webHidden/>
          </w:rPr>
          <w:instrText xml:space="preserve"> PAGEREF _Toc401563529 \h </w:instrText>
        </w:r>
        <w:r w:rsidR="000A59E4" w:rsidRPr="00AA6DD5">
          <w:rPr>
            <w:webHidden/>
          </w:rPr>
        </w:r>
        <w:r w:rsidR="000A59E4" w:rsidRPr="00AA6DD5">
          <w:rPr>
            <w:webHidden/>
          </w:rPr>
          <w:fldChar w:fldCharType="separate"/>
        </w:r>
        <w:r w:rsidR="00026EAD">
          <w:rPr>
            <w:webHidden/>
          </w:rPr>
          <w:t>5</w:t>
        </w:r>
        <w:r w:rsidR="000A59E4" w:rsidRPr="00AA6DD5">
          <w:rPr>
            <w:webHidden/>
          </w:rPr>
          <w:fldChar w:fldCharType="end"/>
        </w:r>
      </w:hyperlink>
    </w:p>
    <w:p w:rsidR="000A59E4" w:rsidRDefault="00D40631" w:rsidP="00AA6DD5">
      <w:pPr>
        <w:pStyle w:val="TOC1"/>
        <w:rPr>
          <w:rFonts w:asciiTheme="minorHAnsi" w:eastAsiaTheme="minorEastAsia" w:hAnsiTheme="minorHAnsi" w:cstheme="minorBidi"/>
          <w:sz w:val="22"/>
          <w:szCs w:val="22"/>
        </w:rPr>
      </w:pPr>
      <w:hyperlink w:anchor="_Toc401563530" w:history="1">
        <w:r w:rsidR="000A59E4" w:rsidRPr="00AA6DD5">
          <w:rPr>
            <w:rStyle w:val="Hyperlink"/>
          </w:rPr>
          <w:t>2</w:t>
        </w:r>
        <w:r w:rsidR="000A59E4" w:rsidRPr="00AA6DD5">
          <w:rPr>
            <w:rFonts w:asciiTheme="minorHAnsi" w:eastAsiaTheme="minorEastAsia" w:hAnsiTheme="minorHAnsi" w:cstheme="minorBidi"/>
          </w:rPr>
          <w:tab/>
        </w:r>
        <w:r w:rsidR="000A59E4" w:rsidRPr="00AA6DD5">
          <w:rPr>
            <w:rStyle w:val="Hyperlink"/>
          </w:rPr>
          <w:t>Background and Context</w:t>
        </w:r>
        <w:r w:rsidR="000A59E4" w:rsidRPr="00AA6DD5">
          <w:rPr>
            <w:webHidden/>
          </w:rPr>
          <w:tab/>
        </w:r>
        <w:r w:rsidR="000A59E4" w:rsidRPr="00AA6DD5">
          <w:rPr>
            <w:webHidden/>
          </w:rPr>
          <w:fldChar w:fldCharType="begin"/>
        </w:r>
        <w:r w:rsidR="000A59E4" w:rsidRPr="00AA6DD5">
          <w:rPr>
            <w:webHidden/>
          </w:rPr>
          <w:instrText xml:space="preserve"> PAGEREF _Toc401563530 \h </w:instrText>
        </w:r>
        <w:r w:rsidR="000A59E4" w:rsidRPr="00AA6DD5">
          <w:rPr>
            <w:webHidden/>
          </w:rPr>
        </w:r>
        <w:r w:rsidR="000A59E4" w:rsidRPr="00AA6DD5">
          <w:rPr>
            <w:webHidden/>
          </w:rPr>
          <w:fldChar w:fldCharType="separate"/>
        </w:r>
        <w:r w:rsidR="00026EAD">
          <w:rPr>
            <w:webHidden/>
          </w:rPr>
          <w:t>7</w:t>
        </w:r>
        <w:r w:rsidR="000A59E4" w:rsidRPr="00AA6DD5">
          <w:rPr>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31" w:history="1">
        <w:r w:rsidR="000A59E4" w:rsidRPr="00862C6E">
          <w:rPr>
            <w:rStyle w:val="Hyperlink"/>
            <w:noProof/>
          </w:rPr>
          <w:t>2.1</w:t>
        </w:r>
        <w:r w:rsidR="000A59E4">
          <w:rPr>
            <w:rFonts w:asciiTheme="minorHAnsi" w:eastAsiaTheme="minorEastAsia" w:hAnsiTheme="minorHAnsi" w:cstheme="minorBidi"/>
            <w:smallCaps w:val="0"/>
            <w:noProof/>
            <w:sz w:val="22"/>
          </w:rPr>
          <w:tab/>
        </w:r>
        <w:r w:rsidR="000A59E4" w:rsidRPr="00862C6E">
          <w:rPr>
            <w:rStyle w:val="Hyperlink"/>
            <w:noProof/>
          </w:rPr>
          <w:t>Background</w:t>
        </w:r>
        <w:r w:rsidR="000A59E4">
          <w:rPr>
            <w:noProof/>
            <w:webHidden/>
          </w:rPr>
          <w:tab/>
        </w:r>
        <w:r w:rsidR="000A59E4">
          <w:rPr>
            <w:noProof/>
            <w:webHidden/>
          </w:rPr>
          <w:fldChar w:fldCharType="begin"/>
        </w:r>
        <w:r w:rsidR="000A59E4">
          <w:rPr>
            <w:noProof/>
            <w:webHidden/>
          </w:rPr>
          <w:instrText xml:space="preserve"> PAGEREF _Toc401563531 \h </w:instrText>
        </w:r>
        <w:r w:rsidR="000A59E4">
          <w:rPr>
            <w:noProof/>
            <w:webHidden/>
          </w:rPr>
        </w:r>
        <w:r w:rsidR="000A59E4">
          <w:rPr>
            <w:noProof/>
            <w:webHidden/>
          </w:rPr>
          <w:fldChar w:fldCharType="separate"/>
        </w:r>
        <w:r w:rsidR="00026EAD">
          <w:rPr>
            <w:noProof/>
            <w:webHidden/>
          </w:rPr>
          <w:t>7</w:t>
        </w:r>
        <w:r w:rsidR="000A59E4">
          <w:rPr>
            <w:noProof/>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32" w:history="1">
        <w:r w:rsidR="000A59E4" w:rsidRPr="00862C6E">
          <w:rPr>
            <w:rStyle w:val="Hyperlink"/>
            <w:noProof/>
          </w:rPr>
          <w:t>2.2</w:t>
        </w:r>
        <w:r w:rsidR="000A59E4">
          <w:rPr>
            <w:rFonts w:asciiTheme="minorHAnsi" w:eastAsiaTheme="minorEastAsia" w:hAnsiTheme="minorHAnsi" w:cstheme="minorBidi"/>
            <w:smallCaps w:val="0"/>
            <w:noProof/>
            <w:sz w:val="22"/>
          </w:rPr>
          <w:tab/>
        </w:r>
        <w:r w:rsidR="000A59E4" w:rsidRPr="00862C6E">
          <w:rPr>
            <w:rStyle w:val="Hyperlink"/>
            <w:noProof/>
          </w:rPr>
          <w:t>Texas Electric Market</w:t>
        </w:r>
        <w:r w:rsidR="000A59E4">
          <w:rPr>
            <w:noProof/>
            <w:webHidden/>
          </w:rPr>
          <w:tab/>
        </w:r>
        <w:r w:rsidR="000A59E4">
          <w:rPr>
            <w:noProof/>
            <w:webHidden/>
          </w:rPr>
          <w:fldChar w:fldCharType="begin"/>
        </w:r>
        <w:r w:rsidR="000A59E4">
          <w:rPr>
            <w:noProof/>
            <w:webHidden/>
          </w:rPr>
          <w:instrText xml:space="preserve"> PAGEREF _Toc401563532 \h </w:instrText>
        </w:r>
        <w:r w:rsidR="000A59E4">
          <w:rPr>
            <w:noProof/>
            <w:webHidden/>
          </w:rPr>
        </w:r>
        <w:r w:rsidR="000A59E4">
          <w:rPr>
            <w:noProof/>
            <w:webHidden/>
          </w:rPr>
          <w:fldChar w:fldCharType="separate"/>
        </w:r>
        <w:r w:rsidR="00026EAD">
          <w:rPr>
            <w:noProof/>
            <w:webHidden/>
          </w:rPr>
          <w:t>9</w:t>
        </w:r>
        <w:r w:rsidR="000A59E4">
          <w:rPr>
            <w:noProof/>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33" w:history="1">
        <w:r w:rsidR="000A59E4" w:rsidRPr="00862C6E">
          <w:rPr>
            <w:rStyle w:val="Hyperlink"/>
            <w:noProof/>
          </w:rPr>
          <w:t>2.3</w:t>
        </w:r>
        <w:r w:rsidR="000A59E4">
          <w:rPr>
            <w:rFonts w:asciiTheme="minorHAnsi" w:eastAsiaTheme="minorEastAsia" w:hAnsiTheme="minorHAnsi" w:cstheme="minorBidi"/>
            <w:smallCaps w:val="0"/>
            <w:noProof/>
            <w:sz w:val="22"/>
          </w:rPr>
          <w:tab/>
        </w:r>
        <w:r w:rsidR="000A59E4" w:rsidRPr="00862C6E">
          <w:rPr>
            <w:rStyle w:val="Hyperlink"/>
            <w:noProof/>
          </w:rPr>
          <w:t>Smart Meter Texas</w:t>
        </w:r>
        <w:r w:rsidR="000A59E4">
          <w:rPr>
            <w:noProof/>
            <w:webHidden/>
          </w:rPr>
          <w:tab/>
        </w:r>
        <w:r w:rsidR="000A59E4">
          <w:rPr>
            <w:noProof/>
            <w:webHidden/>
          </w:rPr>
          <w:fldChar w:fldCharType="begin"/>
        </w:r>
        <w:r w:rsidR="000A59E4">
          <w:rPr>
            <w:noProof/>
            <w:webHidden/>
          </w:rPr>
          <w:instrText xml:space="preserve"> PAGEREF _Toc401563533 \h </w:instrText>
        </w:r>
        <w:r w:rsidR="000A59E4">
          <w:rPr>
            <w:noProof/>
            <w:webHidden/>
          </w:rPr>
        </w:r>
        <w:r w:rsidR="000A59E4">
          <w:rPr>
            <w:noProof/>
            <w:webHidden/>
          </w:rPr>
          <w:fldChar w:fldCharType="separate"/>
        </w:r>
        <w:r w:rsidR="00026EAD">
          <w:rPr>
            <w:noProof/>
            <w:webHidden/>
          </w:rPr>
          <w:t>11</w:t>
        </w:r>
        <w:r w:rsidR="000A59E4">
          <w:rPr>
            <w:noProof/>
            <w:webHidden/>
          </w:rPr>
          <w:fldChar w:fldCharType="end"/>
        </w:r>
      </w:hyperlink>
    </w:p>
    <w:p w:rsidR="000A59E4" w:rsidRPr="00AA6DD5" w:rsidRDefault="00D40631" w:rsidP="00AA6DD5">
      <w:pPr>
        <w:pStyle w:val="TOC1"/>
        <w:rPr>
          <w:rFonts w:asciiTheme="minorHAnsi" w:eastAsiaTheme="minorEastAsia" w:hAnsiTheme="minorHAnsi" w:cstheme="minorBidi"/>
        </w:rPr>
      </w:pPr>
      <w:hyperlink w:anchor="_Toc401563534" w:history="1">
        <w:r w:rsidR="000A59E4" w:rsidRPr="00AA6DD5">
          <w:rPr>
            <w:rStyle w:val="Hyperlink"/>
          </w:rPr>
          <w:t>3</w:t>
        </w:r>
        <w:r w:rsidR="000A59E4" w:rsidRPr="00AA6DD5">
          <w:rPr>
            <w:rFonts w:asciiTheme="minorHAnsi" w:eastAsiaTheme="minorEastAsia" w:hAnsiTheme="minorHAnsi" w:cstheme="minorBidi"/>
          </w:rPr>
          <w:tab/>
        </w:r>
        <w:r w:rsidR="000A59E4" w:rsidRPr="00AA6DD5">
          <w:rPr>
            <w:rStyle w:val="Hyperlink"/>
          </w:rPr>
          <w:t>Third Party Definition</w:t>
        </w:r>
        <w:r w:rsidR="000A59E4" w:rsidRPr="00AA6DD5">
          <w:rPr>
            <w:webHidden/>
          </w:rPr>
          <w:tab/>
        </w:r>
        <w:r w:rsidR="000A59E4" w:rsidRPr="00AA6DD5">
          <w:rPr>
            <w:webHidden/>
          </w:rPr>
          <w:fldChar w:fldCharType="begin"/>
        </w:r>
        <w:r w:rsidR="000A59E4" w:rsidRPr="00AA6DD5">
          <w:rPr>
            <w:webHidden/>
          </w:rPr>
          <w:instrText xml:space="preserve"> PAGEREF _Toc401563534 \h </w:instrText>
        </w:r>
        <w:r w:rsidR="000A59E4" w:rsidRPr="00AA6DD5">
          <w:rPr>
            <w:webHidden/>
          </w:rPr>
        </w:r>
        <w:r w:rsidR="000A59E4" w:rsidRPr="00AA6DD5">
          <w:rPr>
            <w:webHidden/>
          </w:rPr>
          <w:fldChar w:fldCharType="separate"/>
        </w:r>
        <w:r w:rsidR="00026EAD">
          <w:rPr>
            <w:webHidden/>
          </w:rPr>
          <w:t>18</w:t>
        </w:r>
        <w:r w:rsidR="000A59E4" w:rsidRPr="00AA6DD5">
          <w:rPr>
            <w:webHidden/>
          </w:rPr>
          <w:fldChar w:fldCharType="end"/>
        </w:r>
      </w:hyperlink>
    </w:p>
    <w:p w:rsidR="000A59E4" w:rsidRPr="00AA6DD5" w:rsidRDefault="00D40631" w:rsidP="00AA6DD5">
      <w:pPr>
        <w:pStyle w:val="TOC1"/>
        <w:rPr>
          <w:rFonts w:asciiTheme="minorHAnsi" w:eastAsiaTheme="minorEastAsia" w:hAnsiTheme="minorHAnsi" w:cstheme="minorBidi"/>
        </w:rPr>
      </w:pPr>
      <w:hyperlink w:anchor="_Toc401563535" w:history="1">
        <w:r w:rsidR="000A59E4" w:rsidRPr="00AA6DD5">
          <w:rPr>
            <w:rStyle w:val="Hyperlink"/>
          </w:rPr>
          <w:t>4</w:t>
        </w:r>
        <w:r w:rsidR="000A59E4" w:rsidRPr="00AA6DD5">
          <w:rPr>
            <w:rFonts w:asciiTheme="minorHAnsi" w:eastAsiaTheme="minorEastAsia" w:hAnsiTheme="minorHAnsi" w:cstheme="minorBidi"/>
          </w:rPr>
          <w:tab/>
        </w:r>
        <w:r w:rsidR="000A59E4" w:rsidRPr="00AA6DD5">
          <w:rPr>
            <w:rStyle w:val="Hyperlink"/>
          </w:rPr>
          <w:t>Development of Third Party Functionality</w:t>
        </w:r>
        <w:r w:rsidR="000A59E4" w:rsidRPr="00AA6DD5">
          <w:rPr>
            <w:webHidden/>
          </w:rPr>
          <w:tab/>
        </w:r>
        <w:r w:rsidR="000A59E4" w:rsidRPr="00AA6DD5">
          <w:rPr>
            <w:webHidden/>
          </w:rPr>
          <w:fldChar w:fldCharType="begin"/>
        </w:r>
        <w:r w:rsidR="000A59E4" w:rsidRPr="00AA6DD5">
          <w:rPr>
            <w:webHidden/>
          </w:rPr>
          <w:instrText xml:space="preserve"> PAGEREF _Toc401563535 \h </w:instrText>
        </w:r>
        <w:r w:rsidR="000A59E4" w:rsidRPr="00AA6DD5">
          <w:rPr>
            <w:webHidden/>
          </w:rPr>
        </w:r>
        <w:r w:rsidR="000A59E4" w:rsidRPr="00AA6DD5">
          <w:rPr>
            <w:webHidden/>
          </w:rPr>
          <w:fldChar w:fldCharType="separate"/>
        </w:r>
        <w:r w:rsidR="00026EAD">
          <w:rPr>
            <w:webHidden/>
          </w:rPr>
          <w:t>19</w:t>
        </w:r>
        <w:r w:rsidR="000A59E4" w:rsidRPr="00AA6DD5">
          <w:rPr>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36" w:history="1">
        <w:r w:rsidR="000A59E4" w:rsidRPr="00862C6E">
          <w:rPr>
            <w:rStyle w:val="Hyperlink"/>
            <w:rFonts w:eastAsia="Calibri"/>
            <w:noProof/>
          </w:rPr>
          <w:t>4.1</w:t>
        </w:r>
        <w:r w:rsidR="000A59E4">
          <w:rPr>
            <w:rFonts w:asciiTheme="minorHAnsi" w:eastAsiaTheme="minorEastAsia" w:hAnsiTheme="minorHAnsi" w:cstheme="minorBidi"/>
            <w:smallCaps w:val="0"/>
            <w:noProof/>
            <w:sz w:val="22"/>
          </w:rPr>
          <w:tab/>
        </w:r>
        <w:r w:rsidR="000A59E4" w:rsidRPr="00862C6E">
          <w:rPr>
            <w:rStyle w:val="Hyperlink"/>
            <w:rFonts w:eastAsia="Calibri"/>
            <w:noProof/>
          </w:rPr>
          <w:t>Design Process</w:t>
        </w:r>
        <w:r w:rsidR="000A59E4">
          <w:rPr>
            <w:noProof/>
            <w:webHidden/>
          </w:rPr>
          <w:tab/>
        </w:r>
        <w:r w:rsidR="000A59E4">
          <w:rPr>
            <w:noProof/>
            <w:webHidden/>
          </w:rPr>
          <w:fldChar w:fldCharType="begin"/>
        </w:r>
        <w:r w:rsidR="000A59E4">
          <w:rPr>
            <w:noProof/>
            <w:webHidden/>
          </w:rPr>
          <w:instrText xml:space="preserve"> PAGEREF _Toc401563536 \h </w:instrText>
        </w:r>
        <w:r w:rsidR="000A59E4">
          <w:rPr>
            <w:noProof/>
            <w:webHidden/>
          </w:rPr>
        </w:r>
        <w:r w:rsidR="000A59E4">
          <w:rPr>
            <w:noProof/>
            <w:webHidden/>
          </w:rPr>
          <w:fldChar w:fldCharType="separate"/>
        </w:r>
        <w:r w:rsidR="00026EAD">
          <w:rPr>
            <w:noProof/>
            <w:webHidden/>
          </w:rPr>
          <w:t>19</w:t>
        </w:r>
        <w:r w:rsidR="000A59E4">
          <w:rPr>
            <w:noProof/>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37" w:history="1">
        <w:r w:rsidR="000A59E4" w:rsidRPr="00862C6E">
          <w:rPr>
            <w:rStyle w:val="Hyperlink"/>
            <w:rFonts w:eastAsia="Calibri"/>
            <w:noProof/>
          </w:rPr>
          <w:t>4.2</w:t>
        </w:r>
        <w:r w:rsidR="000A59E4">
          <w:rPr>
            <w:rFonts w:asciiTheme="minorHAnsi" w:eastAsiaTheme="minorEastAsia" w:hAnsiTheme="minorHAnsi" w:cstheme="minorBidi"/>
            <w:smallCaps w:val="0"/>
            <w:noProof/>
            <w:sz w:val="22"/>
          </w:rPr>
          <w:tab/>
        </w:r>
        <w:r w:rsidR="000A59E4" w:rsidRPr="00862C6E">
          <w:rPr>
            <w:rStyle w:val="Hyperlink"/>
            <w:rFonts w:eastAsia="Calibri"/>
            <w:noProof/>
          </w:rPr>
          <w:t>Use Cases</w:t>
        </w:r>
        <w:r w:rsidR="000A59E4">
          <w:rPr>
            <w:noProof/>
            <w:webHidden/>
          </w:rPr>
          <w:tab/>
        </w:r>
        <w:r w:rsidR="000A59E4">
          <w:rPr>
            <w:noProof/>
            <w:webHidden/>
          </w:rPr>
          <w:fldChar w:fldCharType="begin"/>
        </w:r>
        <w:r w:rsidR="000A59E4">
          <w:rPr>
            <w:noProof/>
            <w:webHidden/>
          </w:rPr>
          <w:instrText xml:space="preserve"> PAGEREF _Toc401563537 \h </w:instrText>
        </w:r>
        <w:r w:rsidR="000A59E4">
          <w:rPr>
            <w:noProof/>
            <w:webHidden/>
          </w:rPr>
        </w:r>
        <w:r w:rsidR="000A59E4">
          <w:rPr>
            <w:noProof/>
            <w:webHidden/>
          </w:rPr>
          <w:fldChar w:fldCharType="separate"/>
        </w:r>
        <w:r w:rsidR="00026EAD">
          <w:rPr>
            <w:noProof/>
            <w:webHidden/>
          </w:rPr>
          <w:t>19</w:t>
        </w:r>
        <w:r w:rsidR="000A59E4">
          <w:rPr>
            <w:noProof/>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38" w:history="1">
        <w:r w:rsidR="000A59E4" w:rsidRPr="00862C6E">
          <w:rPr>
            <w:rStyle w:val="Hyperlink"/>
            <w:noProof/>
          </w:rPr>
          <w:t>4.3</w:t>
        </w:r>
        <w:r w:rsidR="000A59E4">
          <w:rPr>
            <w:rFonts w:asciiTheme="minorHAnsi" w:eastAsiaTheme="minorEastAsia" w:hAnsiTheme="minorHAnsi" w:cstheme="minorBidi"/>
            <w:smallCaps w:val="0"/>
            <w:noProof/>
            <w:sz w:val="22"/>
          </w:rPr>
          <w:tab/>
        </w:r>
        <w:r w:rsidR="000A59E4" w:rsidRPr="00862C6E">
          <w:rPr>
            <w:rStyle w:val="Hyperlink"/>
            <w:noProof/>
          </w:rPr>
          <w:t>Storyboards</w:t>
        </w:r>
        <w:r w:rsidR="000A59E4">
          <w:rPr>
            <w:noProof/>
            <w:webHidden/>
          </w:rPr>
          <w:tab/>
        </w:r>
        <w:r w:rsidR="000A59E4">
          <w:rPr>
            <w:noProof/>
            <w:webHidden/>
          </w:rPr>
          <w:fldChar w:fldCharType="begin"/>
        </w:r>
        <w:r w:rsidR="000A59E4">
          <w:rPr>
            <w:noProof/>
            <w:webHidden/>
          </w:rPr>
          <w:instrText xml:space="preserve"> PAGEREF _Toc401563538 \h </w:instrText>
        </w:r>
        <w:r w:rsidR="000A59E4">
          <w:rPr>
            <w:noProof/>
            <w:webHidden/>
          </w:rPr>
        </w:r>
        <w:r w:rsidR="000A59E4">
          <w:rPr>
            <w:noProof/>
            <w:webHidden/>
          </w:rPr>
          <w:fldChar w:fldCharType="separate"/>
        </w:r>
        <w:r w:rsidR="00026EAD">
          <w:rPr>
            <w:noProof/>
            <w:webHidden/>
          </w:rPr>
          <w:t>20</w:t>
        </w:r>
        <w:r w:rsidR="000A59E4">
          <w:rPr>
            <w:noProof/>
            <w:webHidden/>
          </w:rPr>
          <w:fldChar w:fldCharType="end"/>
        </w:r>
      </w:hyperlink>
    </w:p>
    <w:p w:rsidR="000A59E4" w:rsidRPr="00AA6DD5" w:rsidRDefault="00D40631" w:rsidP="00AA6DD5">
      <w:pPr>
        <w:pStyle w:val="TOC1"/>
        <w:rPr>
          <w:rFonts w:asciiTheme="minorHAnsi" w:eastAsiaTheme="minorEastAsia" w:hAnsiTheme="minorHAnsi" w:cstheme="minorBidi"/>
        </w:rPr>
      </w:pPr>
      <w:hyperlink w:anchor="_Toc401563539" w:history="1">
        <w:r w:rsidR="000A59E4" w:rsidRPr="00AA6DD5">
          <w:rPr>
            <w:rStyle w:val="Hyperlink"/>
          </w:rPr>
          <w:t>5</w:t>
        </w:r>
        <w:r w:rsidR="000A59E4" w:rsidRPr="00AA6DD5">
          <w:rPr>
            <w:rFonts w:asciiTheme="minorHAnsi" w:eastAsiaTheme="minorEastAsia" w:hAnsiTheme="minorHAnsi" w:cstheme="minorBidi"/>
          </w:rPr>
          <w:tab/>
        </w:r>
        <w:r w:rsidR="000A59E4" w:rsidRPr="00AA6DD5">
          <w:rPr>
            <w:rStyle w:val="Hyperlink"/>
          </w:rPr>
          <w:t>Customer Privacy Protection</w:t>
        </w:r>
        <w:r w:rsidR="000A59E4" w:rsidRPr="00AA6DD5">
          <w:rPr>
            <w:webHidden/>
          </w:rPr>
          <w:tab/>
        </w:r>
        <w:r w:rsidR="000A59E4" w:rsidRPr="00AA6DD5">
          <w:rPr>
            <w:webHidden/>
          </w:rPr>
          <w:fldChar w:fldCharType="begin"/>
        </w:r>
        <w:r w:rsidR="000A59E4" w:rsidRPr="00AA6DD5">
          <w:rPr>
            <w:webHidden/>
          </w:rPr>
          <w:instrText xml:space="preserve"> PAGEREF _Toc401563539 \h </w:instrText>
        </w:r>
        <w:r w:rsidR="000A59E4" w:rsidRPr="00AA6DD5">
          <w:rPr>
            <w:webHidden/>
          </w:rPr>
        </w:r>
        <w:r w:rsidR="000A59E4" w:rsidRPr="00AA6DD5">
          <w:rPr>
            <w:webHidden/>
          </w:rPr>
          <w:fldChar w:fldCharType="separate"/>
        </w:r>
        <w:r w:rsidR="00026EAD">
          <w:rPr>
            <w:webHidden/>
          </w:rPr>
          <w:t>24</w:t>
        </w:r>
        <w:r w:rsidR="000A59E4" w:rsidRPr="00AA6DD5">
          <w:rPr>
            <w:webHidden/>
          </w:rPr>
          <w:fldChar w:fldCharType="end"/>
        </w:r>
      </w:hyperlink>
    </w:p>
    <w:p w:rsidR="000A59E4" w:rsidRPr="00AA6DD5" w:rsidRDefault="00D40631" w:rsidP="00AA6DD5">
      <w:pPr>
        <w:pStyle w:val="TOC1"/>
        <w:rPr>
          <w:rFonts w:asciiTheme="minorHAnsi" w:eastAsiaTheme="minorEastAsia" w:hAnsiTheme="minorHAnsi" w:cstheme="minorBidi"/>
        </w:rPr>
      </w:pPr>
      <w:hyperlink w:anchor="_Toc401563540" w:history="1">
        <w:r w:rsidR="000A59E4" w:rsidRPr="00AA6DD5">
          <w:rPr>
            <w:rStyle w:val="Hyperlink"/>
          </w:rPr>
          <w:t>6</w:t>
        </w:r>
        <w:r w:rsidR="000A59E4" w:rsidRPr="00AA6DD5">
          <w:rPr>
            <w:rFonts w:asciiTheme="minorHAnsi" w:eastAsiaTheme="minorEastAsia" w:hAnsiTheme="minorHAnsi" w:cstheme="minorBidi"/>
          </w:rPr>
          <w:tab/>
        </w:r>
        <w:r w:rsidR="000A59E4" w:rsidRPr="00AA6DD5">
          <w:rPr>
            <w:rStyle w:val="Hyperlink"/>
          </w:rPr>
          <w:t>Agreement Invitation Process</w:t>
        </w:r>
        <w:r w:rsidR="000A59E4" w:rsidRPr="00AA6DD5">
          <w:rPr>
            <w:webHidden/>
          </w:rPr>
          <w:tab/>
        </w:r>
        <w:r w:rsidR="000A59E4" w:rsidRPr="00AA6DD5">
          <w:rPr>
            <w:webHidden/>
          </w:rPr>
          <w:fldChar w:fldCharType="begin"/>
        </w:r>
        <w:r w:rsidR="000A59E4" w:rsidRPr="00AA6DD5">
          <w:rPr>
            <w:webHidden/>
          </w:rPr>
          <w:instrText xml:space="preserve"> PAGEREF _Toc401563540 \h </w:instrText>
        </w:r>
        <w:r w:rsidR="000A59E4" w:rsidRPr="00AA6DD5">
          <w:rPr>
            <w:webHidden/>
          </w:rPr>
        </w:r>
        <w:r w:rsidR="000A59E4" w:rsidRPr="00AA6DD5">
          <w:rPr>
            <w:webHidden/>
          </w:rPr>
          <w:fldChar w:fldCharType="separate"/>
        </w:r>
        <w:r w:rsidR="00026EAD">
          <w:rPr>
            <w:webHidden/>
          </w:rPr>
          <w:t>25</w:t>
        </w:r>
        <w:r w:rsidR="000A59E4" w:rsidRPr="00AA6DD5">
          <w:rPr>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41" w:history="1">
        <w:r w:rsidR="000A59E4" w:rsidRPr="00862C6E">
          <w:rPr>
            <w:rStyle w:val="Hyperlink"/>
            <w:noProof/>
          </w:rPr>
          <w:t>6.1</w:t>
        </w:r>
        <w:r w:rsidR="000A59E4">
          <w:rPr>
            <w:rFonts w:asciiTheme="minorHAnsi" w:eastAsiaTheme="minorEastAsia" w:hAnsiTheme="minorHAnsi" w:cstheme="minorBidi"/>
            <w:smallCaps w:val="0"/>
            <w:noProof/>
            <w:sz w:val="22"/>
          </w:rPr>
          <w:tab/>
        </w:r>
        <w:r w:rsidR="000A59E4" w:rsidRPr="00862C6E">
          <w:rPr>
            <w:rStyle w:val="Hyperlink"/>
            <w:noProof/>
          </w:rPr>
          <w:t>Overview</w:t>
        </w:r>
        <w:r w:rsidR="000A59E4">
          <w:rPr>
            <w:noProof/>
            <w:webHidden/>
          </w:rPr>
          <w:tab/>
        </w:r>
        <w:r w:rsidR="000A59E4">
          <w:rPr>
            <w:noProof/>
            <w:webHidden/>
          </w:rPr>
          <w:fldChar w:fldCharType="begin"/>
        </w:r>
        <w:r w:rsidR="000A59E4">
          <w:rPr>
            <w:noProof/>
            <w:webHidden/>
          </w:rPr>
          <w:instrText xml:space="preserve"> PAGEREF _Toc401563541 \h </w:instrText>
        </w:r>
        <w:r w:rsidR="000A59E4">
          <w:rPr>
            <w:noProof/>
            <w:webHidden/>
          </w:rPr>
        </w:r>
        <w:r w:rsidR="000A59E4">
          <w:rPr>
            <w:noProof/>
            <w:webHidden/>
          </w:rPr>
          <w:fldChar w:fldCharType="separate"/>
        </w:r>
        <w:r w:rsidR="00026EAD">
          <w:rPr>
            <w:noProof/>
            <w:webHidden/>
          </w:rPr>
          <w:t>25</w:t>
        </w:r>
        <w:r w:rsidR="000A59E4">
          <w:rPr>
            <w:noProof/>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42" w:history="1">
        <w:r w:rsidR="000A59E4" w:rsidRPr="00862C6E">
          <w:rPr>
            <w:rStyle w:val="Hyperlink"/>
            <w:noProof/>
          </w:rPr>
          <w:t>6.2</w:t>
        </w:r>
        <w:r w:rsidR="000A59E4">
          <w:rPr>
            <w:rFonts w:asciiTheme="minorHAnsi" w:eastAsiaTheme="minorEastAsia" w:hAnsiTheme="minorHAnsi" w:cstheme="minorBidi"/>
            <w:smallCaps w:val="0"/>
            <w:noProof/>
            <w:sz w:val="22"/>
          </w:rPr>
          <w:tab/>
        </w:r>
        <w:r w:rsidR="000A59E4" w:rsidRPr="00862C6E">
          <w:rPr>
            <w:rStyle w:val="Hyperlink"/>
            <w:noProof/>
          </w:rPr>
          <w:t>Third Party Agreements</w:t>
        </w:r>
        <w:r w:rsidR="000A59E4">
          <w:rPr>
            <w:noProof/>
            <w:webHidden/>
          </w:rPr>
          <w:tab/>
        </w:r>
        <w:r w:rsidR="000A59E4">
          <w:rPr>
            <w:noProof/>
            <w:webHidden/>
          </w:rPr>
          <w:fldChar w:fldCharType="begin"/>
        </w:r>
        <w:r w:rsidR="000A59E4">
          <w:rPr>
            <w:noProof/>
            <w:webHidden/>
          </w:rPr>
          <w:instrText xml:space="preserve"> PAGEREF _Toc401563542 \h </w:instrText>
        </w:r>
        <w:r w:rsidR="000A59E4">
          <w:rPr>
            <w:noProof/>
            <w:webHidden/>
          </w:rPr>
        </w:r>
        <w:r w:rsidR="000A59E4">
          <w:rPr>
            <w:noProof/>
            <w:webHidden/>
          </w:rPr>
          <w:fldChar w:fldCharType="separate"/>
        </w:r>
        <w:r w:rsidR="00026EAD">
          <w:rPr>
            <w:noProof/>
            <w:webHidden/>
          </w:rPr>
          <w:t>26</w:t>
        </w:r>
        <w:r w:rsidR="000A59E4">
          <w:rPr>
            <w:noProof/>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43" w:history="1">
        <w:r w:rsidR="000A59E4" w:rsidRPr="00862C6E">
          <w:rPr>
            <w:rStyle w:val="Hyperlink"/>
            <w:noProof/>
          </w:rPr>
          <w:t>6.3</w:t>
        </w:r>
        <w:r w:rsidR="000A59E4">
          <w:rPr>
            <w:rFonts w:asciiTheme="minorHAnsi" w:eastAsiaTheme="minorEastAsia" w:hAnsiTheme="minorHAnsi" w:cstheme="minorBidi"/>
            <w:smallCaps w:val="0"/>
            <w:noProof/>
            <w:sz w:val="22"/>
          </w:rPr>
          <w:tab/>
        </w:r>
        <w:r w:rsidR="000A59E4" w:rsidRPr="00862C6E">
          <w:rPr>
            <w:rStyle w:val="Hyperlink"/>
            <w:noProof/>
          </w:rPr>
          <w:t>Prerequisites</w:t>
        </w:r>
        <w:r w:rsidR="000A59E4">
          <w:rPr>
            <w:noProof/>
            <w:webHidden/>
          </w:rPr>
          <w:tab/>
        </w:r>
        <w:r w:rsidR="000A59E4">
          <w:rPr>
            <w:noProof/>
            <w:webHidden/>
          </w:rPr>
          <w:fldChar w:fldCharType="begin"/>
        </w:r>
        <w:r w:rsidR="000A59E4">
          <w:rPr>
            <w:noProof/>
            <w:webHidden/>
          </w:rPr>
          <w:instrText xml:space="preserve"> PAGEREF _Toc401563543 \h </w:instrText>
        </w:r>
        <w:r w:rsidR="000A59E4">
          <w:rPr>
            <w:noProof/>
            <w:webHidden/>
          </w:rPr>
        </w:r>
        <w:r w:rsidR="000A59E4">
          <w:rPr>
            <w:noProof/>
            <w:webHidden/>
          </w:rPr>
          <w:fldChar w:fldCharType="separate"/>
        </w:r>
        <w:r w:rsidR="00026EAD">
          <w:rPr>
            <w:noProof/>
            <w:webHidden/>
          </w:rPr>
          <w:t>27</w:t>
        </w:r>
        <w:r w:rsidR="000A59E4">
          <w:rPr>
            <w:noProof/>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44" w:history="1">
        <w:r w:rsidR="000A59E4" w:rsidRPr="00862C6E">
          <w:rPr>
            <w:rStyle w:val="Hyperlink"/>
            <w:noProof/>
          </w:rPr>
          <w:t>6.4</w:t>
        </w:r>
        <w:r w:rsidR="000A59E4">
          <w:rPr>
            <w:rFonts w:asciiTheme="minorHAnsi" w:eastAsiaTheme="minorEastAsia" w:hAnsiTheme="minorHAnsi" w:cstheme="minorBidi"/>
            <w:smallCaps w:val="0"/>
            <w:noProof/>
            <w:sz w:val="22"/>
          </w:rPr>
          <w:tab/>
        </w:r>
        <w:r w:rsidR="000A59E4" w:rsidRPr="00862C6E">
          <w:rPr>
            <w:rStyle w:val="Hyperlink"/>
            <w:noProof/>
          </w:rPr>
          <w:t>Agreement Invitations</w:t>
        </w:r>
        <w:r w:rsidR="000A59E4">
          <w:rPr>
            <w:noProof/>
            <w:webHidden/>
          </w:rPr>
          <w:tab/>
        </w:r>
        <w:r w:rsidR="000A59E4">
          <w:rPr>
            <w:noProof/>
            <w:webHidden/>
          </w:rPr>
          <w:fldChar w:fldCharType="begin"/>
        </w:r>
        <w:r w:rsidR="000A59E4">
          <w:rPr>
            <w:noProof/>
            <w:webHidden/>
          </w:rPr>
          <w:instrText xml:space="preserve"> PAGEREF _Toc401563544 \h </w:instrText>
        </w:r>
        <w:r w:rsidR="000A59E4">
          <w:rPr>
            <w:noProof/>
            <w:webHidden/>
          </w:rPr>
        </w:r>
        <w:r w:rsidR="000A59E4">
          <w:rPr>
            <w:noProof/>
            <w:webHidden/>
          </w:rPr>
          <w:fldChar w:fldCharType="separate"/>
        </w:r>
        <w:r w:rsidR="00026EAD">
          <w:rPr>
            <w:noProof/>
            <w:webHidden/>
          </w:rPr>
          <w:t>29</w:t>
        </w:r>
        <w:r w:rsidR="000A59E4">
          <w:rPr>
            <w:noProof/>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45" w:history="1">
        <w:r w:rsidR="000A59E4" w:rsidRPr="00862C6E">
          <w:rPr>
            <w:rStyle w:val="Hyperlink"/>
            <w:noProof/>
          </w:rPr>
          <w:t>6.5</w:t>
        </w:r>
        <w:r w:rsidR="000A59E4">
          <w:rPr>
            <w:rFonts w:asciiTheme="minorHAnsi" w:eastAsiaTheme="minorEastAsia" w:hAnsiTheme="minorHAnsi" w:cstheme="minorBidi"/>
            <w:smallCaps w:val="0"/>
            <w:noProof/>
            <w:sz w:val="22"/>
          </w:rPr>
          <w:tab/>
        </w:r>
        <w:r w:rsidR="000A59E4" w:rsidRPr="00862C6E">
          <w:rPr>
            <w:rStyle w:val="Hyperlink"/>
            <w:noProof/>
          </w:rPr>
          <w:t>Customer Acceptance of an Agreement Invitation</w:t>
        </w:r>
        <w:r w:rsidR="000A59E4">
          <w:rPr>
            <w:noProof/>
            <w:webHidden/>
          </w:rPr>
          <w:tab/>
        </w:r>
        <w:r w:rsidR="000A59E4">
          <w:rPr>
            <w:noProof/>
            <w:webHidden/>
          </w:rPr>
          <w:fldChar w:fldCharType="begin"/>
        </w:r>
        <w:r w:rsidR="000A59E4">
          <w:rPr>
            <w:noProof/>
            <w:webHidden/>
          </w:rPr>
          <w:instrText xml:space="preserve"> PAGEREF _Toc401563545 \h </w:instrText>
        </w:r>
        <w:r w:rsidR="000A59E4">
          <w:rPr>
            <w:noProof/>
            <w:webHidden/>
          </w:rPr>
        </w:r>
        <w:r w:rsidR="000A59E4">
          <w:rPr>
            <w:noProof/>
            <w:webHidden/>
          </w:rPr>
          <w:fldChar w:fldCharType="separate"/>
        </w:r>
        <w:r w:rsidR="00026EAD">
          <w:rPr>
            <w:noProof/>
            <w:webHidden/>
          </w:rPr>
          <w:t>30</w:t>
        </w:r>
        <w:r w:rsidR="000A59E4">
          <w:rPr>
            <w:noProof/>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46" w:history="1">
        <w:r w:rsidR="000A59E4" w:rsidRPr="00862C6E">
          <w:rPr>
            <w:rStyle w:val="Hyperlink"/>
            <w:noProof/>
          </w:rPr>
          <w:t>6.6</w:t>
        </w:r>
        <w:r w:rsidR="000A59E4">
          <w:rPr>
            <w:rFonts w:asciiTheme="minorHAnsi" w:eastAsiaTheme="minorEastAsia" w:hAnsiTheme="minorHAnsi" w:cstheme="minorBidi"/>
            <w:smallCaps w:val="0"/>
            <w:noProof/>
            <w:sz w:val="22"/>
          </w:rPr>
          <w:tab/>
        </w:r>
        <w:r w:rsidR="000A59E4" w:rsidRPr="00862C6E">
          <w:rPr>
            <w:rStyle w:val="Hyperlink"/>
            <w:noProof/>
          </w:rPr>
          <w:t>Customer Rejection of an Agreement Invitation</w:t>
        </w:r>
        <w:r w:rsidR="000A59E4">
          <w:rPr>
            <w:noProof/>
            <w:webHidden/>
          </w:rPr>
          <w:tab/>
        </w:r>
        <w:r w:rsidR="000A59E4">
          <w:rPr>
            <w:noProof/>
            <w:webHidden/>
          </w:rPr>
          <w:fldChar w:fldCharType="begin"/>
        </w:r>
        <w:r w:rsidR="000A59E4">
          <w:rPr>
            <w:noProof/>
            <w:webHidden/>
          </w:rPr>
          <w:instrText xml:space="preserve"> PAGEREF _Toc401563546 \h </w:instrText>
        </w:r>
        <w:r w:rsidR="000A59E4">
          <w:rPr>
            <w:noProof/>
            <w:webHidden/>
          </w:rPr>
        </w:r>
        <w:r w:rsidR="000A59E4">
          <w:rPr>
            <w:noProof/>
            <w:webHidden/>
          </w:rPr>
          <w:fldChar w:fldCharType="separate"/>
        </w:r>
        <w:r w:rsidR="00026EAD">
          <w:rPr>
            <w:noProof/>
            <w:webHidden/>
          </w:rPr>
          <w:t>31</w:t>
        </w:r>
        <w:r w:rsidR="000A59E4">
          <w:rPr>
            <w:noProof/>
            <w:webHidden/>
          </w:rPr>
          <w:fldChar w:fldCharType="end"/>
        </w:r>
      </w:hyperlink>
    </w:p>
    <w:p w:rsidR="000A59E4" w:rsidRPr="00AA6DD5" w:rsidRDefault="00D40631" w:rsidP="00AA6DD5">
      <w:pPr>
        <w:pStyle w:val="TOC1"/>
        <w:rPr>
          <w:rFonts w:asciiTheme="minorHAnsi" w:eastAsiaTheme="minorEastAsia" w:hAnsiTheme="minorHAnsi" w:cstheme="minorBidi"/>
        </w:rPr>
      </w:pPr>
      <w:hyperlink w:anchor="_Toc401563547" w:history="1">
        <w:r w:rsidR="000A59E4" w:rsidRPr="00AA6DD5">
          <w:rPr>
            <w:rStyle w:val="Hyperlink"/>
          </w:rPr>
          <w:t>7</w:t>
        </w:r>
        <w:r w:rsidR="000A59E4" w:rsidRPr="00AA6DD5">
          <w:rPr>
            <w:rFonts w:asciiTheme="minorHAnsi" w:eastAsiaTheme="minorEastAsia" w:hAnsiTheme="minorHAnsi" w:cstheme="minorBidi"/>
          </w:rPr>
          <w:tab/>
        </w:r>
        <w:r w:rsidR="000A59E4" w:rsidRPr="00AA6DD5">
          <w:rPr>
            <w:rStyle w:val="Hyperlink"/>
          </w:rPr>
          <w:t>Agreement Management</w:t>
        </w:r>
        <w:r w:rsidR="000A59E4" w:rsidRPr="00AA6DD5">
          <w:rPr>
            <w:webHidden/>
          </w:rPr>
          <w:tab/>
        </w:r>
        <w:r w:rsidR="000A59E4" w:rsidRPr="00AA6DD5">
          <w:rPr>
            <w:webHidden/>
          </w:rPr>
          <w:fldChar w:fldCharType="begin"/>
        </w:r>
        <w:r w:rsidR="000A59E4" w:rsidRPr="00AA6DD5">
          <w:rPr>
            <w:webHidden/>
          </w:rPr>
          <w:instrText xml:space="preserve"> PAGEREF _Toc401563547 \h </w:instrText>
        </w:r>
        <w:r w:rsidR="000A59E4" w:rsidRPr="00AA6DD5">
          <w:rPr>
            <w:webHidden/>
          </w:rPr>
        </w:r>
        <w:r w:rsidR="000A59E4" w:rsidRPr="00AA6DD5">
          <w:rPr>
            <w:webHidden/>
          </w:rPr>
          <w:fldChar w:fldCharType="separate"/>
        </w:r>
        <w:r w:rsidR="00026EAD">
          <w:rPr>
            <w:webHidden/>
          </w:rPr>
          <w:t>33</w:t>
        </w:r>
        <w:r w:rsidR="000A59E4" w:rsidRPr="00AA6DD5">
          <w:rPr>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48" w:history="1">
        <w:r w:rsidR="000A59E4" w:rsidRPr="00862C6E">
          <w:rPr>
            <w:rStyle w:val="Hyperlink"/>
            <w:noProof/>
          </w:rPr>
          <w:t>7.1</w:t>
        </w:r>
        <w:r w:rsidR="000A59E4">
          <w:rPr>
            <w:rFonts w:asciiTheme="minorHAnsi" w:eastAsiaTheme="minorEastAsia" w:hAnsiTheme="minorHAnsi" w:cstheme="minorBidi"/>
            <w:smallCaps w:val="0"/>
            <w:noProof/>
            <w:sz w:val="22"/>
          </w:rPr>
          <w:tab/>
        </w:r>
        <w:r w:rsidR="000A59E4" w:rsidRPr="00862C6E">
          <w:rPr>
            <w:rStyle w:val="Hyperlink"/>
            <w:noProof/>
          </w:rPr>
          <w:t>Customers</w:t>
        </w:r>
        <w:r w:rsidR="000A59E4">
          <w:rPr>
            <w:noProof/>
            <w:webHidden/>
          </w:rPr>
          <w:tab/>
        </w:r>
        <w:r w:rsidR="000A59E4">
          <w:rPr>
            <w:noProof/>
            <w:webHidden/>
          </w:rPr>
          <w:fldChar w:fldCharType="begin"/>
        </w:r>
        <w:r w:rsidR="000A59E4">
          <w:rPr>
            <w:noProof/>
            <w:webHidden/>
          </w:rPr>
          <w:instrText xml:space="preserve"> PAGEREF _Toc401563548 \h </w:instrText>
        </w:r>
        <w:r w:rsidR="000A59E4">
          <w:rPr>
            <w:noProof/>
            <w:webHidden/>
          </w:rPr>
        </w:r>
        <w:r w:rsidR="000A59E4">
          <w:rPr>
            <w:noProof/>
            <w:webHidden/>
          </w:rPr>
          <w:fldChar w:fldCharType="separate"/>
        </w:r>
        <w:r w:rsidR="00026EAD">
          <w:rPr>
            <w:noProof/>
            <w:webHidden/>
          </w:rPr>
          <w:t>33</w:t>
        </w:r>
        <w:r w:rsidR="000A59E4">
          <w:rPr>
            <w:noProof/>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49" w:history="1">
        <w:r w:rsidR="000A59E4" w:rsidRPr="00862C6E">
          <w:rPr>
            <w:rStyle w:val="Hyperlink"/>
            <w:noProof/>
          </w:rPr>
          <w:t>7.2</w:t>
        </w:r>
        <w:r w:rsidR="000A59E4">
          <w:rPr>
            <w:rFonts w:asciiTheme="minorHAnsi" w:eastAsiaTheme="minorEastAsia" w:hAnsiTheme="minorHAnsi" w:cstheme="minorBidi"/>
            <w:smallCaps w:val="0"/>
            <w:noProof/>
            <w:sz w:val="22"/>
          </w:rPr>
          <w:tab/>
        </w:r>
        <w:r w:rsidR="000A59E4" w:rsidRPr="00862C6E">
          <w:rPr>
            <w:rStyle w:val="Hyperlink"/>
            <w:noProof/>
          </w:rPr>
          <w:t>Third Parties</w:t>
        </w:r>
        <w:r w:rsidR="000A59E4">
          <w:rPr>
            <w:noProof/>
            <w:webHidden/>
          </w:rPr>
          <w:tab/>
        </w:r>
        <w:r w:rsidR="000A59E4">
          <w:rPr>
            <w:noProof/>
            <w:webHidden/>
          </w:rPr>
          <w:fldChar w:fldCharType="begin"/>
        </w:r>
        <w:r w:rsidR="000A59E4">
          <w:rPr>
            <w:noProof/>
            <w:webHidden/>
          </w:rPr>
          <w:instrText xml:space="preserve"> PAGEREF _Toc401563549 \h </w:instrText>
        </w:r>
        <w:r w:rsidR="000A59E4">
          <w:rPr>
            <w:noProof/>
            <w:webHidden/>
          </w:rPr>
        </w:r>
        <w:r w:rsidR="000A59E4">
          <w:rPr>
            <w:noProof/>
            <w:webHidden/>
          </w:rPr>
          <w:fldChar w:fldCharType="separate"/>
        </w:r>
        <w:r w:rsidR="00026EAD">
          <w:rPr>
            <w:noProof/>
            <w:webHidden/>
          </w:rPr>
          <w:t>34</w:t>
        </w:r>
        <w:r w:rsidR="000A59E4">
          <w:rPr>
            <w:noProof/>
            <w:webHidden/>
          </w:rPr>
          <w:fldChar w:fldCharType="end"/>
        </w:r>
      </w:hyperlink>
    </w:p>
    <w:p w:rsidR="000A59E4" w:rsidRDefault="00D40631" w:rsidP="00AA6DD5">
      <w:pPr>
        <w:pStyle w:val="TOC1"/>
        <w:rPr>
          <w:rFonts w:asciiTheme="minorHAnsi" w:eastAsiaTheme="minorEastAsia" w:hAnsiTheme="minorHAnsi" w:cstheme="minorBidi"/>
          <w:sz w:val="22"/>
          <w:szCs w:val="22"/>
        </w:rPr>
      </w:pPr>
      <w:hyperlink w:anchor="_Toc401563550" w:history="1">
        <w:r w:rsidR="000A59E4" w:rsidRPr="00862C6E">
          <w:rPr>
            <w:rStyle w:val="Hyperlink"/>
          </w:rPr>
          <w:t>8</w:t>
        </w:r>
        <w:r w:rsidR="000A59E4">
          <w:rPr>
            <w:rFonts w:asciiTheme="minorHAnsi" w:eastAsiaTheme="minorEastAsia" w:hAnsiTheme="minorHAnsi" w:cstheme="minorBidi"/>
            <w:sz w:val="22"/>
            <w:szCs w:val="22"/>
          </w:rPr>
          <w:tab/>
        </w:r>
        <w:r w:rsidR="000A59E4" w:rsidRPr="00862C6E">
          <w:rPr>
            <w:rStyle w:val="Hyperlink"/>
          </w:rPr>
          <w:t>SMT Interfaces</w:t>
        </w:r>
        <w:r w:rsidR="000A59E4">
          <w:rPr>
            <w:webHidden/>
          </w:rPr>
          <w:tab/>
        </w:r>
        <w:r w:rsidR="000A59E4">
          <w:rPr>
            <w:webHidden/>
          </w:rPr>
          <w:fldChar w:fldCharType="begin"/>
        </w:r>
        <w:r w:rsidR="000A59E4">
          <w:rPr>
            <w:webHidden/>
          </w:rPr>
          <w:instrText xml:space="preserve"> PAGEREF _Toc401563550 \h </w:instrText>
        </w:r>
        <w:r w:rsidR="000A59E4">
          <w:rPr>
            <w:webHidden/>
          </w:rPr>
        </w:r>
        <w:r w:rsidR="000A59E4">
          <w:rPr>
            <w:webHidden/>
          </w:rPr>
          <w:fldChar w:fldCharType="separate"/>
        </w:r>
        <w:r w:rsidR="00026EAD">
          <w:rPr>
            <w:webHidden/>
          </w:rPr>
          <w:t>38</w:t>
        </w:r>
        <w:r w:rsidR="000A59E4">
          <w:rPr>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51" w:history="1">
        <w:r w:rsidR="000A59E4" w:rsidRPr="00862C6E">
          <w:rPr>
            <w:rStyle w:val="Hyperlink"/>
            <w:noProof/>
          </w:rPr>
          <w:t>8.1</w:t>
        </w:r>
        <w:r w:rsidR="000A59E4">
          <w:rPr>
            <w:rFonts w:asciiTheme="minorHAnsi" w:eastAsiaTheme="minorEastAsia" w:hAnsiTheme="minorHAnsi" w:cstheme="minorBidi"/>
            <w:smallCaps w:val="0"/>
            <w:noProof/>
            <w:sz w:val="22"/>
          </w:rPr>
          <w:tab/>
        </w:r>
        <w:r w:rsidR="000A59E4" w:rsidRPr="00862C6E">
          <w:rPr>
            <w:rStyle w:val="Hyperlink"/>
            <w:noProof/>
          </w:rPr>
          <w:t>Web Portal</w:t>
        </w:r>
        <w:r w:rsidR="000A59E4">
          <w:rPr>
            <w:noProof/>
            <w:webHidden/>
          </w:rPr>
          <w:tab/>
        </w:r>
        <w:r w:rsidR="000A59E4">
          <w:rPr>
            <w:noProof/>
            <w:webHidden/>
          </w:rPr>
          <w:fldChar w:fldCharType="begin"/>
        </w:r>
        <w:r w:rsidR="000A59E4">
          <w:rPr>
            <w:noProof/>
            <w:webHidden/>
          </w:rPr>
          <w:instrText xml:space="preserve"> PAGEREF _Toc401563551 \h </w:instrText>
        </w:r>
        <w:r w:rsidR="000A59E4">
          <w:rPr>
            <w:noProof/>
            <w:webHidden/>
          </w:rPr>
        </w:r>
        <w:r w:rsidR="000A59E4">
          <w:rPr>
            <w:noProof/>
            <w:webHidden/>
          </w:rPr>
          <w:fldChar w:fldCharType="separate"/>
        </w:r>
        <w:r w:rsidR="00026EAD">
          <w:rPr>
            <w:noProof/>
            <w:webHidden/>
          </w:rPr>
          <w:t>39</w:t>
        </w:r>
        <w:r w:rsidR="000A59E4">
          <w:rPr>
            <w:noProof/>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52" w:history="1">
        <w:r w:rsidR="000A59E4" w:rsidRPr="00862C6E">
          <w:rPr>
            <w:rStyle w:val="Hyperlink"/>
            <w:noProof/>
          </w:rPr>
          <w:t>8.2</w:t>
        </w:r>
        <w:r w:rsidR="000A59E4">
          <w:rPr>
            <w:rFonts w:asciiTheme="minorHAnsi" w:eastAsiaTheme="minorEastAsia" w:hAnsiTheme="minorHAnsi" w:cstheme="minorBidi"/>
            <w:smallCaps w:val="0"/>
            <w:noProof/>
            <w:sz w:val="22"/>
          </w:rPr>
          <w:tab/>
        </w:r>
        <w:r w:rsidR="000A59E4" w:rsidRPr="00862C6E">
          <w:rPr>
            <w:rStyle w:val="Hyperlink"/>
            <w:noProof/>
          </w:rPr>
          <w:t>FTPS</w:t>
        </w:r>
        <w:r w:rsidR="000A59E4">
          <w:rPr>
            <w:noProof/>
            <w:webHidden/>
          </w:rPr>
          <w:tab/>
        </w:r>
        <w:r w:rsidR="000A59E4">
          <w:rPr>
            <w:noProof/>
            <w:webHidden/>
          </w:rPr>
          <w:fldChar w:fldCharType="begin"/>
        </w:r>
        <w:r w:rsidR="000A59E4">
          <w:rPr>
            <w:noProof/>
            <w:webHidden/>
          </w:rPr>
          <w:instrText xml:space="preserve"> PAGEREF _Toc401563552 \h </w:instrText>
        </w:r>
        <w:r w:rsidR="000A59E4">
          <w:rPr>
            <w:noProof/>
            <w:webHidden/>
          </w:rPr>
        </w:r>
        <w:r w:rsidR="000A59E4">
          <w:rPr>
            <w:noProof/>
            <w:webHidden/>
          </w:rPr>
          <w:fldChar w:fldCharType="separate"/>
        </w:r>
        <w:r w:rsidR="00026EAD">
          <w:rPr>
            <w:noProof/>
            <w:webHidden/>
          </w:rPr>
          <w:t>39</w:t>
        </w:r>
        <w:r w:rsidR="000A59E4">
          <w:rPr>
            <w:noProof/>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53" w:history="1">
        <w:r w:rsidR="000A59E4" w:rsidRPr="00862C6E">
          <w:rPr>
            <w:rStyle w:val="Hyperlink"/>
            <w:noProof/>
          </w:rPr>
          <w:t>8.3</w:t>
        </w:r>
        <w:r w:rsidR="000A59E4">
          <w:rPr>
            <w:rFonts w:asciiTheme="minorHAnsi" w:eastAsiaTheme="minorEastAsia" w:hAnsiTheme="minorHAnsi" w:cstheme="minorBidi"/>
            <w:smallCaps w:val="0"/>
            <w:noProof/>
            <w:sz w:val="22"/>
          </w:rPr>
          <w:tab/>
        </w:r>
        <w:r w:rsidR="000A59E4" w:rsidRPr="00862C6E">
          <w:rPr>
            <w:rStyle w:val="Hyperlink"/>
            <w:noProof/>
          </w:rPr>
          <w:t>API</w:t>
        </w:r>
        <w:r w:rsidR="000A59E4">
          <w:rPr>
            <w:noProof/>
            <w:webHidden/>
          </w:rPr>
          <w:tab/>
        </w:r>
        <w:r w:rsidR="000A59E4">
          <w:rPr>
            <w:noProof/>
            <w:webHidden/>
          </w:rPr>
          <w:fldChar w:fldCharType="begin"/>
        </w:r>
        <w:r w:rsidR="000A59E4">
          <w:rPr>
            <w:noProof/>
            <w:webHidden/>
          </w:rPr>
          <w:instrText xml:space="preserve"> PAGEREF _Toc401563553 \h </w:instrText>
        </w:r>
        <w:r w:rsidR="000A59E4">
          <w:rPr>
            <w:noProof/>
            <w:webHidden/>
          </w:rPr>
        </w:r>
        <w:r w:rsidR="000A59E4">
          <w:rPr>
            <w:noProof/>
            <w:webHidden/>
          </w:rPr>
          <w:fldChar w:fldCharType="separate"/>
        </w:r>
        <w:r w:rsidR="00026EAD">
          <w:rPr>
            <w:noProof/>
            <w:webHidden/>
          </w:rPr>
          <w:t>40</w:t>
        </w:r>
        <w:r w:rsidR="000A59E4">
          <w:rPr>
            <w:noProof/>
            <w:webHidden/>
          </w:rPr>
          <w:fldChar w:fldCharType="end"/>
        </w:r>
      </w:hyperlink>
    </w:p>
    <w:p w:rsidR="000A59E4" w:rsidRDefault="00D40631" w:rsidP="00AA6DD5">
      <w:pPr>
        <w:pStyle w:val="TOC1"/>
        <w:rPr>
          <w:rFonts w:asciiTheme="minorHAnsi" w:eastAsiaTheme="minorEastAsia" w:hAnsiTheme="minorHAnsi" w:cstheme="minorBidi"/>
          <w:sz w:val="22"/>
          <w:szCs w:val="22"/>
        </w:rPr>
      </w:pPr>
      <w:hyperlink w:anchor="_Toc401563554" w:history="1">
        <w:r w:rsidR="000A59E4" w:rsidRPr="00862C6E">
          <w:rPr>
            <w:rStyle w:val="Hyperlink"/>
          </w:rPr>
          <w:t>9</w:t>
        </w:r>
        <w:r w:rsidR="000A59E4">
          <w:rPr>
            <w:rFonts w:asciiTheme="minorHAnsi" w:eastAsiaTheme="minorEastAsia" w:hAnsiTheme="minorHAnsi" w:cstheme="minorBidi"/>
            <w:sz w:val="22"/>
            <w:szCs w:val="22"/>
          </w:rPr>
          <w:tab/>
        </w:r>
        <w:r w:rsidR="000A59E4" w:rsidRPr="00862C6E">
          <w:rPr>
            <w:rStyle w:val="Hyperlink"/>
          </w:rPr>
          <w:t>Help and Guides</w:t>
        </w:r>
        <w:r w:rsidR="000A59E4">
          <w:rPr>
            <w:webHidden/>
          </w:rPr>
          <w:tab/>
        </w:r>
        <w:r w:rsidR="000A59E4">
          <w:rPr>
            <w:webHidden/>
          </w:rPr>
          <w:fldChar w:fldCharType="begin"/>
        </w:r>
        <w:r w:rsidR="000A59E4">
          <w:rPr>
            <w:webHidden/>
          </w:rPr>
          <w:instrText xml:space="preserve"> PAGEREF _Toc401563554 \h </w:instrText>
        </w:r>
        <w:r w:rsidR="000A59E4">
          <w:rPr>
            <w:webHidden/>
          </w:rPr>
        </w:r>
        <w:r w:rsidR="000A59E4">
          <w:rPr>
            <w:webHidden/>
          </w:rPr>
          <w:fldChar w:fldCharType="separate"/>
        </w:r>
        <w:r w:rsidR="00026EAD">
          <w:rPr>
            <w:webHidden/>
          </w:rPr>
          <w:t>41</w:t>
        </w:r>
        <w:r w:rsidR="000A59E4">
          <w:rPr>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55" w:history="1">
        <w:r w:rsidR="000A59E4" w:rsidRPr="00862C6E">
          <w:rPr>
            <w:rStyle w:val="Hyperlink"/>
            <w:noProof/>
          </w:rPr>
          <w:t>9.1</w:t>
        </w:r>
        <w:r w:rsidR="000A59E4">
          <w:rPr>
            <w:rFonts w:asciiTheme="minorHAnsi" w:eastAsiaTheme="minorEastAsia" w:hAnsiTheme="minorHAnsi" w:cstheme="minorBidi"/>
            <w:smallCaps w:val="0"/>
            <w:noProof/>
            <w:sz w:val="22"/>
          </w:rPr>
          <w:tab/>
        </w:r>
        <w:r w:rsidR="000A59E4" w:rsidRPr="00862C6E">
          <w:rPr>
            <w:rStyle w:val="Hyperlink"/>
            <w:noProof/>
          </w:rPr>
          <w:t>SMT Help Features</w:t>
        </w:r>
        <w:r w:rsidR="000A59E4">
          <w:rPr>
            <w:noProof/>
            <w:webHidden/>
          </w:rPr>
          <w:tab/>
        </w:r>
        <w:r w:rsidR="000A59E4">
          <w:rPr>
            <w:noProof/>
            <w:webHidden/>
          </w:rPr>
          <w:fldChar w:fldCharType="begin"/>
        </w:r>
        <w:r w:rsidR="000A59E4">
          <w:rPr>
            <w:noProof/>
            <w:webHidden/>
          </w:rPr>
          <w:instrText xml:space="preserve"> PAGEREF _Toc401563555 \h </w:instrText>
        </w:r>
        <w:r w:rsidR="000A59E4">
          <w:rPr>
            <w:noProof/>
            <w:webHidden/>
          </w:rPr>
        </w:r>
        <w:r w:rsidR="000A59E4">
          <w:rPr>
            <w:noProof/>
            <w:webHidden/>
          </w:rPr>
          <w:fldChar w:fldCharType="separate"/>
        </w:r>
        <w:r w:rsidR="00026EAD">
          <w:rPr>
            <w:noProof/>
            <w:webHidden/>
          </w:rPr>
          <w:t>41</w:t>
        </w:r>
        <w:r w:rsidR="000A59E4">
          <w:rPr>
            <w:noProof/>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56" w:history="1">
        <w:r w:rsidR="000A59E4" w:rsidRPr="00862C6E">
          <w:rPr>
            <w:rStyle w:val="Hyperlink"/>
            <w:noProof/>
          </w:rPr>
          <w:t>9.2</w:t>
        </w:r>
        <w:r w:rsidR="000A59E4">
          <w:rPr>
            <w:rFonts w:asciiTheme="minorHAnsi" w:eastAsiaTheme="minorEastAsia" w:hAnsiTheme="minorHAnsi" w:cstheme="minorBidi"/>
            <w:smallCaps w:val="0"/>
            <w:noProof/>
            <w:sz w:val="22"/>
          </w:rPr>
          <w:tab/>
        </w:r>
        <w:r w:rsidR="000A59E4" w:rsidRPr="00862C6E">
          <w:rPr>
            <w:rStyle w:val="Hyperlink"/>
            <w:noProof/>
          </w:rPr>
          <w:t>Guides</w:t>
        </w:r>
        <w:r w:rsidR="000A59E4">
          <w:rPr>
            <w:noProof/>
            <w:webHidden/>
          </w:rPr>
          <w:tab/>
        </w:r>
        <w:r w:rsidR="000A59E4">
          <w:rPr>
            <w:noProof/>
            <w:webHidden/>
          </w:rPr>
          <w:fldChar w:fldCharType="begin"/>
        </w:r>
        <w:r w:rsidR="000A59E4">
          <w:rPr>
            <w:noProof/>
            <w:webHidden/>
          </w:rPr>
          <w:instrText xml:space="preserve"> PAGEREF _Toc401563556 \h </w:instrText>
        </w:r>
        <w:r w:rsidR="000A59E4">
          <w:rPr>
            <w:noProof/>
            <w:webHidden/>
          </w:rPr>
        </w:r>
        <w:r w:rsidR="000A59E4">
          <w:rPr>
            <w:noProof/>
            <w:webHidden/>
          </w:rPr>
          <w:fldChar w:fldCharType="separate"/>
        </w:r>
        <w:r w:rsidR="00026EAD">
          <w:rPr>
            <w:noProof/>
            <w:webHidden/>
          </w:rPr>
          <w:t>41</w:t>
        </w:r>
        <w:r w:rsidR="000A59E4">
          <w:rPr>
            <w:noProof/>
            <w:webHidden/>
          </w:rPr>
          <w:fldChar w:fldCharType="end"/>
        </w:r>
      </w:hyperlink>
    </w:p>
    <w:p w:rsidR="000A59E4" w:rsidRDefault="00D40631" w:rsidP="00AA6DD5">
      <w:pPr>
        <w:pStyle w:val="TOC1"/>
        <w:rPr>
          <w:rFonts w:asciiTheme="minorHAnsi" w:eastAsiaTheme="minorEastAsia" w:hAnsiTheme="minorHAnsi" w:cstheme="minorBidi"/>
          <w:sz w:val="22"/>
          <w:szCs w:val="22"/>
        </w:rPr>
      </w:pPr>
      <w:hyperlink w:anchor="_Toc401563557" w:history="1">
        <w:r w:rsidR="000A59E4" w:rsidRPr="00862C6E">
          <w:rPr>
            <w:rStyle w:val="Hyperlink"/>
          </w:rPr>
          <w:t>10</w:t>
        </w:r>
        <w:r w:rsidR="000A59E4">
          <w:rPr>
            <w:rFonts w:asciiTheme="minorHAnsi" w:eastAsiaTheme="minorEastAsia" w:hAnsiTheme="minorHAnsi" w:cstheme="minorBidi"/>
            <w:sz w:val="22"/>
            <w:szCs w:val="22"/>
          </w:rPr>
          <w:tab/>
        </w:r>
        <w:r w:rsidR="000A59E4" w:rsidRPr="00862C6E">
          <w:rPr>
            <w:rStyle w:val="Hyperlink"/>
          </w:rPr>
          <w:t>Use of Industry Standards</w:t>
        </w:r>
        <w:r w:rsidR="000A59E4">
          <w:rPr>
            <w:webHidden/>
          </w:rPr>
          <w:tab/>
        </w:r>
        <w:r w:rsidR="000A59E4">
          <w:rPr>
            <w:webHidden/>
          </w:rPr>
          <w:fldChar w:fldCharType="begin"/>
        </w:r>
        <w:r w:rsidR="000A59E4">
          <w:rPr>
            <w:webHidden/>
          </w:rPr>
          <w:instrText xml:space="preserve"> PAGEREF _Toc401563557 \h </w:instrText>
        </w:r>
        <w:r w:rsidR="000A59E4">
          <w:rPr>
            <w:webHidden/>
          </w:rPr>
        </w:r>
        <w:r w:rsidR="000A59E4">
          <w:rPr>
            <w:webHidden/>
          </w:rPr>
          <w:fldChar w:fldCharType="separate"/>
        </w:r>
        <w:r w:rsidR="00026EAD">
          <w:rPr>
            <w:webHidden/>
          </w:rPr>
          <w:t>42</w:t>
        </w:r>
        <w:r w:rsidR="000A59E4">
          <w:rPr>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58" w:history="1">
        <w:r w:rsidR="000A59E4" w:rsidRPr="00862C6E">
          <w:rPr>
            <w:rStyle w:val="Hyperlink"/>
            <w:noProof/>
          </w:rPr>
          <w:t>10.1</w:t>
        </w:r>
        <w:r w:rsidR="000A59E4">
          <w:rPr>
            <w:rFonts w:asciiTheme="minorHAnsi" w:eastAsiaTheme="minorEastAsia" w:hAnsiTheme="minorHAnsi" w:cstheme="minorBidi"/>
            <w:smallCaps w:val="0"/>
            <w:noProof/>
            <w:sz w:val="22"/>
          </w:rPr>
          <w:tab/>
        </w:r>
        <w:r w:rsidR="000A59E4" w:rsidRPr="00862C6E">
          <w:rPr>
            <w:rStyle w:val="Hyperlink"/>
            <w:noProof/>
          </w:rPr>
          <w:t>Green Button Initiative</w:t>
        </w:r>
        <w:r w:rsidR="000A59E4">
          <w:rPr>
            <w:noProof/>
            <w:webHidden/>
          </w:rPr>
          <w:tab/>
        </w:r>
        <w:r w:rsidR="000A59E4">
          <w:rPr>
            <w:noProof/>
            <w:webHidden/>
          </w:rPr>
          <w:fldChar w:fldCharType="begin"/>
        </w:r>
        <w:r w:rsidR="000A59E4">
          <w:rPr>
            <w:noProof/>
            <w:webHidden/>
          </w:rPr>
          <w:instrText xml:space="preserve"> PAGEREF _Toc401563558 \h </w:instrText>
        </w:r>
        <w:r w:rsidR="000A59E4">
          <w:rPr>
            <w:noProof/>
            <w:webHidden/>
          </w:rPr>
        </w:r>
        <w:r w:rsidR="000A59E4">
          <w:rPr>
            <w:noProof/>
            <w:webHidden/>
          </w:rPr>
          <w:fldChar w:fldCharType="separate"/>
        </w:r>
        <w:r w:rsidR="00026EAD">
          <w:rPr>
            <w:noProof/>
            <w:webHidden/>
          </w:rPr>
          <w:t>42</w:t>
        </w:r>
        <w:r w:rsidR="000A59E4">
          <w:rPr>
            <w:noProof/>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59" w:history="1">
        <w:r w:rsidR="000A59E4" w:rsidRPr="00862C6E">
          <w:rPr>
            <w:rStyle w:val="Hyperlink"/>
            <w:noProof/>
          </w:rPr>
          <w:t>10.2</w:t>
        </w:r>
        <w:r w:rsidR="000A59E4">
          <w:rPr>
            <w:rFonts w:asciiTheme="minorHAnsi" w:eastAsiaTheme="minorEastAsia" w:hAnsiTheme="minorHAnsi" w:cstheme="minorBidi"/>
            <w:smallCaps w:val="0"/>
            <w:noProof/>
            <w:sz w:val="22"/>
          </w:rPr>
          <w:tab/>
        </w:r>
        <w:r w:rsidR="000A59E4" w:rsidRPr="00862C6E">
          <w:rPr>
            <w:rStyle w:val="Hyperlink"/>
            <w:noProof/>
          </w:rPr>
          <w:t>ZigBee Smart Energy Profile</w:t>
        </w:r>
        <w:r w:rsidR="000A59E4">
          <w:rPr>
            <w:noProof/>
            <w:webHidden/>
          </w:rPr>
          <w:tab/>
        </w:r>
        <w:r w:rsidR="000A59E4">
          <w:rPr>
            <w:noProof/>
            <w:webHidden/>
          </w:rPr>
          <w:fldChar w:fldCharType="begin"/>
        </w:r>
        <w:r w:rsidR="000A59E4">
          <w:rPr>
            <w:noProof/>
            <w:webHidden/>
          </w:rPr>
          <w:instrText xml:space="preserve"> PAGEREF _Toc401563559 \h </w:instrText>
        </w:r>
        <w:r w:rsidR="000A59E4">
          <w:rPr>
            <w:noProof/>
            <w:webHidden/>
          </w:rPr>
        </w:r>
        <w:r w:rsidR="000A59E4">
          <w:rPr>
            <w:noProof/>
            <w:webHidden/>
          </w:rPr>
          <w:fldChar w:fldCharType="separate"/>
        </w:r>
        <w:r w:rsidR="00026EAD">
          <w:rPr>
            <w:noProof/>
            <w:webHidden/>
          </w:rPr>
          <w:t>42</w:t>
        </w:r>
        <w:r w:rsidR="000A59E4">
          <w:rPr>
            <w:noProof/>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60" w:history="1">
        <w:r w:rsidR="000A59E4" w:rsidRPr="00862C6E">
          <w:rPr>
            <w:rStyle w:val="Hyperlink"/>
            <w:noProof/>
          </w:rPr>
          <w:t>10.3</w:t>
        </w:r>
        <w:r w:rsidR="000A59E4">
          <w:rPr>
            <w:rFonts w:asciiTheme="minorHAnsi" w:eastAsiaTheme="minorEastAsia" w:hAnsiTheme="minorHAnsi" w:cstheme="minorBidi"/>
            <w:smallCaps w:val="0"/>
            <w:noProof/>
            <w:sz w:val="22"/>
          </w:rPr>
          <w:tab/>
        </w:r>
        <w:r w:rsidR="000A59E4" w:rsidRPr="00862C6E">
          <w:rPr>
            <w:rStyle w:val="Hyperlink"/>
            <w:noProof/>
          </w:rPr>
          <w:t>UCAIug Home Area Network System Requirements Specification</w:t>
        </w:r>
        <w:r w:rsidR="000A59E4">
          <w:rPr>
            <w:noProof/>
            <w:webHidden/>
          </w:rPr>
          <w:tab/>
        </w:r>
        <w:r w:rsidR="000A59E4">
          <w:rPr>
            <w:noProof/>
            <w:webHidden/>
          </w:rPr>
          <w:fldChar w:fldCharType="begin"/>
        </w:r>
        <w:r w:rsidR="000A59E4">
          <w:rPr>
            <w:noProof/>
            <w:webHidden/>
          </w:rPr>
          <w:instrText xml:space="preserve"> PAGEREF _Toc401563560 \h </w:instrText>
        </w:r>
        <w:r w:rsidR="000A59E4">
          <w:rPr>
            <w:noProof/>
            <w:webHidden/>
          </w:rPr>
        </w:r>
        <w:r w:rsidR="000A59E4">
          <w:rPr>
            <w:noProof/>
            <w:webHidden/>
          </w:rPr>
          <w:fldChar w:fldCharType="separate"/>
        </w:r>
        <w:r w:rsidR="00026EAD">
          <w:rPr>
            <w:noProof/>
            <w:webHidden/>
          </w:rPr>
          <w:t>43</w:t>
        </w:r>
        <w:r w:rsidR="000A59E4">
          <w:rPr>
            <w:noProof/>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61" w:history="1">
        <w:r w:rsidR="000A59E4" w:rsidRPr="00862C6E">
          <w:rPr>
            <w:rStyle w:val="Hyperlink"/>
            <w:noProof/>
          </w:rPr>
          <w:t>10.4</w:t>
        </w:r>
        <w:r w:rsidR="000A59E4">
          <w:rPr>
            <w:rFonts w:asciiTheme="minorHAnsi" w:eastAsiaTheme="minorEastAsia" w:hAnsiTheme="minorHAnsi" w:cstheme="minorBidi"/>
            <w:smallCaps w:val="0"/>
            <w:noProof/>
            <w:sz w:val="22"/>
          </w:rPr>
          <w:tab/>
        </w:r>
        <w:r w:rsidR="000A59E4" w:rsidRPr="00862C6E">
          <w:rPr>
            <w:rStyle w:val="Hyperlink"/>
            <w:noProof/>
          </w:rPr>
          <w:t>NAESB Third Party Access to Smart Meter-based Information</w:t>
        </w:r>
        <w:r w:rsidR="000A59E4">
          <w:rPr>
            <w:noProof/>
            <w:webHidden/>
          </w:rPr>
          <w:tab/>
        </w:r>
        <w:r w:rsidR="000A59E4">
          <w:rPr>
            <w:noProof/>
            <w:webHidden/>
          </w:rPr>
          <w:fldChar w:fldCharType="begin"/>
        </w:r>
        <w:r w:rsidR="000A59E4">
          <w:rPr>
            <w:noProof/>
            <w:webHidden/>
          </w:rPr>
          <w:instrText xml:space="preserve"> PAGEREF _Toc401563561 \h </w:instrText>
        </w:r>
        <w:r w:rsidR="000A59E4">
          <w:rPr>
            <w:noProof/>
            <w:webHidden/>
          </w:rPr>
        </w:r>
        <w:r w:rsidR="000A59E4">
          <w:rPr>
            <w:noProof/>
            <w:webHidden/>
          </w:rPr>
          <w:fldChar w:fldCharType="separate"/>
        </w:r>
        <w:r w:rsidR="00026EAD">
          <w:rPr>
            <w:noProof/>
            <w:webHidden/>
          </w:rPr>
          <w:t>43</w:t>
        </w:r>
        <w:r w:rsidR="000A59E4">
          <w:rPr>
            <w:noProof/>
            <w:webHidden/>
          </w:rPr>
          <w:fldChar w:fldCharType="end"/>
        </w:r>
      </w:hyperlink>
    </w:p>
    <w:p w:rsidR="000A59E4" w:rsidRDefault="00D40631" w:rsidP="00AA6DD5">
      <w:pPr>
        <w:pStyle w:val="TOC1"/>
        <w:rPr>
          <w:rFonts w:asciiTheme="minorHAnsi" w:eastAsiaTheme="minorEastAsia" w:hAnsiTheme="minorHAnsi" w:cstheme="minorBidi"/>
          <w:sz w:val="22"/>
          <w:szCs w:val="22"/>
        </w:rPr>
      </w:pPr>
      <w:hyperlink w:anchor="_Toc401563562" w:history="1">
        <w:r w:rsidR="000A59E4" w:rsidRPr="00862C6E">
          <w:rPr>
            <w:rStyle w:val="Hyperlink"/>
          </w:rPr>
          <w:t>11</w:t>
        </w:r>
        <w:r w:rsidR="000A59E4">
          <w:rPr>
            <w:rFonts w:asciiTheme="minorHAnsi" w:eastAsiaTheme="minorEastAsia" w:hAnsiTheme="minorHAnsi" w:cstheme="minorBidi"/>
            <w:sz w:val="22"/>
            <w:szCs w:val="22"/>
          </w:rPr>
          <w:tab/>
        </w:r>
        <w:r w:rsidR="000A59E4" w:rsidRPr="00862C6E">
          <w:rPr>
            <w:rStyle w:val="Hyperlink"/>
          </w:rPr>
          <w:t>Acronyms and Definitions</w:t>
        </w:r>
        <w:r w:rsidR="000A59E4">
          <w:rPr>
            <w:webHidden/>
          </w:rPr>
          <w:tab/>
        </w:r>
        <w:r w:rsidR="000A59E4">
          <w:rPr>
            <w:webHidden/>
          </w:rPr>
          <w:fldChar w:fldCharType="begin"/>
        </w:r>
        <w:r w:rsidR="000A59E4">
          <w:rPr>
            <w:webHidden/>
          </w:rPr>
          <w:instrText xml:space="preserve"> PAGEREF _Toc401563562 \h </w:instrText>
        </w:r>
        <w:r w:rsidR="000A59E4">
          <w:rPr>
            <w:webHidden/>
          </w:rPr>
        </w:r>
        <w:r w:rsidR="000A59E4">
          <w:rPr>
            <w:webHidden/>
          </w:rPr>
          <w:fldChar w:fldCharType="separate"/>
        </w:r>
        <w:r w:rsidR="00026EAD">
          <w:rPr>
            <w:webHidden/>
          </w:rPr>
          <w:t>48</w:t>
        </w:r>
        <w:r w:rsidR="000A59E4">
          <w:rPr>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63" w:history="1">
        <w:r w:rsidR="000A59E4" w:rsidRPr="00862C6E">
          <w:rPr>
            <w:rStyle w:val="Hyperlink"/>
            <w:noProof/>
          </w:rPr>
          <w:t>11.1</w:t>
        </w:r>
        <w:r w:rsidR="000A59E4">
          <w:rPr>
            <w:rFonts w:asciiTheme="minorHAnsi" w:eastAsiaTheme="minorEastAsia" w:hAnsiTheme="minorHAnsi" w:cstheme="minorBidi"/>
            <w:smallCaps w:val="0"/>
            <w:noProof/>
            <w:sz w:val="22"/>
          </w:rPr>
          <w:tab/>
        </w:r>
        <w:r w:rsidR="000A59E4" w:rsidRPr="00862C6E">
          <w:rPr>
            <w:rStyle w:val="Hyperlink"/>
            <w:noProof/>
          </w:rPr>
          <w:t>Acronyms</w:t>
        </w:r>
        <w:r w:rsidR="000A59E4">
          <w:rPr>
            <w:noProof/>
            <w:webHidden/>
          </w:rPr>
          <w:tab/>
        </w:r>
        <w:r w:rsidR="000A59E4">
          <w:rPr>
            <w:noProof/>
            <w:webHidden/>
          </w:rPr>
          <w:fldChar w:fldCharType="begin"/>
        </w:r>
        <w:r w:rsidR="000A59E4">
          <w:rPr>
            <w:noProof/>
            <w:webHidden/>
          </w:rPr>
          <w:instrText xml:space="preserve"> PAGEREF _Toc401563563 \h </w:instrText>
        </w:r>
        <w:r w:rsidR="000A59E4">
          <w:rPr>
            <w:noProof/>
            <w:webHidden/>
          </w:rPr>
        </w:r>
        <w:r w:rsidR="000A59E4">
          <w:rPr>
            <w:noProof/>
            <w:webHidden/>
          </w:rPr>
          <w:fldChar w:fldCharType="separate"/>
        </w:r>
        <w:r w:rsidR="00026EAD">
          <w:rPr>
            <w:noProof/>
            <w:webHidden/>
          </w:rPr>
          <w:t>48</w:t>
        </w:r>
        <w:r w:rsidR="000A59E4">
          <w:rPr>
            <w:noProof/>
            <w:webHidden/>
          </w:rPr>
          <w:fldChar w:fldCharType="end"/>
        </w:r>
      </w:hyperlink>
    </w:p>
    <w:p w:rsidR="000A59E4" w:rsidRDefault="00D40631">
      <w:pPr>
        <w:pStyle w:val="TOC2"/>
        <w:rPr>
          <w:rFonts w:asciiTheme="minorHAnsi" w:eastAsiaTheme="minorEastAsia" w:hAnsiTheme="minorHAnsi" w:cstheme="minorBidi"/>
          <w:smallCaps w:val="0"/>
          <w:noProof/>
          <w:sz w:val="22"/>
        </w:rPr>
      </w:pPr>
      <w:hyperlink w:anchor="_Toc401563564" w:history="1">
        <w:r w:rsidR="000A59E4" w:rsidRPr="00862C6E">
          <w:rPr>
            <w:rStyle w:val="Hyperlink"/>
            <w:noProof/>
          </w:rPr>
          <w:t>11.2</w:t>
        </w:r>
        <w:r w:rsidR="000A59E4">
          <w:rPr>
            <w:rFonts w:asciiTheme="minorHAnsi" w:eastAsiaTheme="minorEastAsia" w:hAnsiTheme="minorHAnsi" w:cstheme="minorBidi"/>
            <w:smallCaps w:val="0"/>
            <w:noProof/>
            <w:sz w:val="22"/>
          </w:rPr>
          <w:tab/>
        </w:r>
        <w:r w:rsidR="000A59E4" w:rsidRPr="00862C6E">
          <w:rPr>
            <w:rStyle w:val="Hyperlink"/>
            <w:noProof/>
          </w:rPr>
          <w:t>Definitions</w:t>
        </w:r>
        <w:r w:rsidR="000A59E4">
          <w:rPr>
            <w:noProof/>
            <w:webHidden/>
          </w:rPr>
          <w:tab/>
        </w:r>
        <w:r w:rsidR="000A59E4">
          <w:rPr>
            <w:noProof/>
            <w:webHidden/>
          </w:rPr>
          <w:fldChar w:fldCharType="begin"/>
        </w:r>
        <w:r w:rsidR="000A59E4">
          <w:rPr>
            <w:noProof/>
            <w:webHidden/>
          </w:rPr>
          <w:instrText xml:space="preserve"> PAGEREF _Toc401563564 \h </w:instrText>
        </w:r>
        <w:r w:rsidR="000A59E4">
          <w:rPr>
            <w:noProof/>
            <w:webHidden/>
          </w:rPr>
        </w:r>
        <w:r w:rsidR="000A59E4">
          <w:rPr>
            <w:noProof/>
            <w:webHidden/>
          </w:rPr>
          <w:fldChar w:fldCharType="separate"/>
        </w:r>
        <w:r w:rsidR="00026EAD">
          <w:rPr>
            <w:noProof/>
            <w:webHidden/>
          </w:rPr>
          <w:t>49</w:t>
        </w:r>
        <w:r w:rsidR="000A59E4">
          <w:rPr>
            <w:noProof/>
            <w:webHidden/>
          </w:rPr>
          <w:fldChar w:fldCharType="end"/>
        </w:r>
      </w:hyperlink>
    </w:p>
    <w:p w:rsidR="00633EF0" w:rsidRPr="006E14DA" w:rsidRDefault="00CE48DF" w:rsidP="00AA6DD5">
      <w:pPr>
        <w:pStyle w:val="TOC1"/>
      </w:pPr>
      <w:r w:rsidRPr="005C3BCB">
        <w:fldChar w:fldCharType="end"/>
      </w:r>
      <w:r w:rsidR="006E14DA" w:rsidRPr="006E14DA">
        <w:t xml:space="preserve">Table </w:t>
      </w:r>
      <w:r w:rsidR="006E14DA">
        <w:t>o</w:t>
      </w:r>
      <w:r w:rsidR="006E14DA" w:rsidRPr="006E14DA">
        <w:t>f Tables</w:t>
      </w:r>
    </w:p>
    <w:p w:rsidR="00651828" w:rsidRDefault="00CE48DF">
      <w:pPr>
        <w:pStyle w:val="TableofFigures"/>
        <w:tabs>
          <w:tab w:val="right" w:leader="dot" w:pos="9350"/>
        </w:tabs>
        <w:rPr>
          <w:rFonts w:asciiTheme="minorHAnsi" w:eastAsiaTheme="minorEastAsia" w:hAnsiTheme="minorHAnsi" w:cstheme="minorBidi"/>
          <w:noProof/>
          <w:sz w:val="22"/>
        </w:rPr>
      </w:pPr>
      <w:r>
        <w:fldChar w:fldCharType="begin"/>
      </w:r>
      <w:r w:rsidR="00633EF0">
        <w:instrText xml:space="preserve"> TOC \h \z \c "Table" </w:instrText>
      </w:r>
      <w:r>
        <w:fldChar w:fldCharType="separate"/>
      </w:r>
      <w:hyperlink w:anchor="_Toc367210589" w:history="1">
        <w:r w:rsidR="00651828" w:rsidRPr="00813297">
          <w:rPr>
            <w:rStyle w:val="Hyperlink"/>
            <w:noProof/>
          </w:rPr>
          <w:t>Table 1: Third Party Use Cases</w:t>
        </w:r>
        <w:r w:rsidR="00651828">
          <w:rPr>
            <w:noProof/>
            <w:webHidden/>
          </w:rPr>
          <w:tab/>
        </w:r>
        <w:r>
          <w:rPr>
            <w:noProof/>
            <w:webHidden/>
          </w:rPr>
          <w:fldChar w:fldCharType="begin"/>
        </w:r>
        <w:r w:rsidR="00651828">
          <w:rPr>
            <w:noProof/>
            <w:webHidden/>
          </w:rPr>
          <w:instrText xml:space="preserve"> PAGEREF _Toc367210589 \h </w:instrText>
        </w:r>
        <w:r>
          <w:rPr>
            <w:noProof/>
            <w:webHidden/>
          </w:rPr>
        </w:r>
        <w:r>
          <w:rPr>
            <w:noProof/>
            <w:webHidden/>
          </w:rPr>
          <w:fldChar w:fldCharType="separate"/>
        </w:r>
        <w:r w:rsidR="00026EAD">
          <w:rPr>
            <w:noProof/>
            <w:webHidden/>
          </w:rPr>
          <w:t>20</w:t>
        </w:r>
        <w:r>
          <w:rPr>
            <w:noProof/>
            <w:webHidden/>
          </w:rPr>
          <w:fldChar w:fldCharType="end"/>
        </w:r>
      </w:hyperlink>
    </w:p>
    <w:p w:rsidR="00651828" w:rsidRDefault="00D40631">
      <w:pPr>
        <w:pStyle w:val="TableofFigures"/>
        <w:tabs>
          <w:tab w:val="right" w:leader="dot" w:pos="9350"/>
        </w:tabs>
        <w:rPr>
          <w:rFonts w:asciiTheme="minorHAnsi" w:eastAsiaTheme="minorEastAsia" w:hAnsiTheme="minorHAnsi" w:cstheme="minorBidi"/>
          <w:noProof/>
          <w:sz w:val="22"/>
        </w:rPr>
      </w:pPr>
      <w:hyperlink w:anchor="_Toc367210590" w:history="1">
        <w:r w:rsidR="00651828" w:rsidRPr="00813297">
          <w:rPr>
            <w:rStyle w:val="Hyperlink"/>
            <w:noProof/>
          </w:rPr>
          <w:t>Table 2: Final Storyboards for Third Party Access</w:t>
        </w:r>
        <w:r w:rsidR="00651828">
          <w:rPr>
            <w:noProof/>
            <w:webHidden/>
          </w:rPr>
          <w:tab/>
        </w:r>
        <w:r w:rsidR="00CE48DF">
          <w:rPr>
            <w:noProof/>
            <w:webHidden/>
          </w:rPr>
          <w:fldChar w:fldCharType="begin"/>
        </w:r>
        <w:r w:rsidR="00651828">
          <w:rPr>
            <w:noProof/>
            <w:webHidden/>
          </w:rPr>
          <w:instrText xml:space="preserve"> PAGEREF _Toc367210590 \h </w:instrText>
        </w:r>
        <w:r w:rsidR="00CE48DF">
          <w:rPr>
            <w:noProof/>
            <w:webHidden/>
          </w:rPr>
        </w:r>
        <w:r w:rsidR="00CE48DF">
          <w:rPr>
            <w:noProof/>
            <w:webHidden/>
          </w:rPr>
          <w:fldChar w:fldCharType="separate"/>
        </w:r>
        <w:r w:rsidR="00026EAD">
          <w:rPr>
            <w:noProof/>
            <w:webHidden/>
          </w:rPr>
          <w:t>23</w:t>
        </w:r>
        <w:r w:rsidR="00CE48DF">
          <w:rPr>
            <w:noProof/>
            <w:webHidden/>
          </w:rPr>
          <w:fldChar w:fldCharType="end"/>
        </w:r>
      </w:hyperlink>
    </w:p>
    <w:p w:rsidR="00651828" w:rsidRDefault="00D40631">
      <w:pPr>
        <w:pStyle w:val="TableofFigures"/>
        <w:tabs>
          <w:tab w:val="right" w:leader="dot" w:pos="9350"/>
        </w:tabs>
        <w:rPr>
          <w:rFonts w:asciiTheme="minorHAnsi" w:eastAsiaTheme="minorEastAsia" w:hAnsiTheme="minorHAnsi" w:cstheme="minorBidi"/>
          <w:noProof/>
          <w:sz w:val="22"/>
        </w:rPr>
      </w:pPr>
      <w:hyperlink w:anchor="_Toc367210591" w:history="1">
        <w:r w:rsidR="00651828" w:rsidRPr="00813297">
          <w:rPr>
            <w:rStyle w:val="Hyperlink"/>
            <w:noProof/>
          </w:rPr>
          <w:t>Table 3: Third Party Agreements</w:t>
        </w:r>
        <w:r w:rsidR="00651828">
          <w:rPr>
            <w:noProof/>
            <w:webHidden/>
          </w:rPr>
          <w:tab/>
        </w:r>
        <w:r w:rsidR="00CE48DF">
          <w:rPr>
            <w:noProof/>
            <w:webHidden/>
          </w:rPr>
          <w:fldChar w:fldCharType="begin"/>
        </w:r>
        <w:r w:rsidR="00651828">
          <w:rPr>
            <w:noProof/>
            <w:webHidden/>
          </w:rPr>
          <w:instrText xml:space="preserve"> PAGEREF _Toc367210591 \h </w:instrText>
        </w:r>
        <w:r w:rsidR="00CE48DF">
          <w:rPr>
            <w:noProof/>
            <w:webHidden/>
          </w:rPr>
        </w:r>
        <w:r w:rsidR="00CE48DF">
          <w:rPr>
            <w:noProof/>
            <w:webHidden/>
          </w:rPr>
          <w:fldChar w:fldCharType="separate"/>
        </w:r>
        <w:r w:rsidR="00026EAD">
          <w:rPr>
            <w:noProof/>
            <w:webHidden/>
          </w:rPr>
          <w:t>26</w:t>
        </w:r>
        <w:r w:rsidR="00CE48DF">
          <w:rPr>
            <w:noProof/>
            <w:webHidden/>
          </w:rPr>
          <w:fldChar w:fldCharType="end"/>
        </w:r>
      </w:hyperlink>
    </w:p>
    <w:p w:rsidR="00D640D4" w:rsidRPr="006E14DA" w:rsidRDefault="00CE48DF" w:rsidP="00D640D4">
      <w:pPr>
        <w:rPr>
          <w:rFonts w:ascii="Arial" w:hAnsi="Arial"/>
          <w:b/>
          <w:sz w:val="28"/>
          <w:szCs w:val="28"/>
        </w:rPr>
      </w:pPr>
      <w:r>
        <w:fldChar w:fldCharType="end"/>
      </w:r>
      <w:r w:rsidR="00D640D4" w:rsidRPr="006E14DA">
        <w:rPr>
          <w:rFonts w:ascii="Arial" w:hAnsi="Arial"/>
          <w:b/>
          <w:sz w:val="28"/>
          <w:szCs w:val="28"/>
        </w:rPr>
        <w:t>Table of Figures</w:t>
      </w:r>
    </w:p>
    <w:p w:rsidR="00651828" w:rsidRDefault="00CE48DF">
      <w:pPr>
        <w:pStyle w:val="TableofFigures"/>
        <w:tabs>
          <w:tab w:val="right" w:leader="dot" w:pos="9350"/>
        </w:tabs>
        <w:rPr>
          <w:rFonts w:asciiTheme="minorHAnsi" w:eastAsiaTheme="minorEastAsia" w:hAnsiTheme="minorHAnsi" w:cstheme="minorBidi"/>
          <w:noProof/>
          <w:sz w:val="22"/>
        </w:rPr>
      </w:pPr>
      <w:r>
        <w:fldChar w:fldCharType="begin"/>
      </w:r>
      <w:r w:rsidR="00633EF0">
        <w:instrText xml:space="preserve"> TOC \h \z \c "Figure" </w:instrText>
      </w:r>
      <w:r>
        <w:fldChar w:fldCharType="separate"/>
      </w:r>
      <w:hyperlink w:anchor="_Toc367210595" w:history="1">
        <w:r w:rsidR="00651828" w:rsidRPr="00EF190E">
          <w:rPr>
            <w:rStyle w:val="Hyperlink"/>
            <w:noProof/>
          </w:rPr>
          <w:t>Figure 1: Texas Competitive Market Structure</w:t>
        </w:r>
        <w:r w:rsidR="00651828">
          <w:rPr>
            <w:noProof/>
            <w:webHidden/>
          </w:rPr>
          <w:tab/>
        </w:r>
        <w:r>
          <w:rPr>
            <w:noProof/>
            <w:webHidden/>
          </w:rPr>
          <w:fldChar w:fldCharType="begin"/>
        </w:r>
        <w:r w:rsidR="00651828">
          <w:rPr>
            <w:noProof/>
            <w:webHidden/>
          </w:rPr>
          <w:instrText xml:space="preserve"> PAGEREF _Toc367210595 \h </w:instrText>
        </w:r>
        <w:r>
          <w:rPr>
            <w:noProof/>
            <w:webHidden/>
          </w:rPr>
        </w:r>
        <w:r>
          <w:rPr>
            <w:noProof/>
            <w:webHidden/>
          </w:rPr>
          <w:fldChar w:fldCharType="separate"/>
        </w:r>
        <w:r w:rsidR="00026EAD">
          <w:rPr>
            <w:noProof/>
            <w:webHidden/>
          </w:rPr>
          <w:t>10</w:t>
        </w:r>
        <w:r>
          <w:rPr>
            <w:noProof/>
            <w:webHidden/>
          </w:rPr>
          <w:fldChar w:fldCharType="end"/>
        </w:r>
      </w:hyperlink>
    </w:p>
    <w:p w:rsidR="00651828" w:rsidRDefault="00D40631">
      <w:pPr>
        <w:pStyle w:val="TableofFigures"/>
        <w:tabs>
          <w:tab w:val="right" w:leader="dot" w:pos="9350"/>
        </w:tabs>
        <w:rPr>
          <w:rFonts w:asciiTheme="minorHAnsi" w:eastAsiaTheme="minorEastAsia" w:hAnsiTheme="minorHAnsi" w:cstheme="minorBidi"/>
          <w:noProof/>
          <w:sz w:val="22"/>
        </w:rPr>
      </w:pPr>
      <w:hyperlink w:anchor="_Toc367210596" w:history="1">
        <w:r w:rsidR="00651828" w:rsidRPr="00EF190E">
          <w:rPr>
            <w:rStyle w:val="Hyperlink"/>
            <w:noProof/>
          </w:rPr>
          <w:t>Figure 2: SMT Conceptual Model</w:t>
        </w:r>
        <w:r w:rsidR="00651828">
          <w:rPr>
            <w:noProof/>
            <w:webHidden/>
          </w:rPr>
          <w:tab/>
        </w:r>
        <w:r w:rsidR="00CE48DF">
          <w:rPr>
            <w:noProof/>
            <w:webHidden/>
          </w:rPr>
          <w:fldChar w:fldCharType="begin"/>
        </w:r>
        <w:r w:rsidR="00651828">
          <w:rPr>
            <w:noProof/>
            <w:webHidden/>
          </w:rPr>
          <w:instrText xml:space="preserve"> PAGEREF _Toc367210596 \h </w:instrText>
        </w:r>
        <w:r w:rsidR="00CE48DF">
          <w:rPr>
            <w:noProof/>
            <w:webHidden/>
          </w:rPr>
        </w:r>
        <w:r w:rsidR="00CE48DF">
          <w:rPr>
            <w:noProof/>
            <w:webHidden/>
          </w:rPr>
          <w:fldChar w:fldCharType="separate"/>
        </w:r>
        <w:r w:rsidR="00026EAD">
          <w:rPr>
            <w:noProof/>
            <w:webHidden/>
          </w:rPr>
          <w:t>12</w:t>
        </w:r>
        <w:r w:rsidR="00CE48DF">
          <w:rPr>
            <w:noProof/>
            <w:webHidden/>
          </w:rPr>
          <w:fldChar w:fldCharType="end"/>
        </w:r>
      </w:hyperlink>
    </w:p>
    <w:p w:rsidR="00651828" w:rsidRDefault="00D40631">
      <w:pPr>
        <w:pStyle w:val="TableofFigures"/>
        <w:tabs>
          <w:tab w:val="right" w:leader="dot" w:pos="9350"/>
        </w:tabs>
        <w:rPr>
          <w:rFonts w:asciiTheme="minorHAnsi" w:eastAsiaTheme="minorEastAsia" w:hAnsiTheme="minorHAnsi" w:cstheme="minorBidi"/>
          <w:noProof/>
          <w:sz w:val="22"/>
        </w:rPr>
      </w:pPr>
      <w:hyperlink w:anchor="_Toc367210597" w:history="1">
        <w:r w:rsidR="00651828" w:rsidRPr="00EF190E">
          <w:rPr>
            <w:rStyle w:val="Hyperlink"/>
            <w:noProof/>
          </w:rPr>
          <w:t>Figure 3: Timeline of SMT Releases</w:t>
        </w:r>
        <w:r w:rsidR="00651828">
          <w:rPr>
            <w:noProof/>
            <w:webHidden/>
          </w:rPr>
          <w:tab/>
        </w:r>
        <w:r w:rsidR="00CE48DF">
          <w:rPr>
            <w:noProof/>
            <w:webHidden/>
          </w:rPr>
          <w:fldChar w:fldCharType="begin"/>
        </w:r>
        <w:r w:rsidR="00651828">
          <w:rPr>
            <w:noProof/>
            <w:webHidden/>
          </w:rPr>
          <w:instrText xml:space="preserve"> PAGEREF _Toc367210597 \h </w:instrText>
        </w:r>
        <w:r w:rsidR="00CE48DF">
          <w:rPr>
            <w:noProof/>
            <w:webHidden/>
          </w:rPr>
        </w:r>
        <w:r w:rsidR="00CE48DF">
          <w:rPr>
            <w:noProof/>
            <w:webHidden/>
          </w:rPr>
          <w:fldChar w:fldCharType="separate"/>
        </w:r>
        <w:r w:rsidR="00026EAD">
          <w:rPr>
            <w:noProof/>
            <w:webHidden/>
          </w:rPr>
          <w:t>17</w:t>
        </w:r>
        <w:r w:rsidR="00CE48DF">
          <w:rPr>
            <w:noProof/>
            <w:webHidden/>
          </w:rPr>
          <w:fldChar w:fldCharType="end"/>
        </w:r>
      </w:hyperlink>
    </w:p>
    <w:p w:rsidR="00651828" w:rsidRDefault="00D40631">
      <w:pPr>
        <w:pStyle w:val="TableofFigures"/>
        <w:tabs>
          <w:tab w:val="right" w:leader="dot" w:pos="9350"/>
        </w:tabs>
        <w:rPr>
          <w:rFonts w:asciiTheme="minorHAnsi" w:eastAsiaTheme="minorEastAsia" w:hAnsiTheme="minorHAnsi" w:cstheme="minorBidi"/>
          <w:noProof/>
          <w:sz w:val="22"/>
        </w:rPr>
      </w:pPr>
      <w:hyperlink w:anchor="_Toc367210598" w:history="1">
        <w:r w:rsidR="00651828" w:rsidRPr="00EF190E">
          <w:rPr>
            <w:rStyle w:val="Hyperlink"/>
            <w:noProof/>
          </w:rPr>
          <w:t>Figure 4: Storyboard Example</w:t>
        </w:r>
        <w:r w:rsidR="00651828">
          <w:rPr>
            <w:noProof/>
            <w:webHidden/>
          </w:rPr>
          <w:tab/>
        </w:r>
        <w:r w:rsidR="00CE48DF">
          <w:rPr>
            <w:noProof/>
            <w:webHidden/>
          </w:rPr>
          <w:fldChar w:fldCharType="begin"/>
        </w:r>
        <w:r w:rsidR="00651828">
          <w:rPr>
            <w:noProof/>
            <w:webHidden/>
          </w:rPr>
          <w:instrText xml:space="preserve"> PAGEREF _Toc367210598 \h </w:instrText>
        </w:r>
        <w:r w:rsidR="00CE48DF">
          <w:rPr>
            <w:noProof/>
            <w:webHidden/>
          </w:rPr>
        </w:r>
        <w:r w:rsidR="00CE48DF">
          <w:rPr>
            <w:noProof/>
            <w:webHidden/>
          </w:rPr>
          <w:fldChar w:fldCharType="separate"/>
        </w:r>
        <w:r w:rsidR="00026EAD">
          <w:rPr>
            <w:noProof/>
            <w:webHidden/>
          </w:rPr>
          <w:t>22</w:t>
        </w:r>
        <w:r w:rsidR="00CE48DF">
          <w:rPr>
            <w:noProof/>
            <w:webHidden/>
          </w:rPr>
          <w:fldChar w:fldCharType="end"/>
        </w:r>
      </w:hyperlink>
    </w:p>
    <w:p w:rsidR="00651828" w:rsidRDefault="00D40631">
      <w:pPr>
        <w:pStyle w:val="TableofFigures"/>
        <w:tabs>
          <w:tab w:val="right" w:leader="dot" w:pos="9350"/>
        </w:tabs>
        <w:rPr>
          <w:rFonts w:asciiTheme="minorHAnsi" w:eastAsiaTheme="minorEastAsia" w:hAnsiTheme="minorHAnsi" w:cstheme="minorBidi"/>
          <w:noProof/>
          <w:sz w:val="22"/>
        </w:rPr>
      </w:pPr>
      <w:hyperlink w:anchor="_Toc367210599" w:history="1">
        <w:r w:rsidR="00651828" w:rsidRPr="00EF190E">
          <w:rPr>
            <w:rStyle w:val="Hyperlink"/>
            <w:noProof/>
          </w:rPr>
          <w:t>Figure 5: SMT Home Page for Third Party Registration</w:t>
        </w:r>
        <w:r w:rsidR="00651828">
          <w:rPr>
            <w:noProof/>
            <w:webHidden/>
          </w:rPr>
          <w:tab/>
        </w:r>
        <w:r w:rsidR="00CE48DF">
          <w:rPr>
            <w:noProof/>
            <w:webHidden/>
          </w:rPr>
          <w:fldChar w:fldCharType="begin"/>
        </w:r>
        <w:r w:rsidR="00651828">
          <w:rPr>
            <w:noProof/>
            <w:webHidden/>
          </w:rPr>
          <w:instrText xml:space="preserve"> PAGEREF _Toc367210599 \h </w:instrText>
        </w:r>
        <w:r w:rsidR="00CE48DF">
          <w:rPr>
            <w:noProof/>
            <w:webHidden/>
          </w:rPr>
        </w:r>
        <w:r w:rsidR="00CE48DF">
          <w:rPr>
            <w:noProof/>
            <w:webHidden/>
          </w:rPr>
          <w:fldChar w:fldCharType="separate"/>
        </w:r>
        <w:r w:rsidR="00026EAD">
          <w:rPr>
            <w:noProof/>
            <w:webHidden/>
          </w:rPr>
          <w:t>29</w:t>
        </w:r>
        <w:r w:rsidR="00CE48DF">
          <w:rPr>
            <w:noProof/>
            <w:webHidden/>
          </w:rPr>
          <w:fldChar w:fldCharType="end"/>
        </w:r>
      </w:hyperlink>
    </w:p>
    <w:p w:rsidR="00651828" w:rsidRDefault="00D40631">
      <w:pPr>
        <w:pStyle w:val="TableofFigures"/>
        <w:tabs>
          <w:tab w:val="right" w:leader="dot" w:pos="9350"/>
        </w:tabs>
        <w:rPr>
          <w:rFonts w:asciiTheme="minorHAnsi" w:eastAsiaTheme="minorEastAsia" w:hAnsiTheme="minorHAnsi" w:cstheme="minorBidi"/>
          <w:noProof/>
          <w:sz w:val="22"/>
        </w:rPr>
      </w:pPr>
      <w:hyperlink w:anchor="_Toc367210600" w:history="1">
        <w:r w:rsidR="00651828" w:rsidRPr="00EF190E">
          <w:rPr>
            <w:rStyle w:val="Hyperlink"/>
            <w:noProof/>
          </w:rPr>
          <w:t>Figure 6: Agreement Acceptance Confirmation</w:t>
        </w:r>
        <w:r w:rsidR="00651828">
          <w:rPr>
            <w:noProof/>
            <w:webHidden/>
          </w:rPr>
          <w:tab/>
        </w:r>
        <w:r w:rsidR="00CE48DF">
          <w:rPr>
            <w:noProof/>
            <w:webHidden/>
          </w:rPr>
          <w:fldChar w:fldCharType="begin"/>
        </w:r>
        <w:r w:rsidR="00651828">
          <w:rPr>
            <w:noProof/>
            <w:webHidden/>
          </w:rPr>
          <w:instrText xml:space="preserve"> PAGEREF _Toc367210600 \h </w:instrText>
        </w:r>
        <w:r w:rsidR="00CE48DF">
          <w:rPr>
            <w:noProof/>
            <w:webHidden/>
          </w:rPr>
        </w:r>
        <w:r w:rsidR="00CE48DF">
          <w:rPr>
            <w:noProof/>
            <w:webHidden/>
          </w:rPr>
          <w:fldChar w:fldCharType="separate"/>
        </w:r>
        <w:r w:rsidR="00026EAD">
          <w:rPr>
            <w:noProof/>
            <w:webHidden/>
          </w:rPr>
          <w:t>31</w:t>
        </w:r>
        <w:r w:rsidR="00CE48DF">
          <w:rPr>
            <w:noProof/>
            <w:webHidden/>
          </w:rPr>
          <w:fldChar w:fldCharType="end"/>
        </w:r>
      </w:hyperlink>
    </w:p>
    <w:p w:rsidR="00651828" w:rsidRDefault="00D40631">
      <w:pPr>
        <w:pStyle w:val="TableofFigures"/>
        <w:tabs>
          <w:tab w:val="right" w:leader="dot" w:pos="9350"/>
        </w:tabs>
        <w:rPr>
          <w:rFonts w:asciiTheme="minorHAnsi" w:eastAsiaTheme="minorEastAsia" w:hAnsiTheme="minorHAnsi" w:cstheme="minorBidi"/>
          <w:noProof/>
          <w:sz w:val="22"/>
        </w:rPr>
      </w:pPr>
      <w:hyperlink w:anchor="_Toc367210601" w:history="1">
        <w:r w:rsidR="00651828" w:rsidRPr="00EF190E">
          <w:rPr>
            <w:rStyle w:val="Hyperlink"/>
            <w:noProof/>
          </w:rPr>
          <w:t>Figure 7: Agreement Rejection Confirmation</w:t>
        </w:r>
        <w:r w:rsidR="00651828">
          <w:rPr>
            <w:noProof/>
            <w:webHidden/>
          </w:rPr>
          <w:tab/>
        </w:r>
        <w:r w:rsidR="00CE48DF">
          <w:rPr>
            <w:noProof/>
            <w:webHidden/>
          </w:rPr>
          <w:fldChar w:fldCharType="begin"/>
        </w:r>
        <w:r w:rsidR="00651828">
          <w:rPr>
            <w:noProof/>
            <w:webHidden/>
          </w:rPr>
          <w:instrText xml:space="preserve"> PAGEREF _Toc367210601 \h </w:instrText>
        </w:r>
        <w:r w:rsidR="00CE48DF">
          <w:rPr>
            <w:noProof/>
            <w:webHidden/>
          </w:rPr>
        </w:r>
        <w:r w:rsidR="00CE48DF">
          <w:rPr>
            <w:noProof/>
            <w:webHidden/>
          </w:rPr>
          <w:fldChar w:fldCharType="separate"/>
        </w:r>
        <w:r w:rsidR="00026EAD">
          <w:rPr>
            <w:noProof/>
            <w:webHidden/>
          </w:rPr>
          <w:t>32</w:t>
        </w:r>
        <w:r w:rsidR="00CE48DF">
          <w:rPr>
            <w:noProof/>
            <w:webHidden/>
          </w:rPr>
          <w:fldChar w:fldCharType="end"/>
        </w:r>
      </w:hyperlink>
    </w:p>
    <w:p w:rsidR="00651828" w:rsidRDefault="00D40631">
      <w:pPr>
        <w:pStyle w:val="TableofFigures"/>
        <w:tabs>
          <w:tab w:val="right" w:leader="dot" w:pos="9350"/>
        </w:tabs>
        <w:rPr>
          <w:rFonts w:asciiTheme="minorHAnsi" w:eastAsiaTheme="minorEastAsia" w:hAnsiTheme="minorHAnsi" w:cstheme="minorBidi"/>
          <w:noProof/>
          <w:sz w:val="22"/>
        </w:rPr>
      </w:pPr>
      <w:hyperlink w:anchor="_Toc367210602" w:history="1">
        <w:r w:rsidR="00651828" w:rsidRPr="00EF190E">
          <w:rPr>
            <w:rStyle w:val="Hyperlink"/>
            <w:noProof/>
          </w:rPr>
          <w:t>Figure 8: Energy Data Agreements by Agreement Number</w:t>
        </w:r>
        <w:r w:rsidR="00651828">
          <w:rPr>
            <w:noProof/>
            <w:webHidden/>
          </w:rPr>
          <w:tab/>
        </w:r>
        <w:r w:rsidR="00CE48DF">
          <w:rPr>
            <w:noProof/>
            <w:webHidden/>
          </w:rPr>
          <w:fldChar w:fldCharType="begin"/>
        </w:r>
        <w:r w:rsidR="00651828">
          <w:rPr>
            <w:noProof/>
            <w:webHidden/>
          </w:rPr>
          <w:instrText xml:space="preserve"> PAGEREF _Toc367210602 \h </w:instrText>
        </w:r>
        <w:r w:rsidR="00CE48DF">
          <w:rPr>
            <w:noProof/>
            <w:webHidden/>
          </w:rPr>
        </w:r>
        <w:r w:rsidR="00CE48DF">
          <w:rPr>
            <w:noProof/>
            <w:webHidden/>
          </w:rPr>
          <w:fldChar w:fldCharType="separate"/>
        </w:r>
        <w:r w:rsidR="00026EAD">
          <w:rPr>
            <w:noProof/>
            <w:webHidden/>
          </w:rPr>
          <w:t>35</w:t>
        </w:r>
        <w:r w:rsidR="00CE48DF">
          <w:rPr>
            <w:noProof/>
            <w:webHidden/>
          </w:rPr>
          <w:fldChar w:fldCharType="end"/>
        </w:r>
      </w:hyperlink>
    </w:p>
    <w:p w:rsidR="00651828" w:rsidRDefault="00D40631">
      <w:pPr>
        <w:pStyle w:val="TableofFigures"/>
        <w:tabs>
          <w:tab w:val="right" w:leader="dot" w:pos="9350"/>
        </w:tabs>
        <w:rPr>
          <w:rFonts w:asciiTheme="minorHAnsi" w:eastAsiaTheme="minorEastAsia" w:hAnsiTheme="minorHAnsi" w:cstheme="minorBidi"/>
          <w:noProof/>
          <w:sz w:val="22"/>
        </w:rPr>
      </w:pPr>
      <w:hyperlink w:anchor="_Toc367210603" w:history="1">
        <w:r w:rsidR="00651828" w:rsidRPr="00EF190E">
          <w:rPr>
            <w:rStyle w:val="Hyperlink"/>
            <w:noProof/>
          </w:rPr>
          <w:t>Figure 9: 15 Minute Interval Usage</w:t>
        </w:r>
        <w:r w:rsidR="00651828">
          <w:rPr>
            <w:noProof/>
            <w:webHidden/>
          </w:rPr>
          <w:tab/>
        </w:r>
        <w:r w:rsidR="00CE48DF">
          <w:rPr>
            <w:noProof/>
            <w:webHidden/>
          </w:rPr>
          <w:fldChar w:fldCharType="begin"/>
        </w:r>
        <w:r w:rsidR="00651828">
          <w:rPr>
            <w:noProof/>
            <w:webHidden/>
          </w:rPr>
          <w:instrText xml:space="preserve"> PAGEREF _Toc367210603 \h </w:instrText>
        </w:r>
        <w:r w:rsidR="00CE48DF">
          <w:rPr>
            <w:noProof/>
            <w:webHidden/>
          </w:rPr>
        </w:r>
        <w:r w:rsidR="00CE48DF">
          <w:rPr>
            <w:noProof/>
            <w:webHidden/>
          </w:rPr>
          <w:fldChar w:fldCharType="separate"/>
        </w:r>
        <w:r w:rsidR="00026EAD">
          <w:rPr>
            <w:noProof/>
            <w:webHidden/>
          </w:rPr>
          <w:t>37</w:t>
        </w:r>
        <w:r w:rsidR="00CE48DF">
          <w:rPr>
            <w:noProof/>
            <w:webHidden/>
          </w:rPr>
          <w:fldChar w:fldCharType="end"/>
        </w:r>
      </w:hyperlink>
    </w:p>
    <w:p w:rsidR="005C3BCB" w:rsidRDefault="00D40631" w:rsidP="00AA6DD5">
      <w:pPr>
        <w:pStyle w:val="TableofFigures"/>
        <w:tabs>
          <w:tab w:val="right" w:leader="dot" w:pos="9350"/>
        </w:tabs>
        <w:rPr>
          <w:noProof/>
        </w:rPr>
      </w:pPr>
      <w:hyperlink w:anchor="_Toc367210604" w:history="1">
        <w:r w:rsidR="00651828" w:rsidRPr="00EF190E">
          <w:rPr>
            <w:rStyle w:val="Hyperlink"/>
            <w:noProof/>
          </w:rPr>
          <w:t>Figure 10: Third Party Home Page</w:t>
        </w:r>
        <w:r w:rsidR="00651828">
          <w:rPr>
            <w:noProof/>
            <w:webHidden/>
          </w:rPr>
          <w:tab/>
        </w:r>
        <w:r w:rsidR="00CE48DF">
          <w:rPr>
            <w:noProof/>
            <w:webHidden/>
          </w:rPr>
          <w:fldChar w:fldCharType="begin"/>
        </w:r>
        <w:r w:rsidR="00651828">
          <w:rPr>
            <w:noProof/>
            <w:webHidden/>
          </w:rPr>
          <w:instrText xml:space="preserve"> PAGEREF _Toc367210604 \h </w:instrText>
        </w:r>
        <w:r w:rsidR="00CE48DF">
          <w:rPr>
            <w:noProof/>
            <w:webHidden/>
          </w:rPr>
        </w:r>
        <w:r w:rsidR="00CE48DF">
          <w:rPr>
            <w:noProof/>
            <w:webHidden/>
          </w:rPr>
          <w:fldChar w:fldCharType="separate"/>
        </w:r>
        <w:r w:rsidR="00026EAD">
          <w:rPr>
            <w:noProof/>
            <w:webHidden/>
          </w:rPr>
          <w:t>39</w:t>
        </w:r>
        <w:r w:rsidR="00CE48DF">
          <w:rPr>
            <w:noProof/>
            <w:webHidden/>
          </w:rPr>
          <w:fldChar w:fldCharType="end"/>
        </w:r>
      </w:hyperlink>
    </w:p>
    <w:p w:rsidR="00C477E1" w:rsidRDefault="00CE48DF" w:rsidP="000E1678">
      <w:pPr>
        <w:pStyle w:val="Heading1"/>
      </w:pPr>
      <w:r>
        <w:fldChar w:fldCharType="end"/>
      </w:r>
      <w:bookmarkStart w:id="3" w:name="_Toc401563529"/>
      <w:bookmarkStart w:id="4" w:name="_Toc348345267"/>
      <w:bookmarkEnd w:id="2"/>
      <w:r w:rsidR="0075576B">
        <w:t>Introduction</w:t>
      </w:r>
      <w:bookmarkEnd w:id="3"/>
    </w:p>
    <w:p w:rsidR="007E2DFF" w:rsidRDefault="00C477E1" w:rsidP="003A5F8F">
      <w:pPr>
        <w:jc w:val="both"/>
      </w:pPr>
      <w:r>
        <w:t xml:space="preserve">Customer access to their electric usage information is widely acknowledged as important to the success of the smart grid. </w:t>
      </w:r>
      <w:r w:rsidRPr="00902433">
        <w:t>Ac</w:t>
      </w:r>
      <w:r>
        <w:t xml:space="preserve">cess to usage data </w:t>
      </w:r>
      <w:r w:rsidR="007E2DFF">
        <w:t>provides</w:t>
      </w:r>
      <w:r>
        <w:t xml:space="preserve"> C</w:t>
      </w:r>
      <w:r w:rsidRPr="00902433">
        <w:t>ustomer</w:t>
      </w:r>
      <w:r>
        <w:t>s</w:t>
      </w:r>
      <w:r w:rsidR="007E2DFF">
        <w:t xml:space="preserve"> a way </w:t>
      </w:r>
      <w:r w:rsidRPr="00902433">
        <w:t>to manage consumption and lower their monthly electric bills</w:t>
      </w:r>
      <w:r>
        <w:t>. Research focused on Customer behavior has shown that providing information to end users improves energy efficiency and lowers Customer spending on electricity.</w:t>
      </w:r>
      <w:r w:rsidRPr="006763A3">
        <w:t xml:space="preserve"> </w:t>
      </w:r>
      <w:r>
        <w:t xml:space="preserve">It is widely believed that </w:t>
      </w:r>
      <w:r w:rsidR="007E2DFF">
        <w:t xml:space="preserve">by </w:t>
      </w:r>
      <w:r>
        <w:t xml:space="preserve">granting Third Party service providers access to Customer usage information innovative smart grid products will be offered that help Customers achieve their energy efficiency goals. </w:t>
      </w:r>
    </w:p>
    <w:p w:rsidR="006D6150" w:rsidRDefault="00113E78" w:rsidP="000817E1">
      <w:pPr>
        <w:jc w:val="both"/>
      </w:pPr>
      <w:r>
        <w:t xml:space="preserve">In </w:t>
      </w:r>
      <w:r w:rsidR="00BD0700">
        <w:t xml:space="preserve">late </w:t>
      </w:r>
      <w:r w:rsidR="000817E1">
        <w:t>2014</w:t>
      </w:r>
      <w:r w:rsidR="007E2DFF">
        <w:t xml:space="preserve"> in </w:t>
      </w:r>
      <w:r w:rsidR="00625E57">
        <w:t>the competitive regions of Texas</w:t>
      </w:r>
      <w:r>
        <w:t xml:space="preserve">, Third Parties that </w:t>
      </w:r>
      <w:r w:rsidR="00B1579C">
        <w:t>have Customer authorization</w:t>
      </w:r>
      <w:r>
        <w:t xml:space="preserve"> began to access Customer smart meter information and to communicate with Customer HAN devices through the functionality provided by the </w:t>
      </w:r>
      <w:r w:rsidR="00625E57">
        <w:t xml:space="preserve">interoperable </w:t>
      </w:r>
      <w:r>
        <w:t>Smart Meter Texas</w:t>
      </w:r>
      <w:r w:rsidR="000817E1" w:rsidRPr="005C3BCB">
        <w:rPr>
          <w:sz w:val="20"/>
          <w:szCs w:val="20"/>
          <w:vertAlign w:val="superscript"/>
        </w:rPr>
        <w:t>TM</w:t>
      </w:r>
      <w:r>
        <w:t xml:space="preserve"> (SMT) </w:t>
      </w:r>
      <w:r w:rsidR="005766FB">
        <w:t>solution</w:t>
      </w:r>
      <w:r>
        <w:t>.</w:t>
      </w:r>
      <w:r w:rsidR="00601C68">
        <w:t xml:space="preserve"> </w:t>
      </w:r>
      <w:r w:rsidR="006D6150">
        <w:t xml:space="preserve">One of the key functions provided by SMT is a </w:t>
      </w:r>
      <w:r w:rsidR="007E2DFF">
        <w:t>convenient and easy to use process whereby a Customer may</w:t>
      </w:r>
      <w:r w:rsidR="006D6150">
        <w:t xml:space="preserve"> grant Third Parties access to their electrical usage information and to communicate with their </w:t>
      </w:r>
      <w:r w:rsidR="000817E1">
        <w:t>Home Area Network (</w:t>
      </w:r>
      <w:r w:rsidR="006D6150">
        <w:t>HAN</w:t>
      </w:r>
      <w:r w:rsidR="000817E1">
        <w:t>)</w:t>
      </w:r>
      <w:r w:rsidR="006D6150">
        <w:t xml:space="preserve"> devices.</w:t>
      </w:r>
    </w:p>
    <w:p w:rsidR="006D6150" w:rsidRDefault="00601C68" w:rsidP="000817E1">
      <w:pPr>
        <w:jc w:val="both"/>
      </w:pPr>
      <w:r>
        <w:t xml:space="preserve">This document is designed to provide a high level understanding of the </w:t>
      </w:r>
      <w:r w:rsidR="00FB4C0C">
        <w:t xml:space="preserve">Third Party </w:t>
      </w:r>
      <w:r>
        <w:t xml:space="preserve">functionality provided by SMT.  </w:t>
      </w:r>
      <w:r w:rsidR="006D6150">
        <w:t xml:space="preserve">By making information about the SMT Third Party </w:t>
      </w:r>
      <w:r w:rsidR="00411E07">
        <w:t>functionality</w:t>
      </w:r>
      <w:r w:rsidR="006D6150">
        <w:t xml:space="preserve"> publicly available, this document aspires to extend the </w:t>
      </w:r>
      <w:r w:rsidR="000B13CF">
        <w:t>value of this smart grid</w:t>
      </w:r>
      <w:r w:rsidR="006D6150">
        <w:t xml:space="preserve"> solution in the following ways:</w:t>
      </w:r>
    </w:p>
    <w:p w:rsidR="006D6150" w:rsidRPr="005C3BCB" w:rsidRDefault="00A14A85" w:rsidP="000B13CF">
      <w:pPr>
        <w:pStyle w:val="ListParagraph"/>
        <w:numPr>
          <w:ilvl w:val="0"/>
          <w:numId w:val="14"/>
        </w:numPr>
        <w:spacing w:before="60" w:after="60"/>
        <w:contextualSpacing w:val="0"/>
        <w:jc w:val="both"/>
        <w:rPr>
          <w:b/>
          <w:i/>
        </w:rPr>
      </w:pPr>
      <w:r w:rsidRPr="005C3BCB">
        <w:rPr>
          <w:b/>
          <w:i/>
        </w:rPr>
        <w:t xml:space="preserve">To demonstrate a model </w:t>
      </w:r>
      <w:r w:rsidR="006D6150" w:rsidRPr="005C3BCB">
        <w:rPr>
          <w:b/>
          <w:i/>
        </w:rPr>
        <w:t>for the development of similar Third Party access solutions in other jurisdictions</w:t>
      </w:r>
    </w:p>
    <w:p w:rsidR="006D6150" w:rsidRPr="005C3BCB" w:rsidRDefault="000402B1" w:rsidP="000B13CF">
      <w:pPr>
        <w:pStyle w:val="ListParagraph"/>
        <w:numPr>
          <w:ilvl w:val="0"/>
          <w:numId w:val="14"/>
        </w:numPr>
        <w:spacing w:before="60" w:after="60"/>
        <w:contextualSpacing w:val="0"/>
        <w:jc w:val="both"/>
        <w:rPr>
          <w:b/>
          <w:i/>
        </w:rPr>
      </w:pPr>
      <w:r w:rsidRPr="005C3BCB">
        <w:rPr>
          <w:b/>
          <w:i/>
        </w:rPr>
        <w:t>To demonstrate a model of</w:t>
      </w:r>
      <w:r w:rsidR="000B13CF" w:rsidRPr="005C3BCB">
        <w:rPr>
          <w:b/>
          <w:i/>
        </w:rPr>
        <w:t xml:space="preserve"> Customer</w:t>
      </w:r>
      <w:r w:rsidR="00F36264" w:rsidRPr="005C3BCB">
        <w:rPr>
          <w:b/>
          <w:i/>
        </w:rPr>
        <w:t>s granting</w:t>
      </w:r>
      <w:r w:rsidR="006D6150" w:rsidRPr="005C3BCB">
        <w:rPr>
          <w:b/>
          <w:i/>
        </w:rPr>
        <w:t xml:space="preserve"> Third Part</w:t>
      </w:r>
      <w:r w:rsidR="00F36264" w:rsidRPr="005C3BCB">
        <w:rPr>
          <w:b/>
          <w:i/>
        </w:rPr>
        <w:t>ies</w:t>
      </w:r>
      <w:r w:rsidR="006D6150" w:rsidRPr="005C3BCB">
        <w:rPr>
          <w:b/>
          <w:i/>
        </w:rPr>
        <w:t xml:space="preserve"> access to the</w:t>
      </w:r>
      <w:r w:rsidR="00F36264" w:rsidRPr="005C3BCB">
        <w:rPr>
          <w:b/>
          <w:i/>
        </w:rPr>
        <w:t>ir electrical usage information</w:t>
      </w:r>
    </w:p>
    <w:p w:rsidR="006D6150" w:rsidRPr="005C3BCB" w:rsidRDefault="00F36264" w:rsidP="000B13CF">
      <w:pPr>
        <w:pStyle w:val="ListParagraph"/>
        <w:numPr>
          <w:ilvl w:val="0"/>
          <w:numId w:val="14"/>
        </w:numPr>
        <w:spacing w:before="60" w:after="60"/>
        <w:contextualSpacing w:val="0"/>
        <w:jc w:val="both"/>
        <w:rPr>
          <w:b/>
          <w:i/>
        </w:rPr>
      </w:pPr>
      <w:r w:rsidRPr="005C3BCB">
        <w:rPr>
          <w:b/>
          <w:i/>
        </w:rPr>
        <w:t>To demonstrate a model of one common interface for multiple utilities, Third Parties, and Customers</w:t>
      </w:r>
      <w:r w:rsidR="00E028AB" w:rsidRPr="005C3BCB">
        <w:rPr>
          <w:b/>
          <w:i/>
        </w:rPr>
        <w:t xml:space="preserve"> to access smart meter usage data</w:t>
      </w:r>
    </w:p>
    <w:p w:rsidR="0063258C" w:rsidRPr="005C3BCB" w:rsidRDefault="0063258C" w:rsidP="000B13CF">
      <w:pPr>
        <w:pStyle w:val="ListParagraph"/>
        <w:numPr>
          <w:ilvl w:val="0"/>
          <w:numId w:val="14"/>
        </w:numPr>
        <w:spacing w:before="60" w:after="60"/>
        <w:contextualSpacing w:val="0"/>
        <w:jc w:val="both"/>
        <w:rPr>
          <w:b/>
          <w:i/>
        </w:rPr>
      </w:pPr>
      <w:r w:rsidRPr="005C3BCB">
        <w:rPr>
          <w:b/>
          <w:i/>
        </w:rPr>
        <w:t>To demonstrate an interoperable implementation of the Green Button initiative</w:t>
      </w:r>
    </w:p>
    <w:p w:rsidR="0063258C" w:rsidRPr="005C3BCB" w:rsidRDefault="0063258C" w:rsidP="000B13CF">
      <w:pPr>
        <w:pStyle w:val="ListParagraph"/>
        <w:numPr>
          <w:ilvl w:val="0"/>
          <w:numId w:val="14"/>
        </w:numPr>
        <w:spacing w:before="60" w:after="60"/>
        <w:contextualSpacing w:val="0"/>
        <w:jc w:val="both"/>
        <w:rPr>
          <w:b/>
          <w:i/>
        </w:rPr>
      </w:pPr>
      <w:r w:rsidRPr="005C3BCB">
        <w:rPr>
          <w:b/>
          <w:i/>
        </w:rPr>
        <w:t>To demonstrate a model for using one common interoperable interface for Third Parties to communicate with Customer HAN devices over multiple utility AMS communication networks</w:t>
      </w:r>
    </w:p>
    <w:p w:rsidR="006E14DA" w:rsidRDefault="006D6150" w:rsidP="000B13CF">
      <w:pPr>
        <w:pStyle w:val="ListParagraph"/>
        <w:numPr>
          <w:ilvl w:val="0"/>
          <w:numId w:val="14"/>
        </w:numPr>
        <w:spacing w:before="60" w:after="240"/>
        <w:contextualSpacing w:val="0"/>
        <w:jc w:val="both"/>
        <w:rPr>
          <w:b/>
          <w:i/>
        </w:rPr>
      </w:pPr>
      <w:r w:rsidRPr="005C3BCB">
        <w:rPr>
          <w:b/>
          <w:i/>
        </w:rPr>
        <w:t>To testify to the potential power of a consensus-based, stakeholder-driven approach to smart grid solution development, producing an interoperable solution that meets the needs of all stakeholders</w:t>
      </w:r>
    </w:p>
    <w:p w:rsidR="006E14DA" w:rsidRDefault="006E14DA">
      <w:pPr>
        <w:spacing w:before="0" w:after="0" w:line="240" w:lineRule="auto"/>
        <w:rPr>
          <w:rFonts w:eastAsia="Calibri"/>
          <w:b/>
          <w:i/>
        </w:rPr>
      </w:pPr>
      <w:r>
        <w:rPr>
          <w:b/>
          <w:i/>
        </w:rPr>
        <w:br w:type="page"/>
      </w:r>
    </w:p>
    <w:p w:rsidR="00110662" w:rsidRDefault="00110662" w:rsidP="00507592">
      <w:pPr>
        <w:pStyle w:val="Heading1"/>
      </w:pPr>
      <w:bookmarkStart w:id="5" w:name="_Toc401563530"/>
      <w:bookmarkEnd w:id="4"/>
      <w:r>
        <w:t>Background and Context</w:t>
      </w:r>
      <w:bookmarkEnd w:id="5"/>
    </w:p>
    <w:p w:rsidR="00D67502" w:rsidRDefault="00D67502" w:rsidP="000E1678">
      <w:pPr>
        <w:pStyle w:val="ListParagraph"/>
        <w:spacing w:after="0" w:line="360" w:lineRule="auto"/>
        <w:ind w:left="0"/>
        <w:jc w:val="both"/>
      </w:pPr>
      <w:r>
        <w:t>Texas was an early adopter of legislation and regulations regarding access to smart meter usage</w:t>
      </w:r>
      <w:r w:rsidR="00B05A81">
        <w:t xml:space="preserve"> data</w:t>
      </w:r>
      <w:r>
        <w:t>.</w:t>
      </w:r>
      <w:r w:rsidR="00AD10CE">
        <w:t xml:space="preserve"> In 2007</w:t>
      </w:r>
      <w:r w:rsidR="00B05A81">
        <w:t>,</w:t>
      </w:r>
      <w:r w:rsidR="00AD10CE">
        <w:t xml:space="preserve"> the Texas legislature adopted HB 3693 encouraging T</w:t>
      </w:r>
      <w:r w:rsidR="005E34E5">
        <w:t xml:space="preserve">ransmission and </w:t>
      </w:r>
      <w:r w:rsidR="00AD10CE">
        <w:t>D</w:t>
      </w:r>
      <w:r w:rsidR="005E34E5">
        <w:t xml:space="preserve">istribution </w:t>
      </w:r>
      <w:r w:rsidR="00AD10CE">
        <w:t>S</w:t>
      </w:r>
      <w:r w:rsidR="005E34E5">
        <w:t xml:space="preserve">ervice </w:t>
      </w:r>
      <w:r w:rsidR="00AD10CE">
        <w:t>P</w:t>
      </w:r>
      <w:r w:rsidR="005E34E5">
        <w:t>rovider</w:t>
      </w:r>
      <w:r w:rsidR="00AD10CE">
        <w:t>s</w:t>
      </w:r>
      <w:r w:rsidR="005E34E5">
        <w:t xml:space="preserve"> (TDSPs)</w:t>
      </w:r>
      <w:r w:rsidR="00AD10CE">
        <w:t xml:space="preserve"> to deploy</w:t>
      </w:r>
      <w:r w:rsidR="00AD10CE" w:rsidRPr="008241A7">
        <w:t xml:space="preserve"> smart grid networks as rapidly as possible</w:t>
      </w:r>
      <w:r w:rsidR="00AD10CE">
        <w:t xml:space="preserve">. </w:t>
      </w:r>
      <w:r w:rsidR="00B05A81">
        <w:t>In that same year</w:t>
      </w:r>
      <w:r w:rsidR="00AD10CE">
        <w:t xml:space="preserve">, the </w:t>
      </w:r>
      <w:r w:rsidR="00C7691B" w:rsidRPr="008241A7">
        <w:t>P</w:t>
      </w:r>
      <w:r w:rsidR="00C7691B">
        <w:t>ublic</w:t>
      </w:r>
      <w:r w:rsidR="004F6C18">
        <w:t xml:space="preserve"> </w:t>
      </w:r>
      <w:r w:rsidR="00AD10CE" w:rsidRPr="008241A7">
        <w:t>U</w:t>
      </w:r>
      <w:r w:rsidR="004F6C18">
        <w:t xml:space="preserve">tility </w:t>
      </w:r>
      <w:r w:rsidR="00AD10CE" w:rsidRPr="008241A7">
        <w:t>C</w:t>
      </w:r>
      <w:r w:rsidR="004F6C18">
        <w:t xml:space="preserve">ommission of </w:t>
      </w:r>
      <w:r w:rsidR="00AD10CE" w:rsidRPr="008241A7">
        <w:t>T</w:t>
      </w:r>
      <w:r w:rsidR="004F6C18">
        <w:t>exas (PUCT)</w:t>
      </w:r>
      <w:r w:rsidR="00AD10CE">
        <w:t xml:space="preserve"> adopted the</w:t>
      </w:r>
      <w:r w:rsidR="00AD10CE" w:rsidRPr="008241A7">
        <w:t xml:space="preserve"> Advanced Metering rule</w:t>
      </w:r>
      <w:r w:rsidR="00B05A81">
        <w:rPr>
          <w:rStyle w:val="FootnoteReference"/>
        </w:rPr>
        <w:footnoteReference w:id="1"/>
      </w:r>
      <w:r w:rsidR="00AD10CE" w:rsidRPr="008241A7">
        <w:t xml:space="preserve"> set</w:t>
      </w:r>
      <w:r w:rsidR="00AD10CE">
        <w:t>ting</w:t>
      </w:r>
      <w:r w:rsidR="00AD10CE" w:rsidRPr="008241A7">
        <w:t xml:space="preserve"> forth </w:t>
      </w:r>
      <w:r w:rsidR="00AD10CE">
        <w:t xml:space="preserve">the </w:t>
      </w:r>
      <w:r w:rsidR="00AD10CE" w:rsidRPr="008241A7">
        <w:t xml:space="preserve">requirements for </w:t>
      </w:r>
      <w:r w:rsidR="00AD10CE">
        <w:t xml:space="preserve">TDSP </w:t>
      </w:r>
      <w:r w:rsidR="00AD10CE" w:rsidRPr="008241A7">
        <w:t>advanced metering deployments</w:t>
      </w:r>
      <w:r w:rsidR="00AD10CE">
        <w:t xml:space="preserve"> and initiated the </w:t>
      </w:r>
      <w:r w:rsidR="00AD10CE" w:rsidRPr="008241A7">
        <w:t>Advanced Metering Implementation Project</w:t>
      </w:r>
      <w:r w:rsidR="00292903">
        <w:rPr>
          <w:rStyle w:val="FootnoteReference"/>
        </w:rPr>
        <w:footnoteReference w:id="2"/>
      </w:r>
      <w:r w:rsidR="00AD10CE">
        <w:t xml:space="preserve"> </w:t>
      </w:r>
      <w:r w:rsidR="00AD10CE" w:rsidRPr="008241A7">
        <w:t>to defined requirements for a data depository, data exchange between market participants and interfaces for the successful deployment of HAN devices</w:t>
      </w:r>
      <w:r w:rsidR="00AD10CE">
        <w:t xml:space="preserve">. Within the advanced metering implementation project, </w:t>
      </w:r>
      <w:r>
        <w:t>Texas market participants developed the SM</w:t>
      </w:r>
      <w:r w:rsidR="000B13CF">
        <w:t>T solution to satisfy the requirements of the PUCT advanced metering rule</w:t>
      </w:r>
      <w:r w:rsidR="00B05A81">
        <w:t xml:space="preserve">. SMT made smart meter usage data available to Customers and </w:t>
      </w:r>
      <w:r w:rsidR="000402B1">
        <w:t xml:space="preserve">the Customer’s </w:t>
      </w:r>
      <w:r w:rsidR="00B05A81">
        <w:t>R</w:t>
      </w:r>
      <w:r w:rsidR="000402B1">
        <w:t xml:space="preserve">etail </w:t>
      </w:r>
      <w:r w:rsidR="00B05A81">
        <w:t>E</w:t>
      </w:r>
      <w:r w:rsidR="000402B1">
        <w:t xml:space="preserve">lectric </w:t>
      </w:r>
      <w:r w:rsidR="00B05A81">
        <w:t>P</w:t>
      </w:r>
      <w:r w:rsidR="000402B1">
        <w:t>rovider (i.e.</w:t>
      </w:r>
      <w:r w:rsidR="00F52F1F">
        <w:t>,</w:t>
      </w:r>
      <w:r w:rsidR="000402B1">
        <w:t xml:space="preserve"> REP of record, ROR)</w:t>
      </w:r>
      <w:r w:rsidR="00B05A81">
        <w:t xml:space="preserve"> by</w:t>
      </w:r>
      <w:r w:rsidR="00AD10CE">
        <w:t xml:space="preserve"> early 2010</w:t>
      </w:r>
      <w:r>
        <w:t xml:space="preserve">. </w:t>
      </w:r>
      <w:r w:rsidR="00B05A81">
        <w:t>In 2011 o</w:t>
      </w:r>
      <w:r>
        <w:t>n a national level</w:t>
      </w:r>
      <w:r w:rsidR="00B05A81">
        <w:t>,</w:t>
      </w:r>
      <w:r>
        <w:t xml:space="preserve"> the Green Button initiative challenged utilities to give Customers access to their energy usage information by downloading it in an easy-to-read industry standard format. SMT implemented the concept of the Green Button initiative over a year prior to the issuance of the Green Button challenge</w:t>
      </w:r>
      <w:r w:rsidR="00BE32D3">
        <w:t xml:space="preserve">. </w:t>
      </w:r>
    </w:p>
    <w:p w:rsidR="0074008C" w:rsidRDefault="0074008C" w:rsidP="001B66F8">
      <w:pPr>
        <w:pStyle w:val="Heading2"/>
        <w:tabs>
          <w:tab w:val="clear" w:pos="576"/>
        </w:tabs>
        <w:ind w:left="0"/>
      </w:pPr>
      <w:bookmarkStart w:id="6" w:name="_Toc401563531"/>
      <w:r w:rsidRPr="00A451F5">
        <w:t>Background</w:t>
      </w:r>
      <w:bookmarkEnd w:id="6"/>
    </w:p>
    <w:p w:rsidR="0074008C" w:rsidRDefault="0074008C" w:rsidP="000B13CF">
      <w:pPr>
        <w:jc w:val="both"/>
      </w:pPr>
      <w:r>
        <w:t>The Texas law, PUCT substantive rules, Department of Energy (DOE), and the</w:t>
      </w:r>
      <w:r w:rsidRPr="00DB772C">
        <w:t xml:space="preserve"> White House Office of Science and Technology Policy </w:t>
      </w:r>
      <w:r w:rsidR="0047589C">
        <w:t>(OSTP</w:t>
      </w:r>
      <w:r w:rsidR="000B13CF">
        <w:t xml:space="preserve">) </w:t>
      </w:r>
      <w:r>
        <w:t>all stress the necessity of Customers having access to their electricity usage information and the ability to share that information with Third Party service providers.</w:t>
      </w:r>
      <w:r w:rsidRPr="001D4320">
        <w:t xml:space="preserve"> </w:t>
      </w:r>
      <w:r>
        <w:t>While other jurisdictions are discussing who owns meter information and who should have access to it, Texas law has made it clear that the Customer owns their meter data and the Customer may share that data with parties</w:t>
      </w:r>
      <w:r w:rsidR="00AC7619">
        <w:t xml:space="preserve"> of their choice</w:t>
      </w:r>
      <w:r>
        <w:t>.</w:t>
      </w:r>
    </w:p>
    <w:p w:rsidR="0074008C" w:rsidRDefault="0074008C" w:rsidP="0074008C">
      <w:pPr>
        <w:ind w:left="450"/>
      </w:pPr>
      <w:r>
        <w:t xml:space="preserve">In the Texas </w:t>
      </w:r>
      <w:r w:rsidR="0047589C">
        <w:t>Public Utility Regulatory Act (PURA</w:t>
      </w:r>
      <w:r>
        <w:t>) it states the following:</w:t>
      </w:r>
    </w:p>
    <w:p w:rsidR="0074008C" w:rsidRPr="00DB772C" w:rsidRDefault="0074008C" w:rsidP="000B13CF">
      <w:pPr>
        <w:ind w:left="810"/>
        <w:jc w:val="both"/>
      </w:pPr>
      <w:r>
        <w:t xml:space="preserve"> “</w:t>
      </w:r>
      <w:r w:rsidRPr="00D67502">
        <w:rPr>
          <w:i/>
          <w:u w:val="single"/>
        </w:rPr>
        <w:t>All meter data</w:t>
      </w:r>
      <w:r w:rsidRPr="00DB772C">
        <w:t xml:space="preserve">, including all data generated, provided, or otherwise made available, by advanced meters and meter information networks, </w:t>
      </w:r>
      <w:r w:rsidRPr="00D67502">
        <w:rPr>
          <w:i/>
          <w:u w:val="single"/>
        </w:rPr>
        <w:t>shall belong to a Customer</w:t>
      </w:r>
      <w:r w:rsidRPr="00DB772C">
        <w:t xml:space="preserve">, including data used to calculate charges for service, historical load data, and any other proprietary </w:t>
      </w:r>
      <w:r>
        <w:t>Customer</w:t>
      </w:r>
      <w:r w:rsidRPr="00DB772C">
        <w:t xml:space="preserve"> information. </w:t>
      </w:r>
      <w:r w:rsidRPr="00EF5F80">
        <w:rPr>
          <w:i/>
          <w:u w:val="single"/>
        </w:rPr>
        <w:t>A Customer may authorize its data to be provided to one or more retail electric providers under rules and charges established by the commission</w:t>
      </w:r>
      <w:r w:rsidRPr="00DB772C">
        <w:t>.”</w:t>
      </w:r>
      <w:r w:rsidRPr="00470AD7">
        <w:rPr>
          <w:vertAlign w:val="superscript"/>
        </w:rPr>
        <w:footnoteReference w:id="3"/>
      </w:r>
    </w:p>
    <w:p w:rsidR="0074008C" w:rsidRPr="00DB772C" w:rsidRDefault="0074008C" w:rsidP="0074008C">
      <w:pPr>
        <w:ind w:left="450"/>
      </w:pPr>
      <w:r w:rsidRPr="00DB772C">
        <w:t xml:space="preserve">The PUCT </w:t>
      </w:r>
      <w:r>
        <w:t>Advanced Metering R</w:t>
      </w:r>
      <w:r w:rsidRPr="00DB772C">
        <w:t>ule requires the following:</w:t>
      </w:r>
    </w:p>
    <w:p w:rsidR="0074008C" w:rsidRDefault="0074008C" w:rsidP="000B13CF">
      <w:pPr>
        <w:ind w:left="810"/>
        <w:jc w:val="both"/>
      </w:pPr>
      <w:r w:rsidRPr="00DB772C">
        <w:t xml:space="preserve"> “An electric utility shall provide a </w:t>
      </w:r>
      <w:r>
        <w:t>Customer</w:t>
      </w:r>
      <w:r w:rsidRPr="00DB772C">
        <w:t xml:space="preserve">, the </w:t>
      </w:r>
      <w:r>
        <w:t>Customer</w:t>
      </w:r>
      <w:r w:rsidRPr="00DB772C">
        <w:t xml:space="preserve">’s REP, </w:t>
      </w:r>
      <w:r w:rsidRPr="00EF5F80">
        <w:t xml:space="preserve">and </w:t>
      </w:r>
      <w:r w:rsidRPr="00EF5F80">
        <w:rPr>
          <w:i/>
          <w:u w:val="single"/>
        </w:rPr>
        <w:t>other entities authorized by the Customer read-only access to the Customer’s advanced meter data</w:t>
      </w:r>
      <w:r w:rsidRPr="00DB772C">
        <w:t xml:space="preserve">, including meter data used to calculate charges for service, historical load data, and any other proprietary </w:t>
      </w:r>
      <w:r>
        <w:t>Customer</w:t>
      </w:r>
      <w:r w:rsidRPr="00DB772C">
        <w:t xml:space="preserve"> information. The access shall be convenient and secure, and the data shall be made available no later than the day after it was created.”</w:t>
      </w:r>
      <w:r w:rsidRPr="00470AD7">
        <w:rPr>
          <w:vertAlign w:val="superscript"/>
        </w:rPr>
        <w:footnoteReference w:id="4"/>
      </w:r>
    </w:p>
    <w:p w:rsidR="00E31231" w:rsidRDefault="00542699" w:rsidP="00B60B9E">
      <w:pPr>
        <w:ind w:left="450"/>
        <w:jc w:val="both"/>
      </w:pPr>
      <w:r>
        <w:t>T</w:t>
      </w:r>
      <w:r w:rsidR="00E31231">
        <w:t xml:space="preserve">he DOE and </w:t>
      </w:r>
      <w:r w:rsidR="00E31231" w:rsidRPr="00F3715D">
        <w:t xml:space="preserve">the </w:t>
      </w:r>
      <w:r w:rsidR="000B13CF">
        <w:t>OSTP</w:t>
      </w:r>
      <w:r w:rsidR="00E31231" w:rsidRPr="00F3715D">
        <w:t xml:space="preserve"> </w:t>
      </w:r>
      <w:r w:rsidR="00E31231">
        <w:t xml:space="preserve">initiated the </w:t>
      </w:r>
      <w:r w:rsidR="00E31231" w:rsidRPr="00F3715D">
        <w:t>Green Button initiative</w:t>
      </w:r>
      <w:r w:rsidR="00E31231">
        <w:t>. The Green Button initiative is a challenge to the electric utility industry to “e</w:t>
      </w:r>
      <w:r w:rsidR="00E31231" w:rsidRPr="00862560">
        <w:t>mpower residential consumers to better manage their electricity consumption</w:t>
      </w:r>
      <w:r w:rsidR="00E31231">
        <w:t xml:space="preserve"> </w:t>
      </w:r>
      <w:r w:rsidR="00E31231" w:rsidRPr="00862560">
        <w:t xml:space="preserve">by </w:t>
      </w:r>
      <w:r w:rsidR="00E31231" w:rsidRPr="00292903">
        <w:rPr>
          <w:i/>
          <w:u w:val="single"/>
        </w:rPr>
        <w:t>allowing them and</w:t>
      </w:r>
      <w:r w:rsidR="00E31231" w:rsidRPr="005E34E5">
        <w:rPr>
          <w:u w:val="single"/>
        </w:rPr>
        <w:t xml:space="preserve"> </w:t>
      </w:r>
      <w:r w:rsidR="00E31231" w:rsidRPr="00EF5F80">
        <w:rPr>
          <w:i/>
          <w:u w:val="single"/>
        </w:rPr>
        <w:t>authorized Third Parties access to their electricity usage information</w:t>
      </w:r>
      <w:r w:rsidR="00E31231" w:rsidRPr="00862560">
        <w:t xml:space="preserve"> on demand through a standardized data access architecture</w:t>
      </w:r>
      <w:r w:rsidR="00E31231">
        <w:t>.”</w:t>
      </w:r>
      <w:r w:rsidR="00E31231">
        <w:rPr>
          <w:rStyle w:val="FootnoteReference"/>
        </w:rPr>
        <w:footnoteReference w:id="5"/>
      </w:r>
    </w:p>
    <w:p w:rsidR="00947B84" w:rsidRDefault="00CC3D80" w:rsidP="00B60B9E">
      <w:pPr>
        <w:jc w:val="both"/>
      </w:pPr>
      <w:r>
        <w:t xml:space="preserve">To meet the requirements of the Texas law and PUCT Advanced Metering rule, the PUCT scheduled workshops under its </w:t>
      </w:r>
      <w:r w:rsidR="00B60B9E" w:rsidRPr="00B60B9E">
        <w:t xml:space="preserve">Advanced Metering Implementation Project </w:t>
      </w:r>
      <w:r>
        <w:t>to create a stakeholder-driven process tasked with resolving implementation issues related to the deployment of advanced meters.  The stakeholders met in facilitated meetings over a tw</w:t>
      </w:r>
      <w:r w:rsidR="000B0C1C">
        <w:t>o year period to define Business P</w:t>
      </w:r>
      <w:r>
        <w:t xml:space="preserve">rocesses and </w:t>
      </w:r>
      <w:r w:rsidR="005E34E5">
        <w:t>Business R</w:t>
      </w:r>
      <w:r>
        <w:t>equirements that would be required to support the deployment of smart meters, including retail market transactions, the exchange of Customer meter usage data, wholesale settlement among market participants, communications with HAN devices,</w:t>
      </w:r>
      <w:r w:rsidR="000B0C1C">
        <w:t xml:space="preserve"> and customer education. Those Business P</w:t>
      </w:r>
      <w:r>
        <w:t xml:space="preserve">rocesses and </w:t>
      </w:r>
      <w:r w:rsidR="005E34E5">
        <w:t>Business R</w:t>
      </w:r>
      <w:r>
        <w:t>equirements related to the exchange of Customer meter usage data and communications with Customer HAN devices formed the initial design basis for SMT.</w:t>
      </w:r>
      <w:r w:rsidR="00EB0813">
        <w:t xml:space="preserve"> </w:t>
      </w:r>
    </w:p>
    <w:p w:rsidR="00110662" w:rsidRDefault="00110662" w:rsidP="004A5AEB">
      <w:pPr>
        <w:pStyle w:val="Heading2"/>
        <w:tabs>
          <w:tab w:val="clear" w:pos="576"/>
        </w:tabs>
        <w:spacing w:before="360"/>
        <w:ind w:left="0" w:hanging="630"/>
      </w:pPr>
      <w:bookmarkStart w:id="7" w:name="_Toc401563532"/>
      <w:r>
        <w:t>Texas Electric Market</w:t>
      </w:r>
      <w:bookmarkEnd w:id="7"/>
    </w:p>
    <w:p w:rsidR="00240B72" w:rsidRDefault="00F41418" w:rsidP="00240B72">
      <w:pPr>
        <w:jc w:val="both"/>
      </w:pPr>
      <w:r>
        <w:t xml:space="preserve">To understand the different parties involved </w:t>
      </w:r>
      <w:r w:rsidR="00CF76B7">
        <w:t xml:space="preserve">with </w:t>
      </w:r>
      <w:r>
        <w:t>SMT</w:t>
      </w:r>
      <w:r w:rsidR="00240B72">
        <w:t>,</w:t>
      </w:r>
      <w:r>
        <w:t xml:space="preserve"> it is useful to understand the Texas competitive electric market structure. </w:t>
      </w:r>
      <w:r w:rsidR="00110662">
        <w:t>The majority of the Texas electric power market is deregulated with the functions of the traditional vertically-integrated electric company unbundled into three separate and distinct companies – power generation, TDSPs, and REPs (</w:t>
      </w:r>
      <w:r w:rsidR="00962B39">
        <w:t xml:space="preserve">see </w:t>
      </w:r>
      <w:r w:rsidR="00BD0700">
        <w:fldChar w:fldCharType="begin"/>
      </w:r>
      <w:r w:rsidR="00BD0700">
        <w:instrText xml:space="preserve"> REF _Ref351543353 \h  \* MERGEFORMAT </w:instrText>
      </w:r>
      <w:r w:rsidR="00BD0700">
        <w:fldChar w:fldCharType="separate"/>
      </w:r>
      <w:r w:rsidR="00F609FD">
        <w:t>Figure 1</w:t>
      </w:r>
      <w:r w:rsidR="00BD0700">
        <w:fldChar w:fldCharType="end"/>
      </w:r>
      <w:r w:rsidR="00F83DDF">
        <w:t xml:space="preserve">). </w:t>
      </w:r>
      <w:r w:rsidR="00470002">
        <w:t xml:space="preserve">Power generation companies own and operate electric generation plants and sell power in the ERCOT competitive wholesale market. </w:t>
      </w:r>
      <w:r w:rsidR="001827A7" w:rsidRPr="00470002">
        <w:t>TDSPs own</w:t>
      </w:r>
      <w:r w:rsidR="00470002">
        <w:t xml:space="preserve"> and operate</w:t>
      </w:r>
      <w:r w:rsidR="001827A7" w:rsidRPr="00470002">
        <w:t xml:space="preserve"> the transmission and distribution system and </w:t>
      </w:r>
      <w:r w:rsidR="00470002">
        <w:t>t</w:t>
      </w:r>
      <w:r w:rsidR="00470002" w:rsidRPr="00470002">
        <w:t xml:space="preserve">ransport </w:t>
      </w:r>
      <w:r w:rsidR="00240B72">
        <w:t>electric power to all electric c</w:t>
      </w:r>
      <w:r w:rsidR="00470002" w:rsidRPr="00470002">
        <w:t>ustomers within its defined service area</w:t>
      </w:r>
      <w:r w:rsidR="001827A7">
        <w:t xml:space="preserve">. </w:t>
      </w:r>
      <w:r w:rsidR="00470002">
        <w:t xml:space="preserve">TDSPs also provide metering services. </w:t>
      </w:r>
      <w:r w:rsidR="00A459F0">
        <w:t>REPs p</w:t>
      </w:r>
      <w:r w:rsidR="00A459F0" w:rsidRPr="00A459F0">
        <w:t>urchase wholesale electr</w:t>
      </w:r>
      <w:r w:rsidR="00240B72">
        <w:t>ic power for re-sale to retail c</w:t>
      </w:r>
      <w:r w:rsidR="00A459F0" w:rsidRPr="00A459F0">
        <w:t xml:space="preserve">ustomers </w:t>
      </w:r>
      <w:r w:rsidR="00F45B7E">
        <w:t>(i.e.</w:t>
      </w:r>
      <w:r w:rsidR="0047589C">
        <w:t>,</w:t>
      </w:r>
      <w:r w:rsidR="00F45B7E">
        <w:t xml:space="preserve"> residential, small business, and industrial)</w:t>
      </w:r>
      <w:r w:rsidR="00A459F0">
        <w:t xml:space="preserve">. </w:t>
      </w:r>
      <w:r w:rsidR="00F45B7E">
        <w:t xml:space="preserve"> </w:t>
      </w:r>
      <w:r w:rsidR="00A459F0">
        <w:t xml:space="preserve">Customers buy electricity from a REP of their choice using </w:t>
      </w:r>
      <w:r w:rsidR="00110662">
        <w:t>fac</w:t>
      </w:r>
      <w:r w:rsidR="00A459F0">
        <w:t>tors such as</w:t>
      </w:r>
      <w:r w:rsidR="00110662">
        <w:t xml:space="preserve"> price, term, product offerings, and customer service</w:t>
      </w:r>
      <w:r w:rsidR="00A459F0">
        <w:t xml:space="preserve"> in their decision-making</w:t>
      </w:r>
      <w:r w:rsidR="00110662">
        <w:t xml:space="preserve">. </w:t>
      </w:r>
      <w:r w:rsidR="00240B72">
        <w:t>Finally, Third Parties provide ancillary services to customers (energy efficiency products and HAN services).</w:t>
      </w:r>
      <w:r w:rsidR="00240B72" w:rsidDel="00D12F00">
        <w:t xml:space="preserve"> </w:t>
      </w:r>
      <w:bookmarkStart w:id="8" w:name="_Ref352241718"/>
    </w:p>
    <w:bookmarkEnd w:id="8"/>
    <w:p w:rsidR="00110662" w:rsidRDefault="00110662" w:rsidP="00240B72">
      <w:pPr>
        <w:jc w:val="both"/>
      </w:pPr>
    </w:p>
    <w:p w:rsidR="00110662" w:rsidRPr="006E14DA" w:rsidRDefault="00962B39" w:rsidP="00110662">
      <w:pPr>
        <w:keepNext/>
        <w:rPr>
          <w:rFonts w:ascii="Arial" w:hAnsi="Arial"/>
          <w:sz w:val="20"/>
          <w:szCs w:val="20"/>
        </w:rPr>
      </w:pPr>
      <w:r w:rsidRPr="006E14DA">
        <w:rPr>
          <w:rFonts w:ascii="Arial" w:hAnsi="Arial"/>
          <w:noProof/>
          <w:sz w:val="20"/>
          <w:szCs w:val="20"/>
        </w:rPr>
        <w:drawing>
          <wp:inline distT="0" distB="0" distL="0" distR="0" wp14:anchorId="7461ADD3" wp14:editId="6256784D">
            <wp:extent cx="5943600" cy="328954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3289542"/>
                    </a:xfrm>
                    <a:prstGeom prst="rect">
                      <a:avLst/>
                    </a:prstGeom>
                    <a:noFill/>
                    <a:ln w="9525">
                      <a:noFill/>
                      <a:miter lim="800000"/>
                      <a:headEnd/>
                      <a:tailEnd/>
                    </a:ln>
                  </pic:spPr>
                </pic:pic>
              </a:graphicData>
            </a:graphic>
          </wp:inline>
        </w:drawing>
      </w:r>
    </w:p>
    <w:p w:rsidR="00110662" w:rsidRPr="006E14DA" w:rsidRDefault="00110662" w:rsidP="00110662">
      <w:pPr>
        <w:pStyle w:val="Caption"/>
        <w:rPr>
          <w:rFonts w:ascii="Arial" w:hAnsi="Arial"/>
          <w:sz w:val="20"/>
          <w:szCs w:val="20"/>
        </w:rPr>
      </w:pPr>
      <w:bookmarkStart w:id="9" w:name="_Ref351543353"/>
      <w:bookmarkStart w:id="10" w:name="_Toc367210595"/>
      <w:r w:rsidRPr="006E14DA">
        <w:rPr>
          <w:rFonts w:ascii="Arial" w:hAnsi="Arial"/>
          <w:sz w:val="20"/>
          <w:szCs w:val="20"/>
        </w:rPr>
        <w:t xml:space="preserve">Figure </w:t>
      </w:r>
      <w:r w:rsidR="00CE48DF" w:rsidRPr="006E14DA">
        <w:rPr>
          <w:rFonts w:ascii="Arial" w:hAnsi="Arial"/>
          <w:sz w:val="20"/>
          <w:szCs w:val="20"/>
        </w:rPr>
        <w:fldChar w:fldCharType="begin"/>
      </w:r>
      <w:r w:rsidR="00CE48DF" w:rsidRPr="006E14DA">
        <w:rPr>
          <w:rFonts w:ascii="Arial" w:hAnsi="Arial"/>
          <w:sz w:val="20"/>
          <w:szCs w:val="20"/>
        </w:rPr>
        <w:instrText xml:space="preserve"> SEQ Figure \* ARABIC </w:instrText>
      </w:r>
      <w:r w:rsidR="00CE48DF" w:rsidRPr="006E14DA">
        <w:rPr>
          <w:rFonts w:ascii="Arial" w:hAnsi="Arial"/>
          <w:sz w:val="20"/>
          <w:szCs w:val="20"/>
        </w:rPr>
        <w:fldChar w:fldCharType="separate"/>
      </w:r>
      <w:r w:rsidR="00F609FD" w:rsidRPr="006E14DA">
        <w:rPr>
          <w:rFonts w:ascii="Arial" w:hAnsi="Arial"/>
          <w:noProof/>
          <w:sz w:val="20"/>
          <w:szCs w:val="20"/>
        </w:rPr>
        <w:t>1</w:t>
      </w:r>
      <w:r w:rsidR="00CE48DF" w:rsidRPr="006E14DA">
        <w:rPr>
          <w:rFonts w:ascii="Arial" w:hAnsi="Arial"/>
          <w:sz w:val="20"/>
          <w:szCs w:val="20"/>
        </w:rPr>
        <w:fldChar w:fldCharType="end"/>
      </w:r>
      <w:bookmarkEnd w:id="9"/>
      <w:r w:rsidRPr="006E14DA">
        <w:rPr>
          <w:rFonts w:ascii="Arial" w:hAnsi="Arial"/>
          <w:sz w:val="20"/>
          <w:szCs w:val="20"/>
        </w:rPr>
        <w:t>: Texas Competitive Market Structure</w:t>
      </w:r>
      <w:r w:rsidR="00962B39" w:rsidRPr="006E14DA">
        <w:rPr>
          <w:rStyle w:val="FootnoteReference"/>
          <w:rFonts w:ascii="Arial" w:hAnsi="Arial"/>
          <w:b w:val="0"/>
          <w:sz w:val="20"/>
          <w:szCs w:val="20"/>
        </w:rPr>
        <w:footnoteReference w:id="6"/>
      </w:r>
      <w:bookmarkEnd w:id="10"/>
    </w:p>
    <w:p w:rsidR="00110662" w:rsidRDefault="00110662" w:rsidP="00240B72">
      <w:pPr>
        <w:spacing w:after="0"/>
        <w:jc w:val="both"/>
      </w:pPr>
      <w:r>
        <w:t xml:space="preserve">This type of market structure complicates and presents unique challenges </w:t>
      </w:r>
      <w:r w:rsidR="00C57CBF">
        <w:t>to</w:t>
      </w:r>
      <w:r>
        <w:t xml:space="preserve"> the effective exchange of</w:t>
      </w:r>
      <w:r w:rsidR="00C57CBF">
        <w:t xml:space="preserve"> smart meter</w:t>
      </w:r>
      <w:r>
        <w:t xml:space="preserve"> information between the market participants. For example, the entity that owns and reads the meter, the TDSP, is not the same entity t</w:t>
      </w:r>
      <w:r w:rsidR="00EC5779">
        <w:t>hat interfaces with the retail c</w:t>
      </w:r>
      <w:r>
        <w:t>ustomer,</w:t>
      </w:r>
      <w:r w:rsidR="00C57CBF">
        <w:t xml:space="preserve"> the REP</w:t>
      </w:r>
      <w:r w:rsidR="00EC5779">
        <w:t>.</w:t>
      </w:r>
      <w:r w:rsidR="00C57CBF">
        <w:t xml:space="preserve"> </w:t>
      </w:r>
      <w:r w:rsidR="00EC5779">
        <w:t>The REP</w:t>
      </w:r>
      <w:r w:rsidR="00EC5779" w:rsidDel="005478CA">
        <w:t xml:space="preserve"> needs the Customer </w:t>
      </w:r>
      <w:r w:rsidR="00EC5779">
        <w:t xml:space="preserve">smart meter </w:t>
      </w:r>
      <w:r w:rsidR="00EC5779" w:rsidDel="005478CA">
        <w:t xml:space="preserve">usage information for billing, product development, and supply risk management. </w:t>
      </w:r>
      <w:r>
        <w:t xml:space="preserve"> Another complicating factor is that a REP may have Customers</w:t>
      </w:r>
      <w:r w:rsidR="00F41418">
        <w:t xml:space="preserve"> in multiple TDSP service areas</w:t>
      </w:r>
      <w:r w:rsidR="00CB359B">
        <w:t xml:space="preserve"> and </w:t>
      </w:r>
      <w:r w:rsidR="00550179">
        <w:t xml:space="preserve">will </w:t>
      </w:r>
      <w:r w:rsidR="00CB359B">
        <w:t>nee</w:t>
      </w:r>
      <w:r w:rsidR="00550179">
        <w:t>d</w:t>
      </w:r>
      <w:r w:rsidR="00CB359B">
        <w:t xml:space="preserve"> </w:t>
      </w:r>
      <w:r w:rsidR="00550179">
        <w:t xml:space="preserve">to </w:t>
      </w:r>
      <w:r w:rsidR="00EC5779">
        <w:t>interface with those TDSPs to receive the smart meter usage information</w:t>
      </w:r>
      <w:r w:rsidR="00CB359B">
        <w:t>. The introduction of Third Parties</w:t>
      </w:r>
      <w:r w:rsidR="00550179">
        <w:t>,</w:t>
      </w:r>
      <w:r w:rsidR="00CB359B">
        <w:t xml:space="preserve"> </w:t>
      </w:r>
      <w:r w:rsidR="00550179">
        <w:t xml:space="preserve">who require the Customer’s authorization prior to </w:t>
      </w:r>
      <w:r w:rsidR="00CB359B">
        <w:t>accessing smart meter information</w:t>
      </w:r>
      <w:r w:rsidR="00550179">
        <w:t>,</w:t>
      </w:r>
      <w:r w:rsidR="00CB359B">
        <w:t xml:space="preserve"> adds another layer of complexity. </w:t>
      </w:r>
      <w:r w:rsidR="00550179">
        <w:t>All these complications and the requirements</w:t>
      </w:r>
      <w:r w:rsidR="00C13A93">
        <w:t xml:space="preserve"> of the market participants</w:t>
      </w:r>
      <w:r w:rsidR="00FD0689">
        <w:t xml:space="preserve"> </w:t>
      </w:r>
      <w:r w:rsidR="00C13A93">
        <w:t xml:space="preserve">were addressed in a collaborative process that resulted in the </w:t>
      </w:r>
      <w:r w:rsidR="005847E5">
        <w:t xml:space="preserve">interoperable </w:t>
      </w:r>
      <w:r w:rsidR="00C13A93">
        <w:t>SMT</w:t>
      </w:r>
      <w:r w:rsidR="00550179">
        <w:t xml:space="preserve"> solution</w:t>
      </w:r>
      <w:r w:rsidR="00C13A93">
        <w:t>.</w:t>
      </w:r>
    </w:p>
    <w:p w:rsidR="00EC5779" w:rsidRDefault="00EC5779" w:rsidP="00240B72">
      <w:pPr>
        <w:spacing w:after="0"/>
        <w:jc w:val="both"/>
      </w:pPr>
    </w:p>
    <w:p w:rsidR="0090424A" w:rsidRPr="00040188" w:rsidRDefault="006D6150" w:rsidP="004A5AEB">
      <w:pPr>
        <w:pStyle w:val="Heading2"/>
        <w:tabs>
          <w:tab w:val="clear" w:pos="576"/>
        </w:tabs>
        <w:spacing w:before="360"/>
        <w:ind w:left="0" w:hanging="630"/>
      </w:pPr>
      <w:bookmarkStart w:id="11" w:name="_Toc401563533"/>
      <w:r>
        <w:t>Smart Meter Texas</w:t>
      </w:r>
      <w:bookmarkEnd w:id="11"/>
      <w:r>
        <w:t xml:space="preserve"> </w:t>
      </w:r>
    </w:p>
    <w:p w:rsidR="00290B1A" w:rsidRDefault="00290B1A" w:rsidP="00AA6DD5">
      <w:pPr>
        <w:pStyle w:val="Heading3"/>
      </w:pPr>
      <w:r>
        <w:t>Introduction</w:t>
      </w:r>
    </w:p>
    <w:p w:rsidR="002F3EA0" w:rsidRDefault="00EF3065" w:rsidP="004A5AEB">
      <w:pPr>
        <w:jc w:val="both"/>
      </w:pPr>
      <w:r>
        <w:t xml:space="preserve">SMT was developed as an interoperable solution to standardize the smart meter information transfer and communications between multiple market participants. </w:t>
      </w:r>
      <w:r w:rsidR="00305AE5">
        <w:t xml:space="preserve">SMT is </w:t>
      </w:r>
      <w:r w:rsidR="009D5AC6">
        <w:t>a</w:t>
      </w:r>
      <w:r w:rsidR="00305AE5">
        <w:t xml:space="preserve"> c</w:t>
      </w:r>
      <w:r w:rsidR="00A54DDA">
        <w:t>ommon</w:t>
      </w:r>
      <w:r w:rsidR="00305AE5">
        <w:t xml:space="preserve"> </w:t>
      </w:r>
      <w:r w:rsidR="00CE1DE9">
        <w:t xml:space="preserve">data repository for </w:t>
      </w:r>
      <w:r w:rsidR="009D5AC6">
        <w:t>multiple</w:t>
      </w:r>
      <w:r w:rsidR="002A06BC">
        <w:rPr>
          <w:rStyle w:val="FootnoteReference"/>
        </w:rPr>
        <w:footnoteReference w:id="7"/>
      </w:r>
      <w:r w:rsidR="00CE1DE9">
        <w:t xml:space="preserve"> TDSPs, </w:t>
      </w:r>
      <w:r w:rsidR="009D5AC6">
        <w:t>a</w:t>
      </w:r>
      <w:r w:rsidR="00CE1DE9">
        <w:t xml:space="preserve"> common </w:t>
      </w:r>
      <w:r w:rsidR="00305AE5">
        <w:t xml:space="preserve">interface </w:t>
      </w:r>
      <w:r w:rsidR="00CE1DE9">
        <w:t>for Customers, ROR</w:t>
      </w:r>
      <w:r w:rsidR="00305AE5">
        <w:t xml:space="preserve">s, </w:t>
      </w:r>
      <w:r w:rsidR="00CE1DE9">
        <w:t xml:space="preserve">and </w:t>
      </w:r>
      <w:r w:rsidR="00305AE5">
        <w:t>Third Parties</w:t>
      </w:r>
      <w:r w:rsidR="00CE1DE9">
        <w:t xml:space="preserve"> to access</w:t>
      </w:r>
      <w:r w:rsidR="00305AE5">
        <w:t xml:space="preserve"> </w:t>
      </w:r>
      <w:r w:rsidR="00CE1DE9">
        <w:t>usage information,</w:t>
      </w:r>
      <w:r w:rsidR="007D2A86">
        <w:t xml:space="preserve"> and </w:t>
      </w:r>
      <w:r w:rsidR="00A70B12">
        <w:t>the</w:t>
      </w:r>
      <w:r w:rsidR="00CE1DE9">
        <w:t xml:space="preserve"> common interface for </w:t>
      </w:r>
      <w:r w:rsidR="007D2A86">
        <w:t>HAN communications</w:t>
      </w:r>
      <w:r w:rsidR="00CE1DE9">
        <w:t xml:space="preserve"> that use</w:t>
      </w:r>
      <w:r w:rsidR="007D2A86">
        <w:t xml:space="preserve"> the TDSP AMS communication network</w:t>
      </w:r>
      <w:r w:rsidR="00305AE5">
        <w:t>.</w:t>
      </w:r>
      <w:r w:rsidR="00C13A93" w:rsidRPr="00C13A93">
        <w:t xml:space="preserve"> </w:t>
      </w:r>
      <w:r w:rsidR="002A06BC">
        <w:t>T</w:t>
      </w:r>
      <w:r w:rsidR="0067181B">
        <w:t xml:space="preserve">he SMT conceptual model </w:t>
      </w:r>
      <w:r w:rsidR="002A06BC">
        <w:t xml:space="preserve">(see </w:t>
      </w:r>
      <w:r w:rsidR="00BD0700">
        <w:fldChar w:fldCharType="begin"/>
      </w:r>
      <w:r w:rsidR="00BD0700">
        <w:instrText xml:space="preserve"> REF _Ref351552976 \h  \* MERGEFORMAT </w:instrText>
      </w:r>
      <w:r w:rsidR="00BD0700">
        <w:fldChar w:fldCharType="separate"/>
      </w:r>
      <w:r w:rsidR="00F609FD">
        <w:t>Figure 2</w:t>
      </w:r>
      <w:r w:rsidR="00BD0700">
        <w:fldChar w:fldCharType="end"/>
      </w:r>
      <w:r w:rsidR="002A06BC">
        <w:t>) shows</w:t>
      </w:r>
      <w:r w:rsidR="0067181B">
        <w:t xml:space="preserve"> the</w:t>
      </w:r>
      <w:r w:rsidR="00C13A93">
        <w:t xml:space="preserve"> communications and data transfers between the various market participants as they relate to energy usage information and HAN communications.</w:t>
      </w:r>
    </w:p>
    <w:p w:rsidR="004A2EA2" w:rsidRDefault="004A2EA2" w:rsidP="002F3EA0">
      <w:pPr>
        <w:keepNext/>
      </w:pPr>
      <w:r w:rsidRPr="004A2EA2">
        <w:rPr>
          <w:noProof/>
        </w:rPr>
        <w:drawing>
          <wp:inline distT="0" distB="0" distL="0" distR="0" wp14:anchorId="75DA91AA" wp14:editId="5D131533">
            <wp:extent cx="5943600" cy="4746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746990"/>
                    </a:xfrm>
                    <a:prstGeom prst="rect">
                      <a:avLst/>
                    </a:prstGeom>
                    <a:noFill/>
                    <a:ln>
                      <a:noFill/>
                    </a:ln>
                  </pic:spPr>
                </pic:pic>
              </a:graphicData>
            </a:graphic>
          </wp:inline>
        </w:drawing>
      </w:r>
    </w:p>
    <w:p w:rsidR="002F3EA0" w:rsidRPr="006E14DA" w:rsidRDefault="002F3EA0" w:rsidP="00603805">
      <w:pPr>
        <w:pStyle w:val="Caption"/>
        <w:spacing w:before="240"/>
        <w:rPr>
          <w:rFonts w:ascii="Arial" w:hAnsi="Arial"/>
          <w:sz w:val="20"/>
          <w:szCs w:val="20"/>
        </w:rPr>
      </w:pPr>
      <w:bookmarkStart w:id="12" w:name="_Ref351552976"/>
      <w:bookmarkStart w:id="13" w:name="_Toc367210596"/>
      <w:r w:rsidRPr="006E14DA">
        <w:rPr>
          <w:rFonts w:ascii="Arial" w:hAnsi="Arial"/>
          <w:sz w:val="20"/>
          <w:szCs w:val="20"/>
        </w:rPr>
        <w:t xml:space="preserve">Figure </w:t>
      </w:r>
      <w:r w:rsidR="00CE48DF" w:rsidRPr="006E14DA">
        <w:rPr>
          <w:rFonts w:ascii="Arial" w:hAnsi="Arial"/>
          <w:sz w:val="20"/>
          <w:szCs w:val="20"/>
        </w:rPr>
        <w:fldChar w:fldCharType="begin"/>
      </w:r>
      <w:r w:rsidR="00CE48DF" w:rsidRPr="006E14DA">
        <w:rPr>
          <w:rFonts w:ascii="Arial" w:hAnsi="Arial"/>
          <w:sz w:val="20"/>
          <w:szCs w:val="20"/>
        </w:rPr>
        <w:instrText xml:space="preserve"> SEQ Figure \* ARABIC </w:instrText>
      </w:r>
      <w:r w:rsidR="00CE48DF" w:rsidRPr="006E14DA">
        <w:rPr>
          <w:rFonts w:ascii="Arial" w:hAnsi="Arial"/>
          <w:sz w:val="20"/>
          <w:szCs w:val="20"/>
        </w:rPr>
        <w:fldChar w:fldCharType="separate"/>
      </w:r>
      <w:r w:rsidR="00F609FD" w:rsidRPr="006E14DA">
        <w:rPr>
          <w:rFonts w:ascii="Arial" w:hAnsi="Arial"/>
          <w:noProof/>
          <w:sz w:val="20"/>
          <w:szCs w:val="20"/>
        </w:rPr>
        <w:t>2</w:t>
      </w:r>
      <w:r w:rsidR="00CE48DF" w:rsidRPr="006E14DA">
        <w:rPr>
          <w:rFonts w:ascii="Arial" w:hAnsi="Arial"/>
          <w:sz w:val="20"/>
          <w:szCs w:val="20"/>
        </w:rPr>
        <w:fldChar w:fldCharType="end"/>
      </w:r>
      <w:bookmarkEnd w:id="12"/>
      <w:r w:rsidRPr="006E14DA">
        <w:rPr>
          <w:rFonts w:ascii="Arial" w:hAnsi="Arial"/>
          <w:sz w:val="20"/>
          <w:szCs w:val="20"/>
        </w:rPr>
        <w:t>: SMT Conceptual Model</w:t>
      </w:r>
      <w:r w:rsidRPr="006E14DA">
        <w:rPr>
          <w:rStyle w:val="FootnoteReference"/>
          <w:rFonts w:ascii="Arial" w:hAnsi="Arial"/>
          <w:b w:val="0"/>
          <w:sz w:val="20"/>
          <w:szCs w:val="20"/>
        </w:rPr>
        <w:footnoteReference w:id="8"/>
      </w:r>
      <w:bookmarkEnd w:id="13"/>
    </w:p>
    <w:p w:rsidR="00D93960" w:rsidRDefault="00D93960" w:rsidP="00AA6DD5">
      <w:pPr>
        <w:pStyle w:val="Heading3"/>
      </w:pPr>
      <w:r>
        <w:t>Functions</w:t>
      </w:r>
    </w:p>
    <w:p w:rsidR="00FF564D" w:rsidRDefault="00744B8E" w:rsidP="00603805">
      <w:pPr>
        <w:spacing w:before="240"/>
      </w:pPr>
      <w:r>
        <w:t>SMT</w:t>
      </w:r>
      <w:r w:rsidR="00F27526">
        <w:t xml:space="preserve"> </w:t>
      </w:r>
      <w:r w:rsidR="00EF3065">
        <w:t>provides</w:t>
      </w:r>
      <w:r w:rsidR="00FF564D">
        <w:t xml:space="preserve"> the following three high-level functions:</w:t>
      </w:r>
    </w:p>
    <w:p w:rsidR="00FF564D" w:rsidRDefault="00FF564D" w:rsidP="00F52F1F">
      <w:pPr>
        <w:pStyle w:val="ListParagraph"/>
        <w:numPr>
          <w:ilvl w:val="0"/>
          <w:numId w:val="18"/>
        </w:numPr>
        <w:spacing w:line="360" w:lineRule="auto"/>
        <w:contextualSpacing w:val="0"/>
        <w:jc w:val="both"/>
      </w:pPr>
      <w:r w:rsidRPr="00FF564D">
        <w:rPr>
          <w:b/>
        </w:rPr>
        <w:t>Common Data Repository</w:t>
      </w:r>
      <w:r>
        <w:t>. SMT is a common data repository storing electric smart</w:t>
      </w:r>
      <w:r w:rsidR="002F4531">
        <w:t xml:space="preserve"> meter usage data received </w:t>
      </w:r>
      <w:r>
        <w:t xml:space="preserve">on a daily basis </w:t>
      </w:r>
      <w:r w:rsidR="002F4531">
        <w:t xml:space="preserve">from </w:t>
      </w:r>
      <w:r w:rsidR="002A06BC">
        <w:t xml:space="preserve">each of the Joint </w:t>
      </w:r>
      <w:r w:rsidR="00075ED5">
        <w:t>TDSPs</w:t>
      </w:r>
      <w:r>
        <w:t xml:space="preserve">. </w:t>
      </w:r>
      <w:r w:rsidR="002A06BC">
        <w:t xml:space="preserve"> </w:t>
      </w:r>
      <w:r>
        <w:t xml:space="preserve">When </w:t>
      </w:r>
      <w:r w:rsidR="00D97470">
        <w:t xml:space="preserve">the smart meter deployment </w:t>
      </w:r>
      <w:r>
        <w:t xml:space="preserve">of the Joint TDSPs </w:t>
      </w:r>
      <w:r w:rsidR="00D97470">
        <w:t>is complete</w:t>
      </w:r>
      <w:r>
        <w:t xml:space="preserve">, SMT will store </w:t>
      </w:r>
      <w:r w:rsidR="00075ED5">
        <w:t>smart meter</w:t>
      </w:r>
      <w:r>
        <w:t xml:space="preserve"> usage information f</w:t>
      </w:r>
      <w:r w:rsidR="00F52F1F">
        <w:t xml:space="preserve">or approximately </w:t>
      </w:r>
      <w:r w:rsidR="00DA33EF">
        <w:t>7</w:t>
      </w:r>
      <w:r>
        <w:t xml:space="preserve"> million meters</w:t>
      </w:r>
      <w:r w:rsidR="002F4531">
        <w:t xml:space="preserve"> </w:t>
      </w:r>
      <w:r w:rsidR="00DA33EF">
        <w:t>for up to seven years</w:t>
      </w:r>
      <w:r w:rsidR="004B1A24">
        <w:rPr>
          <w:rStyle w:val="FootnoteReference"/>
        </w:rPr>
        <w:footnoteReference w:id="9"/>
      </w:r>
      <w:r w:rsidR="00DA33EF">
        <w:t>.</w:t>
      </w:r>
    </w:p>
    <w:p w:rsidR="00DA33EF" w:rsidRDefault="00DA33EF" w:rsidP="00F52F1F">
      <w:pPr>
        <w:pStyle w:val="ListParagraph"/>
        <w:numPr>
          <w:ilvl w:val="0"/>
          <w:numId w:val="18"/>
        </w:numPr>
        <w:spacing w:line="360" w:lineRule="auto"/>
        <w:contextualSpacing w:val="0"/>
        <w:jc w:val="both"/>
      </w:pPr>
      <w:r w:rsidRPr="00DA33EF">
        <w:rPr>
          <w:b/>
        </w:rPr>
        <w:t xml:space="preserve">Access to </w:t>
      </w:r>
      <w:r>
        <w:rPr>
          <w:b/>
        </w:rPr>
        <w:t xml:space="preserve">Customer </w:t>
      </w:r>
      <w:r w:rsidRPr="00DA33EF">
        <w:rPr>
          <w:b/>
        </w:rPr>
        <w:t>Meter Data.</w:t>
      </w:r>
      <w:r>
        <w:t xml:space="preserve"> SMT </w:t>
      </w:r>
      <w:r w:rsidR="002F4531">
        <w:t xml:space="preserve">provides </w:t>
      </w:r>
      <w:r>
        <w:t xml:space="preserve">easy </w:t>
      </w:r>
      <w:r w:rsidR="002F4531">
        <w:t xml:space="preserve">access to smart meter usage data </w:t>
      </w:r>
      <w:r w:rsidR="00D966F7">
        <w:t>for</w:t>
      </w:r>
      <w:r w:rsidR="002F4531">
        <w:t xml:space="preserve"> Customers, </w:t>
      </w:r>
      <w:r w:rsidR="00075ED5">
        <w:t>ROR</w:t>
      </w:r>
      <w:r w:rsidR="00A70B12">
        <w:t>s</w:t>
      </w:r>
      <w:r w:rsidR="002F4531">
        <w:t>, and Third Parties</w:t>
      </w:r>
      <w:r w:rsidR="00E84226">
        <w:t>. Customers must explicitly grant Third Parties access to their usage data and SMT enables this authorization through a convenient, easy to use process</w:t>
      </w:r>
      <w:r w:rsidR="002F4531">
        <w:t>.</w:t>
      </w:r>
    </w:p>
    <w:p w:rsidR="003E066C" w:rsidRDefault="00DA33EF" w:rsidP="00F52F1F">
      <w:pPr>
        <w:pStyle w:val="ListParagraph"/>
        <w:numPr>
          <w:ilvl w:val="0"/>
          <w:numId w:val="18"/>
        </w:numPr>
        <w:spacing w:line="360" w:lineRule="auto"/>
        <w:contextualSpacing w:val="0"/>
        <w:jc w:val="both"/>
      </w:pPr>
      <w:r w:rsidRPr="00371F22">
        <w:rPr>
          <w:b/>
        </w:rPr>
        <w:t>HAN Device Communication.</w:t>
      </w:r>
      <w:r>
        <w:t xml:space="preserve"> </w:t>
      </w:r>
      <w:r w:rsidR="00B9543C">
        <w:t xml:space="preserve">SMT </w:t>
      </w:r>
      <w:r w:rsidR="00371F22">
        <w:t>provides</w:t>
      </w:r>
      <w:r w:rsidR="00B9543C">
        <w:t xml:space="preserve"> a standard process for adding or removing HAN devices</w:t>
      </w:r>
      <w:r w:rsidR="00371F22">
        <w:t xml:space="preserve"> on the Customer HAN</w:t>
      </w:r>
      <w:r w:rsidR="00E612A5">
        <w:rPr>
          <w:rStyle w:val="FootnoteReference"/>
        </w:rPr>
        <w:footnoteReference w:id="10"/>
      </w:r>
      <w:r w:rsidR="00371F22">
        <w:t xml:space="preserve"> and enables</w:t>
      </w:r>
      <w:r w:rsidR="00B9543C">
        <w:t xml:space="preserve"> one method of </w:t>
      </w:r>
      <w:r w:rsidR="006A75FC">
        <w:t>communicating</w:t>
      </w:r>
      <w:r w:rsidR="002F4531">
        <w:t xml:space="preserve"> with Customer </w:t>
      </w:r>
      <w:r w:rsidR="00B9543C">
        <w:t>HAN</w:t>
      </w:r>
      <w:r w:rsidR="002F4531">
        <w:t xml:space="preserve"> </w:t>
      </w:r>
      <w:r w:rsidR="0056575D">
        <w:t>devices</w:t>
      </w:r>
      <w:r>
        <w:t xml:space="preserve"> </w:t>
      </w:r>
      <w:r w:rsidR="006A75FC">
        <w:t>using</w:t>
      </w:r>
      <w:r>
        <w:t xml:space="preserve"> the TDSP AMS communication network</w:t>
      </w:r>
      <w:r w:rsidR="006A75FC">
        <w:t>. SMT provides</w:t>
      </w:r>
      <w:r w:rsidR="0056575D">
        <w:t xml:space="preserve"> </w:t>
      </w:r>
      <w:r w:rsidR="002F4531">
        <w:t xml:space="preserve">a </w:t>
      </w:r>
      <w:r w:rsidR="00BC5175">
        <w:t xml:space="preserve">common </w:t>
      </w:r>
      <w:r w:rsidR="006A75FC">
        <w:t xml:space="preserve">HAN communication </w:t>
      </w:r>
      <w:r w:rsidR="00BC5175">
        <w:t>interface</w:t>
      </w:r>
      <w:r w:rsidR="00371F22">
        <w:t>,</w:t>
      </w:r>
      <w:r>
        <w:t xml:space="preserve"> regardless of which TDSP </w:t>
      </w:r>
      <w:r w:rsidR="006A75FC">
        <w:t xml:space="preserve">service territory </w:t>
      </w:r>
      <w:r>
        <w:t xml:space="preserve">the Customer is </w:t>
      </w:r>
      <w:r w:rsidR="006A75FC">
        <w:t>located</w:t>
      </w:r>
      <w:r w:rsidR="0002798E">
        <w:t xml:space="preserve"> in</w:t>
      </w:r>
      <w:r w:rsidR="00371F22">
        <w:t>,</w:t>
      </w:r>
      <w:r w:rsidR="00B9543C">
        <w:t xml:space="preserve"> </w:t>
      </w:r>
      <w:r w:rsidR="00371F22">
        <w:t>so that</w:t>
      </w:r>
      <w:r w:rsidR="00B9543C">
        <w:t xml:space="preserve"> Customers and Third Parties may add and remove HAN devices and Third Parties may send HAN messages to Customer HAN devices using standard </w:t>
      </w:r>
      <w:r w:rsidR="00A70B12">
        <w:t xml:space="preserve">HAN </w:t>
      </w:r>
      <w:r w:rsidR="00B9543C">
        <w:t>APIs.</w:t>
      </w:r>
      <w:r w:rsidR="00371F22">
        <w:t xml:space="preserve"> </w:t>
      </w:r>
      <w:r w:rsidR="003E066C">
        <w:t>Customers must explicitly grant Third Parties permission to add HAN devices and to send HAN messages to those devices and SMT enables this authorization through a convenient, easy to use process.</w:t>
      </w:r>
    </w:p>
    <w:p w:rsidR="009770B7" w:rsidRDefault="00D653C6" w:rsidP="00AA6DD5">
      <w:pPr>
        <w:pStyle w:val="Heading3"/>
      </w:pPr>
      <w:r>
        <w:t xml:space="preserve"> </w:t>
      </w:r>
      <w:r w:rsidR="009770B7">
        <w:t>Benefits Provided</w:t>
      </w:r>
    </w:p>
    <w:p w:rsidR="00647353" w:rsidRDefault="001C4FE8" w:rsidP="00F52F1F">
      <w:pPr>
        <w:jc w:val="both"/>
      </w:pPr>
      <w:r>
        <w:t>All market participant</w:t>
      </w:r>
      <w:r w:rsidR="00C7691B">
        <w:t>s</w:t>
      </w:r>
      <w:r>
        <w:t xml:space="preserve"> have benefited from the implementation of SMT. </w:t>
      </w:r>
      <w:r w:rsidR="004E4AB5">
        <w:t>Customer</w:t>
      </w:r>
      <w:r>
        <w:t xml:space="preserve">s </w:t>
      </w:r>
      <w:r w:rsidR="002E5DE8">
        <w:t xml:space="preserve">receive </w:t>
      </w:r>
      <w:r>
        <w:t xml:space="preserve">benefit </w:t>
      </w:r>
      <w:r w:rsidR="002E5DE8">
        <w:t xml:space="preserve">from the SMT solution </w:t>
      </w:r>
      <w:r>
        <w:t>by</w:t>
      </w:r>
      <w:r w:rsidR="004E4AB5">
        <w:t xml:space="preserve"> having </w:t>
      </w:r>
      <w:r w:rsidR="002E5DE8">
        <w:t xml:space="preserve">convenient </w:t>
      </w:r>
      <w:r w:rsidR="004E4AB5">
        <w:t xml:space="preserve">access to </w:t>
      </w:r>
      <w:r w:rsidR="002E5DE8">
        <w:t>their 15-minute</w:t>
      </w:r>
      <w:r w:rsidR="004E4AB5">
        <w:t xml:space="preserve"> energy usage</w:t>
      </w:r>
      <w:r w:rsidR="002E5DE8">
        <w:t xml:space="preserve"> data no later than a day after consumption. Prior to SMT, Customers received </w:t>
      </w:r>
      <w:r>
        <w:t xml:space="preserve">a </w:t>
      </w:r>
      <w:r w:rsidR="002E5DE8">
        <w:t xml:space="preserve">monthly usage value several days after the month had ended. Customers had no way to know how much they were consuming </w:t>
      </w:r>
      <w:r>
        <w:t xml:space="preserve">throughout the month </w:t>
      </w:r>
      <w:r w:rsidR="002E5DE8">
        <w:t xml:space="preserve">or what their electricity bill might be until the month was over. Receiving timely usage information allows a Customer to understand how and when they are using electricity and </w:t>
      </w:r>
      <w:r w:rsidR="00D229D9">
        <w:t xml:space="preserve">to manage their bill by </w:t>
      </w:r>
      <w:r w:rsidR="002E5DE8">
        <w:t>adjust</w:t>
      </w:r>
      <w:r w:rsidR="00D229D9">
        <w:t>ing their usage during the month</w:t>
      </w:r>
      <w:r w:rsidR="002E5DE8">
        <w:t xml:space="preserve">. </w:t>
      </w:r>
      <w:r w:rsidR="00647353">
        <w:t xml:space="preserve">SMT also provides a convenient and easy to use method for Customers to share and control access to their electric usage data. By gaining access to Customer usage data, Third Party companies may develop and provide Customers </w:t>
      </w:r>
      <w:r w:rsidR="00D653C6">
        <w:t xml:space="preserve">with </w:t>
      </w:r>
      <w:r w:rsidR="00647353">
        <w:t>innovative electric market services related to innovative pricing plans (e.g.</w:t>
      </w:r>
      <w:r w:rsidR="0047589C">
        <w:t>,</w:t>
      </w:r>
      <w:r w:rsidR="00647353">
        <w:t xml:space="preserve"> prepayment plans, bill alerts, etc.), </w:t>
      </w:r>
      <w:r w:rsidR="00647353" w:rsidRPr="00305E4B">
        <w:t xml:space="preserve">improved efficiency, </w:t>
      </w:r>
      <w:r w:rsidR="00647353">
        <w:t xml:space="preserve">demand response, greenhouse gas reduction, and improved utilization of renewable generation. </w:t>
      </w:r>
    </w:p>
    <w:p w:rsidR="009770B7" w:rsidRDefault="009770B7" w:rsidP="00F52F1F">
      <w:pPr>
        <w:jc w:val="both"/>
      </w:pPr>
      <w:r>
        <w:t xml:space="preserve">REPs </w:t>
      </w:r>
      <w:r w:rsidR="00643EF6">
        <w:t xml:space="preserve">and Third Parties </w:t>
      </w:r>
      <w:r>
        <w:t xml:space="preserve">benefit by having one common </w:t>
      </w:r>
      <w:r w:rsidR="00643EF6">
        <w:t>interface</w:t>
      </w:r>
      <w:r>
        <w:t xml:space="preserve"> to download </w:t>
      </w:r>
      <w:r w:rsidR="00C7691B">
        <w:t xml:space="preserve">Customer </w:t>
      </w:r>
      <w:r>
        <w:t>energy usage data that is required for business operations. Prior to the creation of SMT, the TDSPs were considering individual solutions for the delivery</w:t>
      </w:r>
      <w:r w:rsidR="00643EF6">
        <w:t xml:space="preserve"> of smart meter information</w:t>
      </w:r>
      <w:r>
        <w:t>.  Without SMT, TDSPs</w:t>
      </w:r>
      <w:r w:rsidR="00643EF6">
        <w:t>,</w:t>
      </w:r>
      <w:r>
        <w:t xml:space="preserve"> REPs</w:t>
      </w:r>
      <w:r w:rsidR="00643EF6">
        <w:t>, and Third Parties</w:t>
      </w:r>
      <w:r>
        <w:t xml:space="preserve"> would have higher operational costs resulting from the development and operation of multiple data portals. The higher operational costs would be passed on to Customers, resulting in a high</w:t>
      </w:r>
      <w:r w:rsidR="00643EF6">
        <w:t xml:space="preserve">er cost for electric service.  </w:t>
      </w:r>
      <w:r>
        <w:t xml:space="preserve">REPs </w:t>
      </w:r>
      <w:r w:rsidR="00643EF6">
        <w:t xml:space="preserve">and Third Parties </w:t>
      </w:r>
      <w:r>
        <w:t xml:space="preserve">also benefit from the </w:t>
      </w:r>
      <w:r w:rsidR="008D6FC3">
        <w:t>Joint TDSPs</w:t>
      </w:r>
      <w:r w:rsidR="00D229D9">
        <w:t xml:space="preserve"> </w:t>
      </w:r>
      <w:r>
        <w:t xml:space="preserve">use of a standardized data format in delivering metered usage data. This standardization reduces operational costs which can be expected to result in savings to Customers. </w:t>
      </w:r>
    </w:p>
    <w:p w:rsidR="007E75D4" w:rsidRDefault="007E75D4" w:rsidP="00F52F1F">
      <w:pPr>
        <w:jc w:val="both"/>
      </w:pPr>
      <w:r>
        <w:t xml:space="preserve">Even though the Joint TDSPs installed smart meters from different manufacturers and </w:t>
      </w:r>
      <w:r w:rsidR="00C7691B">
        <w:t>deployed</w:t>
      </w:r>
      <w:r>
        <w:t xml:space="preserve"> different AMS communication technology, the interoperability of SMT provides a common interface using standard methods for installing </w:t>
      </w:r>
      <w:r w:rsidR="00623CBC">
        <w:t>In-</w:t>
      </w:r>
      <w:r>
        <w:t>H</w:t>
      </w:r>
      <w:r w:rsidR="00623CBC">
        <w:t>ome</w:t>
      </w:r>
      <w:r>
        <w:t xml:space="preserve"> </w:t>
      </w:r>
      <w:r w:rsidR="00623CBC">
        <w:t>D</w:t>
      </w:r>
      <w:r>
        <w:t xml:space="preserve">evices and communicating with Customer </w:t>
      </w:r>
      <w:r w:rsidR="00623CBC">
        <w:t>In-Home D</w:t>
      </w:r>
      <w:r>
        <w:t xml:space="preserve">evices. </w:t>
      </w:r>
      <w:r w:rsidR="00623CBC">
        <w:t>In-Home D</w:t>
      </w:r>
      <w:r>
        <w:t>evices enable or expand several of the benefits associated with smart meters</w:t>
      </w:r>
      <w:r w:rsidR="00C7691B">
        <w:t xml:space="preserve"> and</w:t>
      </w:r>
      <w:r>
        <w:t xml:space="preserve"> can play an important role in the delivery of electric se</w:t>
      </w:r>
      <w:r w:rsidR="00305E4B">
        <w:t xml:space="preserve">rvices such as demand response </w:t>
      </w:r>
      <w:r>
        <w:t>and time-of-use pricing plans.</w:t>
      </w:r>
    </w:p>
    <w:p w:rsidR="007E75D4" w:rsidRDefault="007E75D4" w:rsidP="00F52F1F">
      <w:pPr>
        <w:jc w:val="both"/>
      </w:pPr>
      <w:r>
        <w:t>SMT provides a set of common user interfaces,</w:t>
      </w:r>
      <w:r w:rsidR="00647353">
        <w:t xml:space="preserve"> standard</w:t>
      </w:r>
      <w:r>
        <w:t xml:space="preserve"> APIs</w:t>
      </w:r>
      <w:r w:rsidR="00647353">
        <w:t>,</w:t>
      </w:r>
      <w:r>
        <w:t xml:space="preserve"> and </w:t>
      </w:r>
      <w:r w:rsidR="00647353">
        <w:t>standard HAN</w:t>
      </w:r>
      <w:r>
        <w:t xml:space="preserve"> messages that enable Third Parties to communicate with Customer </w:t>
      </w:r>
      <w:r w:rsidR="00623CBC">
        <w:t>In-Home D</w:t>
      </w:r>
      <w:r>
        <w:t xml:space="preserve">evices regardless of which TDSP service territory the </w:t>
      </w:r>
      <w:r w:rsidR="001422C9">
        <w:t>Customer</w:t>
      </w:r>
      <w:r>
        <w:t xml:space="preserve"> is in. Without the HAN support provided by SMT, the rate of </w:t>
      </w:r>
      <w:r w:rsidR="00623CBC">
        <w:t>In-Home D</w:t>
      </w:r>
      <w:r>
        <w:t>evice adoption and types of HAN related services available in Texas would be reduced and the costs would be higher.</w:t>
      </w:r>
    </w:p>
    <w:p w:rsidR="007E75D4" w:rsidRPr="009770B7" w:rsidRDefault="007E75D4" w:rsidP="00F52F1F">
      <w:pPr>
        <w:jc w:val="both"/>
      </w:pPr>
      <w:r>
        <w:t xml:space="preserve">Other benefits provided by SMT are the end-to-end </w:t>
      </w:r>
      <w:r w:rsidR="00623CBC">
        <w:t>In-Home D</w:t>
      </w:r>
      <w:r>
        <w:t xml:space="preserve">evice testing program and the lessons learned that were shared with national smart grid standards </w:t>
      </w:r>
      <w:r w:rsidR="00F52F1F">
        <w:t>organizations</w:t>
      </w:r>
      <w:r>
        <w:t xml:space="preserve">. The work done by the SMT team in the development and testing of the SMT HAN functionality resulted in a refinement of the </w:t>
      </w:r>
      <w:r w:rsidR="00305E4B">
        <w:t>ZigBee Smart Energy Profile v1.x, the creation of</w:t>
      </w:r>
      <w:r>
        <w:t xml:space="preserve"> standardized HAN messaging API</w:t>
      </w:r>
      <w:r w:rsidR="00305E4B">
        <w:t>s</w:t>
      </w:r>
      <w:r>
        <w:t xml:space="preserve">, and the creation of a standard test script to test the interoperability of </w:t>
      </w:r>
      <w:r w:rsidR="00623CBC">
        <w:t>In-Home D</w:t>
      </w:r>
      <w:r>
        <w:t xml:space="preserve">evices under development. This standardization and testing has stimulated the </w:t>
      </w:r>
      <w:r w:rsidR="00623CBC">
        <w:t>In-Home D</w:t>
      </w:r>
      <w:r>
        <w:t xml:space="preserve">evice market and provided Texas Customers with a greater selection of </w:t>
      </w:r>
      <w:r w:rsidR="00623CBC">
        <w:t>In-Home D</w:t>
      </w:r>
      <w:r>
        <w:t>evices than in any other electric market in the US.</w:t>
      </w:r>
    </w:p>
    <w:p w:rsidR="00D93960" w:rsidRDefault="00623CBC" w:rsidP="00AA6DD5">
      <w:pPr>
        <w:pStyle w:val="Heading3"/>
      </w:pPr>
      <w:bookmarkStart w:id="14" w:name="_Ref352080145"/>
      <w:r>
        <w:t xml:space="preserve"> </w:t>
      </w:r>
      <w:r w:rsidR="00D93960">
        <w:t>Development</w:t>
      </w:r>
      <w:bookmarkEnd w:id="14"/>
    </w:p>
    <w:p w:rsidR="00A32745" w:rsidRDefault="001B2CFD" w:rsidP="00F52F1F">
      <w:pPr>
        <w:jc w:val="both"/>
      </w:pPr>
      <w:r>
        <w:t xml:space="preserve">SMT </w:t>
      </w:r>
      <w:r w:rsidR="0075576B">
        <w:t>was</w:t>
      </w:r>
      <w:r>
        <w:t xml:space="preserve"> the product of a collaborative stakeholder-driven process initiated by the Public Utility Commission of Texas (PUCT), designed to support the Advanced Metering System (AMS) deployment in the Texas competitive electricity</w:t>
      </w:r>
      <w:r w:rsidR="00BC5175">
        <w:t xml:space="preserve"> market</w:t>
      </w:r>
      <w:r w:rsidR="0075576B">
        <w:t xml:space="preserve">. </w:t>
      </w:r>
      <w:r>
        <w:t xml:space="preserve">The process of developing </w:t>
      </w:r>
      <w:r w:rsidR="00D97470">
        <w:t xml:space="preserve">and implementing </w:t>
      </w:r>
      <w:r>
        <w:t>SMT followed widely recognized smart grid methodologies</w:t>
      </w:r>
      <w:r w:rsidR="00D97470">
        <w:t>, guiding principles, architectural goals, best practices, smart grid standards and web standards such as the following:</w:t>
      </w:r>
    </w:p>
    <w:p w:rsidR="00A32745" w:rsidRDefault="001B2CFD" w:rsidP="0047589C">
      <w:pPr>
        <w:pStyle w:val="ListParagraph"/>
        <w:numPr>
          <w:ilvl w:val="0"/>
          <w:numId w:val="19"/>
        </w:numPr>
        <w:jc w:val="both"/>
      </w:pPr>
      <w:r>
        <w:t>IntelliGrid Methodology for Developing Requirements for Energy Systems</w:t>
      </w:r>
    </w:p>
    <w:p w:rsidR="00A32745" w:rsidRDefault="001B2CFD" w:rsidP="0047589C">
      <w:pPr>
        <w:pStyle w:val="ListParagraph"/>
        <w:numPr>
          <w:ilvl w:val="0"/>
          <w:numId w:val="19"/>
        </w:numPr>
        <w:jc w:val="both"/>
      </w:pPr>
      <w:r>
        <w:t xml:space="preserve">Grid Wise Architecture Council’s (GWAC) Interoperability Layered Categories </w:t>
      </w:r>
    </w:p>
    <w:p w:rsidR="00A32745" w:rsidRDefault="001B2CFD" w:rsidP="0047589C">
      <w:pPr>
        <w:pStyle w:val="ListParagraph"/>
        <w:numPr>
          <w:ilvl w:val="0"/>
          <w:numId w:val="19"/>
        </w:numPr>
        <w:jc w:val="both"/>
      </w:pPr>
      <w:r>
        <w:t xml:space="preserve">National Institute of Standards and Technology (NIST) </w:t>
      </w:r>
      <w:r w:rsidR="00A32745">
        <w:t xml:space="preserve">Guiding Principles for identifying interoperable smart grid standards </w:t>
      </w:r>
    </w:p>
    <w:p w:rsidR="00A32745" w:rsidRDefault="001B2CFD" w:rsidP="0047589C">
      <w:pPr>
        <w:pStyle w:val="ListParagraph"/>
        <w:numPr>
          <w:ilvl w:val="0"/>
          <w:numId w:val="19"/>
        </w:numPr>
        <w:jc w:val="both"/>
      </w:pPr>
      <w:r>
        <w:t xml:space="preserve">NIST </w:t>
      </w:r>
      <w:r w:rsidR="00A32745">
        <w:t>Architectural Goals for the Smart G</w:t>
      </w:r>
      <w:r>
        <w:t>rid</w:t>
      </w:r>
    </w:p>
    <w:p w:rsidR="00C10116" w:rsidRDefault="00C10116" w:rsidP="0047589C">
      <w:pPr>
        <w:pStyle w:val="ListParagraph"/>
        <w:numPr>
          <w:ilvl w:val="0"/>
          <w:numId w:val="19"/>
        </w:numPr>
        <w:jc w:val="both"/>
      </w:pPr>
      <w:bookmarkStart w:id="15" w:name="_Toc352236711"/>
      <w:r>
        <w:t>NIST Guidelines for Smart Grid Cyber Security</w:t>
      </w:r>
      <w:bookmarkEnd w:id="15"/>
    </w:p>
    <w:p w:rsidR="00A32745" w:rsidRDefault="00A32745" w:rsidP="0047589C">
      <w:pPr>
        <w:pStyle w:val="ListParagraph"/>
        <w:numPr>
          <w:ilvl w:val="0"/>
          <w:numId w:val="19"/>
        </w:numPr>
        <w:jc w:val="both"/>
      </w:pPr>
      <w:r w:rsidRPr="00D301AE">
        <w:t>PCI and NERC CIP cyber security standards</w:t>
      </w:r>
    </w:p>
    <w:p w:rsidR="00A32745" w:rsidRDefault="00A32745" w:rsidP="0047589C">
      <w:pPr>
        <w:pStyle w:val="ListParagraph"/>
        <w:numPr>
          <w:ilvl w:val="0"/>
          <w:numId w:val="19"/>
        </w:numPr>
        <w:tabs>
          <w:tab w:val="left" w:pos="1800"/>
        </w:tabs>
        <w:spacing w:after="120"/>
        <w:jc w:val="both"/>
      </w:pPr>
      <w:r>
        <w:t>Green Button Initiative</w:t>
      </w:r>
    </w:p>
    <w:p w:rsidR="00A32745" w:rsidRDefault="00A32745" w:rsidP="0047589C">
      <w:pPr>
        <w:pStyle w:val="ListParagraph"/>
        <w:numPr>
          <w:ilvl w:val="0"/>
          <w:numId w:val="19"/>
        </w:numPr>
        <w:tabs>
          <w:tab w:val="left" w:pos="1800"/>
        </w:tabs>
        <w:spacing w:after="120"/>
        <w:jc w:val="both"/>
      </w:pPr>
      <w:r>
        <w:t xml:space="preserve">ZigBee Smart Energy Profile </w:t>
      </w:r>
    </w:p>
    <w:p w:rsidR="00A32745" w:rsidRDefault="00A32745" w:rsidP="0047589C">
      <w:pPr>
        <w:pStyle w:val="ListParagraph"/>
        <w:numPr>
          <w:ilvl w:val="0"/>
          <w:numId w:val="19"/>
        </w:numPr>
        <w:tabs>
          <w:tab w:val="left" w:pos="1800"/>
        </w:tabs>
        <w:spacing w:after="120"/>
        <w:jc w:val="both"/>
      </w:pPr>
      <w:r>
        <w:t>NAESB Third Party Access to Smart Meter-based Information</w:t>
      </w:r>
    </w:p>
    <w:p w:rsidR="00A32745" w:rsidRDefault="00A32745" w:rsidP="0047589C">
      <w:pPr>
        <w:pStyle w:val="ListParagraph"/>
        <w:numPr>
          <w:ilvl w:val="0"/>
          <w:numId w:val="19"/>
        </w:numPr>
        <w:tabs>
          <w:tab w:val="left" w:pos="1800"/>
        </w:tabs>
        <w:spacing w:after="120"/>
        <w:jc w:val="both"/>
      </w:pPr>
      <w:r>
        <w:t>UCAIug Home Area Network System Requirements Specification</w:t>
      </w:r>
    </w:p>
    <w:p w:rsidR="00A32745" w:rsidRDefault="00A32745" w:rsidP="0047589C">
      <w:pPr>
        <w:pStyle w:val="ListParagraph"/>
        <w:numPr>
          <w:ilvl w:val="0"/>
          <w:numId w:val="19"/>
        </w:numPr>
        <w:tabs>
          <w:tab w:val="left" w:pos="1800"/>
        </w:tabs>
        <w:spacing w:after="120"/>
        <w:jc w:val="both"/>
      </w:pPr>
      <w:r>
        <w:t>Web Standards</w:t>
      </w:r>
      <w:r w:rsidR="00C008D5">
        <w:t xml:space="preserve"> (e.g.</w:t>
      </w:r>
      <w:r w:rsidR="0047589C">
        <w:t>,</w:t>
      </w:r>
      <w:r w:rsidR="00C008D5">
        <w:t xml:space="preserve"> Extensible Hypertext Markup Language (XHTML), Cascading Style Sheets (CSS), </w:t>
      </w:r>
      <w:r w:rsidR="009D0723">
        <w:t>JavaScript, etc.)</w:t>
      </w:r>
    </w:p>
    <w:p w:rsidR="00B15D33" w:rsidRDefault="00B15D33" w:rsidP="0047589C">
      <w:pPr>
        <w:ind w:left="46"/>
        <w:jc w:val="both"/>
      </w:pPr>
      <w:r>
        <w:t>F</w:t>
      </w:r>
      <w:r w:rsidR="001B2CFD">
        <w:t>ollowing these industry methodologies and standards</w:t>
      </w:r>
      <w:r w:rsidR="00D97470">
        <w:t xml:space="preserve"> produced an interoperable solution providing</w:t>
      </w:r>
      <w:r w:rsidR="001B2CFD">
        <w:t xml:space="preserve"> users access to </w:t>
      </w:r>
      <w:r w:rsidR="00D97470">
        <w:t xml:space="preserve">smart meter </w:t>
      </w:r>
      <w:r w:rsidR="001B2CFD">
        <w:t>usage</w:t>
      </w:r>
      <w:r w:rsidR="00D97470">
        <w:t xml:space="preserve"> information and </w:t>
      </w:r>
      <w:r w:rsidR="00623CBC">
        <w:t>In-Home D</w:t>
      </w:r>
      <w:r w:rsidR="00D97470">
        <w:t>evice communication through</w:t>
      </w:r>
      <w:r w:rsidR="001B2CFD">
        <w:t xml:space="preserve"> standardized and secure interfaces.</w:t>
      </w:r>
      <w:r w:rsidR="00D97470">
        <w:t xml:space="preserve"> </w:t>
      </w:r>
    </w:p>
    <w:p w:rsidR="006E0578" w:rsidRDefault="001104CF" w:rsidP="0047589C">
      <w:pPr>
        <w:jc w:val="both"/>
      </w:pPr>
      <w:r>
        <w:t>T</w:t>
      </w:r>
      <w:r w:rsidR="006E0578">
        <w:t>he initial functionality of SMT was developed</w:t>
      </w:r>
      <w:r w:rsidRPr="001104CF">
        <w:t xml:space="preserve"> </w:t>
      </w:r>
      <w:r>
        <w:t>beginning in late 2007</w:t>
      </w:r>
      <w:r w:rsidR="006E0578">
        <w:t xml:space="preserve"> in open </w:t>
      </w:r>
      <w:r w:rsidR="00185F7A">
        <w:t xml:space="preserve">collaborative </w:t>
      </w:r>
      <w:r w:rsidR="006E0578">
        <w:t>meetings attended by a broad set of stakeholders</w:t>
      </w:r>
      <w:r w:rsidR="006E0578">
        <w:rPr>
          <w:rStyle w:val="FootnoteReference"/>
        </w:rPr>
        <w:footnoteReference w:id="11"/>
      </w:r>
      <w:r w:rsidR="006E0578">
        <w:t>. T</w:t>
      </w:r>
      <w:r w:rsidR="006E0578" w:rsidRPr="00B37CA4">
        <w:t xml:space="preserve">he process </w:t>
      </w:r>
      <w:r w:rsidR="006E0578">
        <w:t>used to determine the design and functionality of SMT substantially conformed</w:t>
      </w:r>
      <w:r w:rsidR="006E0578" w:rsidRPr="00B37CA4">
        <w:t xml:space="preserve"> to the methodology </w:t>
      </w:r>
      <w:r w:rsidR="006E0578">
        <w:t xml:space="preserve">set forth in </w:t>
      </w:r>
      <w:r w:rsidR="006E0578" w:rsidRPr="00B37CA4">
        <w:t>the IEC 62559 IntelliGrid Methodology for Developing R</w:t>
      </w:r>
      <w:r w:rsidR="006E0578">
        <w:t xml:space="preserve">equirements for Energy Systems </w:t>
      </w:r>
      <w:r w:rsidR="006E0578" w:rsidRPr="00B37CA4">
        <w:t>standard</w:t>
      </w:r>
      <w:r w:rsidR="006E0578">
        <w:rPr>
          <w:rStyle w:val="FootnoteReference"/>
        </w:rPr>
        <w:footnoteReference w:id="12"/>
      </w:r>
      <w:r w:rsidR="006E0578" w:rsidRPr="00B37CA4">
        <w:t>.</w:t>
      </w:r>
      <w:r w:rsidR="006E0578">
        <w:t xml:space="preserve"> This standard process included defining high level Business Processes, creating context diagrams, identifying actors and their roles and interactions, defining projects, and creating and prioritizing Business Requirements with the help of use case scenarios. </w:t>
      </w:r>
    </w:p>
    <w:p w:rsidR="00A66654" w:rsidRDefault="00A66654" w:rsidP="00563048">
      <w:pPr>
        <w:jc w:val="both"/>
      </w:pPr>
      <w:r>
        <w:t xml:space="preserve">SMT is owned, operated, and maintained by the Joint TDSPs. </w:t>
      </w:r>
      <w:r w:rsidR="00563048">
        <w:t>The PUCT oversees the development of any remaining functionality to be provided by SMT</w:t>
      </w:r>
      <w:r w:rsidR="00563048" w:rsidRPr="00FF5F7F">
        <w:t>.</w:t>
      </w:r>
      <w:r w:rsidR="00563048">
        <w:t xml:space="preserve">  </w:t>
      </w:r>
      <w:r>
        <w:t>A</w:t>
      </w:r>
      <w:r w:rsidR="0055581F">
        <w:t>ny</w:t>
      </w:r>
      <w:r>
        <w:t xml:space="preserve"> market participant may request a modification to SMT</w:t>
      </w:r>
      <w:r w:rsidR="0055581F">
        <w:t xml:space="preserve"> by submitting a change request to an ERCOT subcommittee tasked with addressing </w:t>
      </w:r>
      <w:r w:rsidR="00EB4730">
        <w:t>smart metering</w:t>
      </w:r>
      <w:r w:rsidR="0055581F">
        <w:t xml:space="preserve"> issues. The change request will flow through an existing ERCOT approval process that includes market participant and </w:t>
      </w:r>
      <w:r w:rsidR="006E43C1">
        <w:t>Joint TDSP</w:t>
      </w:r>
      <w:r w:rsidR="0055581F">
        <w:t xml:space="preserve"> review. </w:t>
      </w:r>
      <w:r w:rsidR="00816EAF">
        <w:t>The Joint TDSPs will perform a cost analysis</w:t>
      </w:r>
      <w:r w:rsidR="00816EAF" w:rsidRPr="00FF5F7F">
        <w:t xml:space="preserve"> </w:t>
      </w:r>
      <w:r w:rsidR="00816EAF">
        <w:t xml:space="preserve">on the requested change and </w:t>
      </w:r>
      <w:r w:rsidR="00816EAF" w:rsidRPr="00FF5F7F">
        <w:t xml:space="preserve">retain </w:t>
      </w:r>
      <w:r w:rsidR="009973C9">
        <w:t xml:space="preserve">the </w:t>
      </w:r>
      <w:r w:rsidR="00816EAF" w:rsidRPr="00FF5F7F">
        <w:t xml:space="preserve">ultimate authority </w:t>
      </w:r>
      <w:r w:rsidR="009973C9">
        <w:t>to approve or reject</w:t>
      </w:r>
      <w:r w:rsidR="00816EAF" w:rsidRPr="00FF5F7F">
        <w:t xml:space="preserve"> </w:t>
      </w:r>
      <w:r w:rsidR="009973C9">
        <w:t>such</w:t>
      </w:r>
      <w:r w:rsidR="00816EAF">
        <w:t xml:space="preserve"> </w:t>
      </w:r>
      <w:r w:rsidR="005D11EC">
        <w:t>proposed modification</w:t>
      </w:r>
      <w:r w:rsidR="00816EAF" w:rsidRPr="00FF5F7F">
        <w:t xml:space="preserve"> to SMT</w:t>
      </w:r>
      <w:r w:rsidR="00816EAF">
        <w:t>.</w:t>
      </w:r>
      <w:r w:rsidR="00563048">
        <w:t xml:space="preserve"> </w:t>
      </w:r>
      <w:r w:rsidR="00563048" w:rsidRPr="00563048">
        <w:t xml:space="preserve"> </w:t>
      </w:r>
    </w:p>
    <w:p w:rsidR="005F4D87" w:rsidRDefault="00D97470" w:rsidP="00C74981">
      <w:pPr>
        <w:jc w:val="both"/>
        <w:rPr>
          <w:rStyle w:val="Strong"/>
          <w:b w:val="0"/>
        </w:rPr>
      </w:pPr>
      <w:r>
        <w:t xml:space="preserve">SMT began initial operations in early 2010 and implemented </w:t>
      </w:r>
      <w:r w:rsidR="00623CBC">
        <w:t xml:space="preserve">over </w:t>
      </w:r>
      <w:r>
        <w:t xml:space="preserve">four successful </w:t>
      </w:r>
      <w:r w:rsidR="00B15D33">
        <w:t>revisions</w:t>
      </w:r>
      <w:r w:rsidR="009D2E66">
        <w:t xml:space="preserve"> over a </w:t>
      </w:r>
      <w:r w:rsidR="00623CBC">
        <w:t>four</w:t>
      </w:r>
      <w:r w:rsidR="009D2E66">
        <w:t xml:space="preserve"> year period</w:t>
      </w:r>
      <w:r w:rsidR="00B15D33">
        <w:t xml:space="preserve">. SMT initially provided </w:t>
      </w:r>
      <w:r w:rsidR="009D2E66">
        <w:t xml:space="preserve">Customer’s and </w:t>
      </w:r>
      <w:r w:rsidR="00A20E27">
        <w:t>RORs</w:t>
      </w:r>
      <w:r w:rsidR="009D2E66">
        <w:t xml:space="preserve"> </w:t>
      </w:r>
      <w:r w:rsidR="00B15D33">
        <w:t xml:space="preserve">access to </w:t>
      </w:r>
      <w:r w:rsidR="005F4D87">
        <w:t>smart meter usage information</w:t>
      </w:r>
      <w:r w:rsidR="00B15D33">
        <w:t xml:space="preserve">. Due to the design complexity, privacy concerns, and the nascent Third Party market, implementation of SMT functionality for Third Party access was not complete until the </w:t>
      </w:r>
      <w:r w:rsidR="00623CBC">
        <w:t>end</w:t>
      </w:r>
      <w:r w:rsidR="00563048">
        <w:t xml:space="preserve"> of 2014</w:t>
      </w:r>
      <w:r w:rsidR="00B15D33">
        <w:t xml:space="preserve">. </w:t>
      </w:r>
      <w:r w:rsidR="00CE48DF">
        <w:fldChar w:fldCharType="begin"/>
      </w:r>
      <w:r w:rsidR="005F4D87">
        <w:instrText xml:space="preserve"> REF _Ref351391742 \h </w:instrText>
      </w:r>
      <w:r w:rsidR="00CE48DF">
        <w:fldChar w:fldCharType="separate"/>
      </w:r>
      <w:r w:rsidR="00F609FD">
        <w:t xml:space="preserve">Figure </w:t>
      </w:r>
      <w:r w:rsidR="00F609FD">
        <w:rPr>
          <w:noProof/>
        </w:rPr>
        <w:t>3</w:t>
      </w:r>
      <w:r w:rsidR="00CE48DF">
        <w:fldChar w:fldCharType="end"/>
      </w:r>
      <w:r w:rsidR="005F4D87">
        <w:t xml:space="preserve"> shows the timeline of the modifications to SMT providing progressive functionality.</w:t>
      </w:r>
    </w:p>
    <w:p w:rsidR="00D31D70" w:rsidRDefault="00D31D70" w:rsidP="00D31D70">
      <w:bookmarkStart w:id="16" w:name="_Toc348345334"/>
      <w:bookmarkStart w:id="17" w:name="_Ref348949438"/>
      <w:r>
        <w:t xml:space="preserve">  </w:t>
      </w:r>
    </w:p>
    <w:bookmarkEnd w:id="16"/>
    <w:bookmarkEnd w:id="17"/>
    <w:p w:rsidR="005F4D87" w:rsidRDefault="005F4D87" w:rsidP="00B15D33">
      <w:pPr>
        <w:sectPr w:rsidR="005F4D87" w:rsidSect="005C3BCB">
          <w:headerReference w:type="default" r:id="rId16"/>
          <w:headerReference w:type="first" r:id="rId17"/>
          <w:footerReference w:type="first" r:id="rId18"/>
          <w:pgSz w:w="12240" w:h="15840" w:code="1"/>
          <w:pgMar w:top="1800" w:right="1440" w:bottom="1440" w:left="1440" w:header="720" w:footer="144" w:gutter="0"/>
          <w:cols w:space="720"/>
          <w:titlePg/>
          <w:docGrid w:linePitch="360"/>
        </w:sectPr>
      </w:pPr>
    </w:p>
    <w:p w:rsidR="00623CBC" w:rsidRDefault="00623CBC" w:rsidP="005F4D87">
      <w:pPr>
        <w:pStyle w:val="Caption"/>
        <w:rPr>
          <w:rFonts w:ascii="Arial" w:hAnsi="Arial"/>
          <w:sz w:val="20"/>
          <w:szCs w:val="20"/>
        </w:rPr>
      </w:pPr>
      <w:bookmarkStart w:id="18" w:name="_Ref351391742"/>
      <w:bookmarkStart w:id="19" w:name="_Toc367210597"/>
      <w:r w:rsidRPr="00623CBC">
        <w:rPr>
          <w:noProof/>
        </w:rPr>
        <w:drawing>
          <wp:inline distT="0" distB="0" distL="0" distR="0" wp14:anchorId="40213BD7" wp14:editId="560179AD">
            <wp:extent cx="8001000" cy="46490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1000" cy="4649002"/>
                    </a:xfrm>
                    <a:prstGeom prst="rect">
                      <a:avLst/>
                    </a:prstGeom>
                    <a:noFill/>
                    <a:ln>
                      <a:noFill/>
                    </a:ln>
                  </pic:spPr>
                </pic:pic>
              </a:graphicData>
            </a:graphic>
          </wp:inline>
        </w:drawing>
      </w:r>
    </w:p>
    <w:p w:rsidR="001B2CFD" w:rsidRPr="006E14DA" w:rsidRDefault="005F4D87" w:rsidP="005F4D87">
      <w:pPr>
        <w:pStyle w:val="Caption"/>
        <w:rPr>
          <w:rFonts w:ascii="Arial" w:hAnsi="Arial"/>
          <w:sz w:val="20"/>
          <w:szCs w:val="20"/>
        </w:rPr>
      </w:pPr>
      <w:r w:rsidRPr="006E14DA">
        <w:rPr>
          <w:rFonts w:ascii="Arial" w:hAnsi="Arial"/>
          <w:sz w:val="20"/>
          <w:szCs w:val="20"/>
        </w:rPr>
        <w:t xml:space="preserve">Figure </w:t>
      </w:r>
      <w:r w:rsidR="00CE48DF" w:rsidRPr="006E14DA">
        <w:rPr>
          <w:rFonts w:ascii="Arial" w:hAnsi="Arial"/>
          <w:sz w:val="20"/>
          <w:szCs w:val="20"/>
        </w:rPr>
        <w:fldChar w:fldCharType="begin"/>
      </w:r>
      <w:r w:rsidR="00CE48DF" w:rsidRPr="006E14DA">
        <w:rPr>
          <w:rFonts w:ascii="Arial" w:hAnsi="Arial"/>
          <w:sz w:val="20"/>
          <w:szCs w:val="20"/>
        </w:rPr>
        <w:instrText xml:space="preserve"> SEQ Figure \* ARABIC </w:instrText>
      </w:r>
      <w:r w:rsidR="00CE48DF" w:rsidRPr="006E14DA">
        <w:rPr>
          <w:rFonts w:ascii="Arial" w:hAnsi="Arial"/>
          <w:sz w:val="20"/>
          <w:szCs w:val="20"/>
        </w:rPr>
        <w:fldChar w:fldCharType="separate"/>
      </w:r>
      <w:r w:rsidR="00F609FD" w:rsidRPr="006E14DA">
        <w:rPr>
          <w:rFonts w:ascii="Arial" w:hAnsi="Arial"/>
          <w:noProof/>
          <w:sz w:val="20"/>
          <w:szCs w:val="20"/>
        </w:rPr>
        <w:t>3</w:t>
      </w:r>
      <w:r w:rsidR="00CE48DF" w:rsidRPr="006E14DA">
        <w:rPr>
          <w:rFonts w:ascii="Arial" w:hAnsi="Arial"/>
          <w:sz w:val="20"/>
          <w:szCs w:val="20"/>
        </w:rPr>
        <w:fldChar w:fldCharType="end"/>
      </w:r>
      <w:bookmarkEnd w:id="18"/>
      <w:r w:rsidRPr="006E14DA">
        <w:rPr>
          <w:rFonts w:ascii="Arial" w:hAnsi="Arial"/>
          <w:sz w:val="20"/>
          <w:szCs w:val="20"/>
        </w:rPr>
        <w:t>: Timeline of SMT Releases</w:t>
      </w:r>
      <w:bookmarkEnd w:id="19"/>
    </w:p>
    <w:p w:rsidR="005F4D87" w:rsidRDefault="005F4D87" w:rsidP="00507592">
      <w:pPr>
        <w:pStyle w:val="Heading1"/>
        <w:sectPr w:rsidR="005F4D87" w:rsidSect="005F4D87">
          <w:pgSz w:w="15840" w:h="12240" w:orient="landscape" w:code="1"/>
          <w:pgMar w:top="2160" w:right="1440" w:bottom="1440" w:left="1800" w:header="720" w:footer="720" w:gutter="0"/>
          <w:cols w:space="720"/>
          <w:docGrid w:linePitch="360"/>
        </w:sectPr>
      </w:pPr>
    </w:p>
    <w:p w:rsidR="00943765" w:rsidRDefault="00623CBC" w:rsidP="00AA6DD5">
      <w:pPr>
        <w:pStyle w:val="Heading3"/>
      </w:pPr>
      <w:bookmarkStart w:id="20" w:name="_Ref355171494"/>
      <w:bookmarkStart w:id="21" w:name="_Ref351552853"/>
      <w:bookmarkStart w:id="22" w:name="_Ref351552860"/>
      <w:r>
        <w:t xml:space="preserve"> </w:t>
      </w:r>
      <w:r w:rsidR="00943765">
        <w:t>Security</w:t>
      </w:r>
      <w:bookmarkEnd w:id="20"/>
    </w:p>
    <w:p w:rsidR="00943765" w:rsidRDefault="00943765" w:rsidP="00C74981">
      <w:pPr>
        <w:jc w:val="both"/>
      </w:pPr>
      <w:bookmarkStart w:id="23" w:name="_Toc348345332"/>
      <w:r>
        <w:t xml:space="preserve">SMT employs a high level of security and the services provided to SMT’s users are rooted in common information security technologies and practices to ensure that all transactions and Customer data are protected. SMT uses a wide array of tools and techniques to ensure that security is deeply ingrained in its services and associated infrastructure. SMT is susceptible to a variety of cyber security threats because it is a web portal accessible through the internet. Recognizing the variety and type of potential attacks, </w:t>
      </w:r>
      <w:bookmarkEnd w:id="23"/>
      <w:r>
        <w:t xml:space="preserve">SMT has implemented a robust and encompassing security model. This model reflects state laws, industry-independent regulation, applicable guidelines from national organizations, and business-consistent IT security measures. Many of the security features come through a strategic partnership with the SMT solution provider that leverage their secure web technologies and capitalizes on the solution provider’s extensive industry experience. SMT employs additional mitigation measures through the use of industry standard practices, many of which are provided by the National Institute of Standards and Technology (NIST).  </w:t>
      </w:r>
    </w:p>
    <w:p w:rsidR="006E14DA" w:rsidRDefault="00943765" w:rsidP="00943765">
      <w:r>
        <w:t xml:space="preserve"> A detailed discussion of SMT development, functionality, and security mitigation are provided in Understanding Smart Meter Texas</w:t>
      </w:r>
      <w:r w:rsidR="00686A4C">
        <w:rPr>
          <w:rStyle w:val="FootnoteReference"/>
        </w:rPr>
        <w:footnoteReference w:id="13"/>
      </w:r>
      <w:r>
        <w:t xml:space="preserve">. </w:t>
      </w:r>
    </w:p>
    <w:p w:rsidR="0090424A" w:rsidRDefault="002773F5" w:rsidP="006E14DA">
      <w:pPr>
        <w:pStyle w:val="Heading1"/>
        <w:spacing w:before="240"/>
      </w:pPr>
      <w:bookmarkStart w:id="24" w:name="_Toc401563534"/>
      <w:r>
        <w:t>Third Party</w:t>
      </w:r>
      <w:r w:rsidRPr="002773F5">
        <w:t xml:space="preserve"> </w:t>
      </w:r>
      <w:r>
        <w:t>Definition</w:t>
      </w:r>
      <w:bookmarkEnd w:id="21"/>
      <w:bookmarkEnd w:id="22"/>
      <w:bookmarkEnd w:id="24"/>
    </w:p>
    <w:p w:rsidR="004B01B3" w:rsidRDefault="009408C7" w:rsidP="00010F84">
      <w:pPr>
        <w:jc w:val="both"/>
      </w:pPr>
      <w:r>
        <w:t>A Third Party, in the context of SMT,</w:t>
      </w:r>
      <w:r w:rsidR="00CD2D15">
        <w:t xml:space="preserve"> is a service provider offering</w:t>
      </w:r>
      <w:r w:rsidR="00115E92">
        <w:t xml:space="preserve"> Customers</w:t>
      </w:r>
      <w:r w:rsidR="00CD2D15">
        <w:t>,</w:t>
      </w:r>
      <w:r w:rsidR="00115E92">
        <w:t xml:space="preserve"> in the competitive regions of Texas</w:t>
      </w:r>
      <w:r w:rsidR="00CD2D15">
        <w:t>,</w:t>
      </w:r>
      <w:r w:rsidR="00115E92">
        <w:t xml:space="preserve"> </w:t>
      </w:r>
      <w:r>
        <w:t>energy efficiency products and se</w:t>
      </w:r>
      <w:r w:rsidR="00115E92">
        <w:t xml:space="preserve">rvices that may use Customer smart meter usage information or </w:t>
      </w:r>
      <w:r w:rsidR="00623CBC">
        <w:t>In-Home D</w:t>
      </w:r>
      <w:r w:rsidR="00115E92">
        <w:t>evices.</w:t>
      </w:r>
      <w:r>
        <w:t xml:space="preserve"> </w:t>
      </w:r>
      <w:r w:rsidR="00192DD8">
        <w:t xml:space="preserve">The definition of Third Party includes REPs when a REP requests </w:t>
      </w:r>
      <w:r>
        <w:t>usage data from Customers who do not buy electricity from that REP (i.e.</w:t>
      </w:r>
      <w:r w:rsidR="00667BE9">
        <w:t>,</w:t>
      </w:r>
      <w:r>
        <w:t xml:space="preserve"> not the ROR)</w:t>
      </w:r>
      <w:r w:rsidR="00192DD8">
        <w:t xml:space="preserve">. </w:t>
      </w:r>
      <w:r>
        <w:t xml:space="preserve"> </w:t>
      </w:r>
      <w:r w:rsidR="00192DD8">
        <w:t xml:space="preserve">In addition, the definition of Third Party </w:t>
      </w:r>
      <w:r w:rsidR="009D0723">
        <w:t>encompasses</w:t>
      </w:r>
      <w:r w:rsidR="00192DD8">
        <w:t xml:space="preserve"> all parties</w:t>
      </w:r>
      <w:r w:rsidR="00CD2D15">
        <w:t>,</w:t>
      </w:r>
      <w:r w:rsidR="00CD2D15" w:rsidRPr="00CD2D15">
        <w:t xml:space="preserve"> </w:t>
      </w:r>
      <w:r w:rsidR="00CD2D15">
        <w:t>including the Customer’s ROR,</w:t>
      </w:r>
      <w:r w:rsidR="00192DD8">
        <w:t xml:space="preserve"> who want to </w:t>
      </w:r>
      <w:r w:rsidR="00CD2D15">
        <w:t>offer</w:t>
      </w:r>
      <w:r w:rsidR="00192DD8">
        <w:t xml:space="preserve"> </w:t>
      </w:r>
      <w:r>
        <w:t xml:space="preserve">products and services related to </w:t>
      </w:r>
      <w:r w:rsidR="0005161E">
        <w:t>In-Home D</w:t>
      </w:r>
      <w:r w:rsidR="00CD2D15">
        <w:t>evices</w:t>
      </w:r>
      <w:r>
        <w:t xml:space="preserve">. </w:t>
      </w:r>
      <w:bookmarkStart w:id="25" w:name="_Toc348345276"/>
    </w:p>
    <w:p w:rsidR="001F4C32" w:rsidRPr="00010F84" w:rsidRDefault="009408C7" w:rsidP="00507592">
      <w:pPr>
        <w:pStyle w:val="Heading1"/>
        <w:rPr>
          <w:rStyle w:val="Strong"/>
          <w:b/>
        </w:rPr>
      </w:pPr>
      <w:bookmarkStart w:id="26" w:name="_Toc401563535"/>
      <w:bookmarkEnd w:id="25"/>
      <w:r w:rsidRPr="00010F84">
        <w:rPr>
          <w:rStyle w:val="Strong"/>
          <w:b/>
        </w:rPr>
        <w:t xml:space="preserve">Development of </w:t>
      </w:r>
      <w:r w:rsidR="002773F5" w:rsidRPr="00010F84">
        <w:rPr>
          <w:rStyle w:val="Strong"/>
          <w:b/>
        </w:rPr>
        <w:t xml:space="preserve">Third Party </w:t>
      </w:r>
      <w:r w:rsidRPr="00010F84">
        <w:rPr>
          <w:rStyle w:val="Strong"/>
          <w:b/>
        </w:rPr>
        <w:t>Functionality</w:t>
      </w:r>
      <w:bookmarkEnd w:id="26"/>
      <w:r w:rsidRPr="00010F84">
        <w:rPr>
          <w:rStyle w:val="Strong"/>
          <w:b/>
        </w:rPr>
        <w:t xml:space="preserve"> </w:t>
      </w:r>
    </w:p>
    <w:p w:rsidR="00813AF5" w:rsidRDefault="00813AF5" w:rsidP="00010F84">
      <w:pPr>
        <w:pStyle w:val="Heading2"/>
        <w:tabs>
          <w:tab w:val="clear" w:pos="576"/>
        </w:tabs>
        <w:ind w:left="0" w:hanging="540"/>
        <w:rPr>
          <w:rFonts w:eastAsia="Calibri"/>
        </w:rPr>
      </w:pPr>
      <w:bookmarkStart w:id="27" w:name="_Ref348001418"/>
      <w:bookmarkStart w:id="28" w:name="_Toc348345278"/>
      <w:bookmarkStart w:id="29" w:name="_Toc401563536"/>
      <w:r>
        <w:rPr>
          <w:rFonts w:eastAsia="Calibri"/>
        </w:rPr>
        <w:t>Design Process</w:t>
      </w:r>
      <w:bookmarkEnd w:id="27"/>
      <w:bookmarkEnd w:id="28"/>
      <w:bookmarkEnd w:id="29"/>
    </w:p>
    <w:p w:rsidR="001D3F01" w:rsidRDefault="00737C14" w:rsidP="00715EE8">
      <w:pPr>
        <w:jc w:val="both"/>
      </w:pPr>
      <w:r>
        <w:t xml:space="preserve">Business </w:t>
      </w:r>
      <w:r w:rsidR="00015884">
        <w:t xml:space="preserve">Requirements </w:t>
      </w:r>
      <w:r>
        <w:t>related to</w:t>
      </w:r>
      <w:r w:rsidR="00015884">
        <w:t xml:space="preserve"> Third Party access were</w:t>
      </w:r>
      <w:r w:rsidR="00457391">
        <w:t xml:space="preserve"> included in the initial SMT Business R</w:t>
      </w:r>
      <w:r w:rsidR="002077FB">
        <w:t>equirements</w:t>
      </w:r>
      <w:r w:rsidR="00F27109">
        <w:rPr>
          <w:rStyle w:val="FootnoteReference"/>
        </w:rPr>
        <w:footnoteReference w:id="14"/>
      </w:r>
      <w:r w:rsidR="002077FB">
        <w:t xml:space="preserve"> but implementation </w:t>
      </w:r>
      <w:r>
        <w:t xml:space="preserve">of Third Party functionality </w:t>
      </w:r>
      <w:r w:rsidR="002077FB">
        <w:t xml:space="preserve">was delayed until other higher priority </w:t>
      </w:r>
      <w:r w:rsidR="00834FD5">
        <w:t>features</w:t>
      </w:r>
      <w:r w:rsidR="002077FB">
        <w:t xml:space="preserve"> were delivered. </w:t>
      </w:r>
      <w:r w:rsidR="00834FD5">
        <w:t xml:space="preserve">A year after the initial release of </w:t>
      </w:r>
      <w:r w:rsidR="008C0AB8">
        <w:t xml:space="preserve">SMT, the market participants began to discuss implementation of </w:t>
      </w:r>
      <w:r>
        <w:t>SMT Third Party functionality</w:t>
      </w:r>
      <w:r w:rsidR="008C0AB8">
        <w:t xml:space="preserve">. </w:t>
      </w:r>
      <w:r w:rsidR="008C681B">
        <w:t xml:space="preserve">As the discussions began, it became clear that many details related to Third Party </w:t>
      </w:r>
      <w:r w:rsidR="00FB6F1C">
        <w:t>access still</w:t>
      </w:r>
      <w:r w:rsidR="008C681B">
        <w:t xml:space="preserve"> needed to be developed and</w:t>
      </w:r>
      <w:r w:rsidR="00FB6F1C">
        <w:t xml:space="preserve"> consensus </w:t>
      </w:r>
      <w:r w:rsidR="00834FD5">
        <w:t xml:space="preserve">needed to be </w:t>
      </w:r>
      <w:r w:rsidR="00FB6F1C">
        <w:t>reached among the market participant</w:t>
      </w:r>
      <w:r w:rsidR="000E656C">
        <w:t>s</w:t>
      </w:r>
      <w:r w:rsidR="00FB6F1C">
        <w:t>.</w:t>
      </w:r>
      <w:r w:rsidR="00E35D52">
        <w:t xml:space="preserve"> The following </w:t>
      </w:r>
      <w:r w:rsidR="00AE5120">
        <w:t>were</w:t>
      </w:r>
      <w:r w:rsidR="00E35D52">
        <w:t xml:space="preserve"> some of the issues identified </w:t>
      </w:r>
      <w:r w:rsidR="00834FD5">
        <w:t>by the market participants:</w:t>
      </w:r>
    </w:p>
    <w:p w:rsidR="00E35D52" w:rsidRDefault="00E35D52" w:rsidP="00715EE8">
      <w:pPr>
        <w:pStyle w:val="ListParagraph"/>
        <w:numPr>
          <w:ilvl w:val="0"/>
          <w:numId w:val="21"/>
        </w:numPr>
        <w:jc w:val="both"/>
      </w:pPr>
      <w:r>
        <w:t xml:space="preserve">Definition of a Third Party and who is included </w:t>
      </w:r>
    </w:p>
    <w:p w:rsidR="00E35D52" w:rsidRDefault="00E35D52" w:rsidP="00715EE8">
      <w:pPr>
        <w:pStyle w:val="ListParagraph"/>
        <w:numPr>
          <w:ilvl w:val="0"/>
          <w:numId w:val="21"/>
        </w:numPr>
        <w:jc w:val="both"/>
      </w:pPr>
      <w:r>
        <w:t xml:space="preserve">The level of data access </w:t>
      </w:r>
      <w:r w:rsidR="008867A4">
        <w:t>(</w:t>
      </w:r>
      <w:r w:rsidR="00B21B98">
        <w:t>e.g.</w:t>
      </w:r>
      <w:r w:rsidR="00667BE9">
        <w:t>,</w:t>
      </w:r>
      <w:r w:rsidR="00A31300">
        <w:t xml:space="preserve"> one time, </w:t>
      </w:r>
      <w:r w:rsidR="00F32DA2">
        <w:t xml:space="preserve">defined term, </w:t>
      </w:r>
      <w:r w:rsidR="00A31300">
        <w:t xml:space="preserve">open ended, etc.) </w:t>
      </w:r>
      <w:r w:rsidR="00EC228A">
        <w:t xml:space="preserve">granted to </w:t>
      </w:r>
      <w:r>
        <w:t xml:space="preserve">a Third Party </w:t>
      </w:r>
    </w:p>
    <w:p w:rsidR="00F1498E" w:rsidRDefault="00F1498E" w:rsidP="00715EE8">
      <w:pPr>
        <w:pStyle w:val="ListParagraph"/>
        <w:numPr>
          <w:ilvl w:val="0"/>
          <w:numId w:val="21"/>
        </w:numPr>
        <w:jc w:val="both"/>
      </w:pPr>
      <w:r>
        <w:t xml:space="preserve">Third Party access to SMT HAN functionality </w:t>
      </w:r>
    </w:p>
    <w:p w:rsidR="00EC228A" w:rsidRDefault="00EC228A" w:rsidP="00715EE8">
      <w:pPr>
        <w:pStyle w:val="ListParagraph"/>
        <w:numPr>
          <w:ilvl w:val="0"/>
          <w:numId w:val="21"/>
        </w:numPr>
        <w:jc w:val="both"/>
      </w:pPr>
      <w:r>
        <w:t xml:space="preserve">The level of </w:t>
      </w:r>
      <w:r w:rsidR="00E35D52">
        <w:t>oversight</w:t>
      </w:r>
      <w:r>
        <w:t>, if any,</w:t>
      </w:r>
      <w:r w:rsidR="00E35D52">
        <w:t xml:space="preserve"> </w:t>
      </w:r>
      <w:r>
        <w:t>and the responsibility for such oversight</w:t>
      </w:r>
    </w:p>
    <w:p w:rsidR="00E35D52" w:rsidRDefault="00EC228A" w:rsidP="00715EE8">
      <w:pPr>
        <w:pStyle w:val="ListParagraph"/>
        <w:numPr>
          <w:ilvl w:val="0"/>
          <w:numId w:val="21"/>
        </w:numPr>
        <w:jc w:val="both"/>
      </w:pPr>
      <w:r>
        <w:t>Documenting Customer permission</w:t>
      </w:r>
      <w:r w:rsidR="008867A4">
        <w:t xml:space="preserve"> (i.e.</w:t>
      </w:r>
      <w:r w:rsidR="00667BE9">
        <w:t>,</w:t>
      </w:r>
      <w:r w:rsidR="008867A4">
        <w:t xml:space="preserve"> automated or manual, Customer initiated or Third Party initiated)</w:t>
      </w:r>
    </w:p>
    <w:p w:rsidR="00EC228A" w:rsidRDefault="008867A4" w:rsidP="00715EE8">
      <w:pPr>
        <w:pStyle w:val="ListParagraph"/>
        <w:numPr>
          <w:ilvl w:val="0"/>
          <w:numId w:val="21"/>
        </w:numPr>
        <w:jc w:val="both"/>
      </w:pPr>
      <w:r>
        <w:t>Relationship termination (i.e.</w:t>
      </w:r>
      <w:r w:rsidR="00667BE9">
        <w:t>,</w:t>
      </w:r>
      <w:r>
        <w:t xml:space="preserve"> Customer controlled or Third Party controlled)</w:t>
      </w:r>
    </w:p>
    <w:p w:rsidR="00D435C4" w:rsidRDefault="00D435C4" w:rsidP="00715EE8">
      <w:pPr>
        <w:pStyle w:val="ListParagraph"/>
        <w:numPr>
          <w:ilvl w:val="0"/>
          <w:numId w:val="21"/>
        </w:numPr>
        <w:jc w:val="both"/>
      </w:pPr>
      <w:r>
        <w:t>Determine if a Third Party should be charged an access fee</w:t>
      </w:r>
    </w:p>
    <w:p w:rsidR="00255126" w:rsidRPr="003C14CE" w:rsidRDefault="00E35D52" w:rsidP="001B66F8">
      <w:pPr>
        <w:pStyle w:val="Heading2"/>
        <w:tabs>
          <w:tab w:val="clear" w:pos="576"/>
        </w:tabs>
        <w:ind w:left="0" w:hanging="540"/>
        <w:rPr>
          <w:rFonts w:eastAsia="Calibri"/>
        </w:rPr>
      </w:pPr>
      <w:bookmarkStart w:id="30" w:name="_Toc401563537"/>
      <w:r>
        <w:rPr>
          <w:rFonts w:eastAsia="Calibri"/>
        </w:rPr>
        <w:t>Use Cases</w:t>
      </w:r>
      <w:bookmarkEnd w:id="30"/>
    </w:p>
    <w:p w:rsidR="00A57BDE" w:rsidRDefault="00A57BDE" w:rsidP="00715EE8">
      <w:pPr>
        <w:spacing w:before="0"/>
        <w:jc w:val="both"/>
      </w:pPr>
      <w:r>
        <w:t>To resolve these iss</w:t>
      </w:r>
      <w:r w:rsidR="00457391">
        <w:t xml:space="preserve">ues and to identify additional </w:t>
      </w:r>
      <w:r w:rsidR="008E60AA">
        <w:t xml:space="preserve">SMT </w:t>
      </w:r>
      <w:r w:rsidR="00457391">
        <w:t>Business R</w:t>
      </w:r>
      <w:r>
        <w:t xml:space="preserve">equirements, the market participants </w:t>
      </w:r>
      <w:r w:rsidR="00F96C15">
        <w:t>employed</w:t>
      </w:r>
      <w:r>
        <w:t xml:space="preserve"> a </w:t>
      </w:r>
      <w:r>
        <w:rPr>
          <w:rFonts w:eastAsia="Calibri"/>
        </w:rPr>
        <w:t>use case-based</w:t>
      </w:r>
      <w:r w:rsidRPr="001F4C32">
        <w:rPr>
          <w:rFonts w:eastAsia="Calibri"/>
        </w:rPr>
        <w:t xml:space="preserve"> process</w:t>
      </w:r>
      <w:r>
        <w:t xml:space="preserve">. </w:t>
      </w:r>
      <w:r w:rsidRPr="00A65680">
        <w:t xml:space="preserve">A </w:t>
      </w:r>
      <w:r>
        <w:t xml:space="preserve">use case </w:t>
      </w:r>
      <w:r w:rsidRPr="00A65680">
        <w:t xml:space="preserve">is a sequence of events that describes one way to use a particular system.  It is a story about how a particular user of a system </w:t>
      </w:r>
      <w:r>
        <w:t xml:space="preserve">accomplishes a goal. </w:t>
      </w:r>
      <w:r w:rsidR="003D192A">
        <w:t xml:space="preserve"> </w:t>
      </w:r>
      <w:r>
        <w:t>The process of defining and creating use cases results in a c</w:t>
      </w:r>
      <w:r w:rsidR="008E60AA">
        <w:t>omprehensive</w:t>
      </w:r>
      <w:r>
        <w:t xml:space="preserve"> set of requirements because:</w:t>
      </w:r>
    </w:p>
    <w:p w:rsidR="00A57BDE" w:rsidRDefault="00A57BDE" w:rsidP="00715EE8">
      <w:pPr>
        <w:pStyle w:val="ListParagraph"/>
        <w:numPr>
          <w:ilvl w:val="0"/>
          <w:numId w:val="8"/>
        </w:numPr>
        <w:jc w:val="both"/>
      </w:pPr>
      <w:r>
        <w:t>It’s done from the users’ point of view, so it’s easier to tell what interactions or steps are really necessary</w:t>
      </w:r>
    </w:p>
    <w:p w:rsidR="00A57BDE" w:rsidRDefault="00A57BDE" w:rsidP="00715EE8">
      <w:pPr>
        <w:pStyle w:val="ListParagraph"/>
        <w:numPr>
          <w:ilvl w:val="0"/>
          <w:numId w:val="8"/>
        </w:numPr>
        <w:jc w:val="both"/>
      </w:pPr>
      <w:r>
        <w:t xml:space="preserve">It follows a complete path for completing a task from start to finish </w:t>
      </w:r>
    </w:p>
    <w:p w:rsidR="005501B7" w:rsidRDefault="00CE48DF" w:rsidP="00715EE8">
      <w:pPr>
        <w:jc w:val="both"/>
      </w:pPr>
      <w:r>
        <w:fldChar w:fldCharType="begin"/>
      </w:r>
      <w:r w:rsidR="005501B7">
        <w:instrText xml:space="preserve"> REF _Ref351378694 \h </w:instrText>
      </w:r>
      <w:r>
        <w:fldChar w:fldCharType="separate"/>
      </w:r>
      <w:r w:rsidR="00F609FD">
        <w:t xml:space="preserve">Table </w:t>
      </w:r>
      <w:r w:rsidR="00F609FD">
        <w:rPr>
          <w:noProof/>
        </w:rPr>
        <w:t>1</w:t>
      </w:r>
      <w:r>
        <w:fldChar w:fldCharType="end"/>
      </w:r>
      <w:r w:rsidR="005501B7">
        <w:t xml:space="preserve"> lists </w:t>
      </w:r>
      <w:r w:rsidR="00167D90">
        <w:t xml:space="preserve">additional </w:t>
      </w:r>
      <w:r w:rsidR="005501B7">
        <w:t xml:space="preserve">use cases </w:t>
      </w:r>
      <w:r w:rsidR="00167D90">
        <w:t xml:space="preserve">the market participants </w:t>
      </w:r>
      <w:r w:rsidR="005501B7">
        <w:t xml:space="preserve">developed to </w:t>
      </w:r>
      <w:r w:rsidR="00167D90">
        <w:t>refine</w:t>
      </w:r>
      <w:r w:rsidR="005501B7">
        <w:t xml:space="preserve"> the SMT Third Party Functionality.</w:t>
      </w:r>
      <w:r w:rsidR="008E60AA">
        <w:t xml:space="preserve"> Developing these use cases help</w:t>
      </w:r>
      <w:r w:rsidR="005157F9">
        <w:t>ed</w:t>
      </w:r>
      <w:r w:rsidR="008E60AA">
        <w:t xml:space="preserve"> to identify processes that could be incorporated in the SMT design or, in some cases, helped to uncover unnecessary complexity in </w:t>
      </w:r>
      <w:r w:rsidR="005157F9">
        <w:t>certain</w:t>
      </w:r>
      <w:r w:rsidR="008E60AA">
        <w:t xml:space="preserve"> process</w:t>
      </w:r>
      <w:r w:rsidR="005157F9">
        <w:t>es</w:t>
      </w:r>
      <w:r w:rsidR="008E60AA">
        <w:t xml:space="preserve"> and caused the market participants to search out </w:t>
      </w:r>
      <w:r w:rsidR="005157F9">
        <w:t>other</w:t>
      </w:r>
      <w:r w:rsidR="008E60AA">
        <w:t xml:space="preserve"> solution</w:t>
      </w:r>
      <w:r w:rsidR="005157F9">
        <w:t>s</w:t>
      </w:r>
      <w:r w:rsidR="008E60AA">
        <w:t>.</w:t>
      </w:r>
    </w:p>
    <w:p w:rsidR="005501B7" w:rsidRPr="006E14DA" w:rsidRDefault="005501B7" w:rsidP="005501B7">
      <w:pPr>
        <w:pStyle w:val="Caption"/>
        <w:keepNext/>
        <w:rPr>
          <w:rFonts w:ascii="Arial" w:hAnsi="Arial"/>
        </w:rPr>
      </w:pPr>
      <w:bookmarkStart w:id="31" w:name="_Ref351378694"/>
      <w:bookmarkStart w:id="32" w:name="_Toc367210589"/>
      <w:r w:rsidRPr="006E14DA">
        <w:rPr>
          <w:rFonts w:ascii="Arial" w:hAnsi="Arial"/>
        </w:rPr>
        <w:t xml:space="preserve">Table </w:t>
      </w:r>
      <w:r w:rsidR="00CE48DF" w:rsidRPr="006E14DA">
        <w:rPr>
          <w:rFonts w:ascii="Arial" w:hAnsi="Arial"/>
        </w:rPr>
        <w:fldChar w:fldCharType="begin"/>
      </w:r>
      <w:r w:rsidR="00CE48DF" w:rsidRPr="006E14DA">
        <w:rPr>
          <w:rFonts w:ascii="Arial" w:hAnsi="Arial"/>
        </w:rPr>
        <w:instrText xml:space="preserve"> SEQ Table \* ARABIC </w:instrText>
      </w:r>
      <w:r w:rsidR="00CE48DF" w:rsidRPr="006E14DA">
        <w:rPr>
          <w:rFonts w:ascii="Arial" w:hAnsi="Arial"/>
        </w:rPr>
        <w:fldChar w:fldCharType="separate"/>
      </w:r>
      <w:r w:rsidR="00F609FD" w:rsidRPr="006E14DA">
        <w:rPr>
          <w:rFonts w:ascii="Arial" w:hAnsi="Arial"/>
          <w:noProof/>
        </w:rPr>
        <w:t>1</w:t>
      </w:r>
      <w:r w:rsidR="00CE48DF" w:rsidRPr="006E14DA">
        <w:rPr>
          <w:rFonts w:ascii="Arial" w:hAnsi="Arial"/>
        </w:rPr>
        <w:fldChar w:fldCharType="end"/>
      </w:r>
      <w:bookmarkEnd w:id="31"/>
      <w:r w:rsidRPr="006E14DA">
        <w:rPr>
          <w:rFonts w:ascii="Arial" w:hAnsi="Arial"/>
        </w:rPr>
        <w:t>: Third Party Use Cases</w:t>
      </w:r>
      <w:bookmarkEnd w:id="32"/>
    </w:p>
    <w:tbl>
      <w:tblPr>
        <w:tblStyle w:val="TableGrid"/>
        <w:tblW w:w="0" w:type="auto"/>
        <w:tblLook w:val="04A0" w:firstRow="1" w:lastRow="0" w:firstColumn="1" w:lastColumn="0" w:noHBand="0" w:noVBand="1"/>
      </w:tblPr>
      <w:tblGrid>
        <w:gridCol w:w="3888"/>
        <w:gridCol w:w="4968"/>
      </w:tblGrid>
      <w:tr w:rsidR="005501B7" w:rsidRPr="00211CFB" w:rsidTr="005501B7">
        <w:tc>
          <w:tcPr>
            <w:tcW w:w="3888" w:type="dxa"/>
            <w:shd w:val="pct12" w:color="auto" w:fill="auto"/>
          </w:tcPr>
          <w:p w:rsidR="005501B7" w:rsidRPr="006E14DA" w:rsidRDefault="005501B7" w:rsidP="002705A8">
            <w:pPr>
              <w:spacing w:before="60" w:after="60" w:line="240" w:lineRule="auto"/>
              <w:rPr>
                <w:rFonts w:ascii="Arial" w:hAnsi="Arial"/>
                <w:b/>
                <w:szCs w:val="20"/>
              </w:rPr>
            </w:pPr>
            <w:r w:rsidRPr="006E14DA">
              <w:rPr>
                <w:rFonts w:ascii="Arial" w:hAnsi="Arial"/>
                <w:b/>
                <w:szCs w:val="20"/>
              </w:rPr>
              <w:t>Name</w:t>
            </w:r>
          </w:p>
        </w:tc>
        <w:tc>
          <w:tcPr>
            <w:tcW w:w="4968" w:type="dxa"/>
            <w:shd w:val="pct12" w:color="auto" w:fill="auto"/>
          </w:tcPr>
          <w:p w:rsidR="005501B7" w:rsidRPr="006E14DA" w:rsidRDefault="005501B7" w:rsidP="002705A8">
            <w:pPr>
              <w:spacing w:before="60" w:after="60" w:line="240" w:lineRule="auto"/>
              <w:rPr>
                <w:rFonts w:ascii="Arial" w:eastAsia="Arial" w:hAnsi="Arial"/>
                <w:b/>
                <w:szCs w:val="20"/>
              </w:rPr>
            </w:pPr>
            <w:r w:rsidRPr="006E14DA">
              <w:rPr>
                <w:rFonts w:ascii="Arial" w:eastAsia="Arial" w:hAnsi="Arial"/>
                <w:b/>
                <w:szCs w:val="20"/>
              </w:rPr>
              <w:t>Description</w:t>
            </w:r>
          </w:p>
        </w:tc>
      </w:tr>
      <w:tr w:rsidR="005501B7" w:rsidRPr="00211CFB" w:rsidTr="00526449">
        <w:tc>
          <w:tcPr>
            <w:tcW w:w="3888" w:type="dxa"/>
          </w:tcPr>
          <w:p w:rsidR="005501B7" w:rsidRPr="006E14DA" w:rsidRDefault="005501B7" w:rsidP="002705A8">
            <w:pPr>
              <w:spacing w:before="60" w:after="60" w:line="240" w:lineRule="auto"/>
              <w:rPr>
                <w:rFonts w:ascii="Arial" w:hAnsi="Arial"/>
                <w:sz w:val="20"/>
                <w:szCs w:val="20"/>
              </w:rPr>
            </w:pPr>
            <w:r w:rsidRPr="006E14DA">
              <w:rPr>
                <w:rFonts w:ascii="Arial" w:hAnsi="Arial"/>
                <w:sz w:val="20"/>
                <w:szCs w:val="20"/>
              </w:rPr>
              <w:t>SMT Registered Consumer Initiates Third Party Relationship</w:t>
            </w:r>
          </w:p>
        </w:tc>
        <w:tc>
          <w:tcPr>
            <w:tcW w:w="4968" w:type="dxa"/>
          </w:tcPr>
          <w:p w:rsidR="005501B7" w:rsidRPr="006E14DA" w:rsidRDefault="005501B7" w:rsidP="008E60AA">
            <w:pPr>
              <w:spacing w:before="60" w:after="60" w:line="240" w:lineRule="auto"/>
              <w:rPr>
                <w:rFonts w:eastAsia="Arial"/>
                <w:sz w:val="22"/>
              </w:rPr>
            </w:pPr>
            <w:r w:rsidRPr="006E14DA">
              <w:rPr>
                <w:rFonts w:eastAsia="Arial"/>
                <w:sz w:val="22"/>
              </w:rPr>
              <w:t xml:space="preserve">A SMT registered Consumer intends to initiate the Third Party relationship through SMT which creates an e-mail to the </w:t>
            </w:r>
            <w:r w:rsidR="008E60AA" w:rsidRPr="006E14DA">
              <w:rPr>
                <w:rFonts w:eastAsia="Arial"/>
                <w:sz w:val="22"/>
              </w:rPr>
              <w:t>SMT</w:t>
            </w:r>
            <w:r w:rsidRPr="006E14DA">
              <w:rPr>
                <w:rFonts w:eastAsia="Arial"/>
                <w:sz w:val="22"/>
              </w:rPr>
              <w:t xml:space="preserve"> Production Support team</w:t>
            </w:r>
          </w:p>
        </w:tc>
      </w:tr>
      <w:tr w:rsidR="005501B7" w:rsidRPr="00211CFB" w:rsidTr="00526449">
        <w:tc>
          <w:tcPr>
            <w:tcW w:w="3888" w:type="dxa"/>
          </w:tcPr>
          <w:p w:rsidR="005501B7" w:rsidRPr="006E14DA" w:rsidRDefault="005501B7" w:rsidP="002705A8">
            <w:pPr>
              <w:spacing w:before="60" w:after="60" w:line="240" w:lineRule="auto"/>
              <w:rPr>
                <w:rFonts w:ascii="Arial" w:hAnsi="Arial"/>
                <w:sz w:val="20"/>
                <w:szCs w:val="20"/>
              </w:rPr>
            </w:pPr>
            <w:r w:rsidRPr="006E14DA">
              <w:rPr>
                <w:rFonts w:ascii="Arial" w:hAnsi="Arial"/>
                <w:sz w:val="20"/>
                <w:szCs w:val="20"/>
              </w:rPr>
              <w:t>Consumer Requests Information</w:t>
            </w:r>
          </w:p>
        </w:tc>
        <w:tc>
          <w:tcPr>
            <w:tcW w:w="4968" w:type="dxa"/>
          </w:tcPr>
          <w:p w:rsidR="005501B7" w:rsidRPr="006E14DA" w:rsidRDefault="005501B7" w:rsidP="002705A8">
            <w:pPr>
              <w:spacing w:before="60" w:after="60" w:line="240" w:lineRule="auto"/>
              <w:rPr>
                <w:rFonts w:eastAsia="Arial"/>
                <w:sz w:val="22"/>
              </w:rPr>
            </w:pPr>
            <w:r w:rsidRPr="006E14DA">
              <w:rPr>
                <w:rFonts w:eastAsia="Arial"/>
                <w:sz w:val="22"/>
              </w:rPr>
              <w:t>A Consumer requests information on existing Third-Party relationships</w:t>
            </w:r>
          </w:p>
        </w:tc>
      </w:tr>
      <w:tr w:rsidR="005501B7" w:rsidRPr="00211CFB" w:rsidTr="00526449">
        <w:tc>
          <w:tcPr>
            <w:tcW w:w="3888" w:type="dxa"/>
          </w:tcPr>
          <w:p w:rsidR="005501B7" w:rsidRPr="006E14DA" w:rsidRDefault="005501B7" w:rsidP="002705A8">
            <w:pPr>
              <w:spacing w:before="60" w:after="60" w:line="240" w:lineRule="auto"/>
              <w:rPr>
                <w:rFonts w:ascii="Arial" w:hAnsi="Arial"/>
                <w:sz w:val="20"/>
                <w:szCs w:val="20"/>
              </w:rPr>
            </w:pPr>
            <w:r w:rsidRPr="006E14DA">
              <w:rPr>
                <w:rFonts w:ascii="Arial" w:hAnsi="Arial"/>
                <w:sz w:val="20"/>
                <w:szCs w:val="20"/>
              </w:rPr>
              <w:t>Consumer Terminates Third-Party Relationship</w:t>
            </w:r>
          </w:p>
        </w:tc>
        <w:tc>
          <w:tcPr>
            <w:tcW w:w="4968" w:type="dxa"/>
          </w:tcPr>
          <w:p w:rsidR="005501B7" w:rsidRPr="006E14DA" w:rsidRDefault="005501B7" w:rsidP="002705A8">
            <w:pPr>
              <w:spacing w:before="60" w:after="60" w:line="240" w:lineRule="auto"/>
              <w:rPr>
                <w:rFonts w:eastAsia="Arial"/>
                <w:sz w:val="22"/>
              </w:rPr>
            </w:pPr>
            <w:r w:rsidRPr="006E14DA">
              <w:rPr>
                <w:rFonts w:eastAsia="Arial"/>
                <w:sz w:val="22"/>
              </w:rPr>
              <w:t>A Consumer terminates an existing Third-Party relationship</w:t>
            </w:r>
          </w:p>
        </w:tc>
      </w:tr>
      <w:tr w:rsidR="005501B7" w:rsidRPr="00211CFB" w:rsidTr="00526449">
        <w:tc>
          <w:tcPr>
            <w:tcW w:w="3888" w:type="dxa"/>
          </w:tcPr>
          <w:p w:rsidR="005501B7" w:rsidRPr="006E14DA" w:rsidRDefault="005501B7" w:rsidP="002705A8">
            <w:pPr>
              <w:spacing w:before="60" w:after="60" w:line="240" w:lineRule="auto"/>
              <w:rPr>
                <w:rFonts w:ascii="Arial" w:hAnsi="Arial"/>
                <w:sz w:val="20"/>
                <w:szCs w:val="20"/>
              </w:rPr>
            </w:pPr>
            <w:r w:rsidRPr="006E14DA">
              <w:rPr>
                <w:rFonts w:ascii="Arial" w:hAnsi="Arial"/>
                <w:sz w:val="20"/>
                <w:szCs w:val="20"/>
              </w:rPr>
              <w:t>Third-Party Establishes API with SMT</w:t>
            </w:r>
          </w:p>
        </w:tc>
        <w:tc>
          <w:tcPr>
            <w:tcW w:w="4968" w:type="dxa"/>
          </w:tcPr>
          <w:p w:rsidR="005501B7" w:rsidRPr="006E14DA" w:rsidRDefault="005501B7" w:rsidP="002705A8">
            <w:pPr>
              <w:spacing w:before="60" w:after="60" w:line="240" w:lineRule="auto"/>
              <w:rPr>
                <w:rFonts w:eastAsia="Arial"/>
                <w:sz w:val="22"/>
              </w:rPr>
            </w:pPr>
            <w:r w:rsidRPr="006E14DA">
              <w:rPr>
                <w:rFonts w:eastAsia="Arial"/>
                <w:sz w:val="22"/>
              </w:rPr>
              <w:t>A Third-Party coordinates with the SMT Production Support team to set up API access</w:t>
            </w:r>
          </w:p>
        </w:tc>
      </w:tr>
      <w:tr w:rsidR="005501B7" w:rsidRPr="00211CFB" w:rsidTr="00526449">
        <w:tc>
          <w:tcPr>
            <w:tcW w:w="3888" w:type="dxa"/>
          </w:tcPr>
          <w:p w:rsidR="005501B7" w:rsidRPr="006E14DA" w:rsidRDefault="005501B7" w:rsidP="002705A8">
            <w:pPr>
              <w:spacing w:before="60" w:after="60" w:line="240" w:lineRule="auto"/>
              <w:rPr>
                <w:rFonts w:ascii="Arial" w:hAnsi="Arial"/>
                <w:sz w:val="20"/>
                <w:szCs w:val="20"/>
              </w:rPr>
            </w:pPr>
            <w:r w:rsidRPr="006E14DA">
              <w:rPr>
                <w:rFonts w:ascii="Arial" w:hAnsi="Arial"/>
                <w:sz w:val="20"/>
                <w:szCs w:val="20"/>
              </w:rPr>
              <w:t>Third-Party Requests Information on Consumer Relationships</w:t>
            </w:r>
          </w:p>
        </w:tc>
        <w:tc>
          <w:tcPr>
            <w:tcW w:w="4968" w:type="dxa"/>
          </w:tcPr>
          <w:p w:rsidR="005501B7" w:rsidRPr="006E14DA" w:rsidRDefault="005501B7" w:rsidP="002705A8">
            <w:pPr>
              <w:spacing w:before="60" w:after="60" w:line="240" w:lineRule="auto"/>
              <w:rPr>
                <w:rFonts w:eastAsia="Arial"/>
                <w:sz w:val="22"/>
              </w:rPr>
            </w:pPr>
            <w:r w:rsidRPr="006E14DA">
              <w:rPr>
                <w:rFonts w:eastAsia="Arial"/>
                <w:sz w:val="22"/>
              </w:rPr>
              <w:t>A Third-Party requests information on their existing consumer relationships</w:t>
            </w:r>
          </w:p>
        </w:tc>
      </w:tr>
      <w:tr w:rsidR="005501B7" w:rsidRPr="00211CFB" w:rsidTr="00526449">
        <w:tc>
          <w:tcPr>
            <w:tcW w:w="3888" w:type="dxa"/>
          </w:tcPr>
          <w:p w:rsidR="005501B7" w:rsidRPr="006E14DA" w:rsidRDefault="005501B7" w:rsidP="002705A8">
            <w:pPr>
              <w:spacing w:before="60" w:after="60" w:line="240" w:lineRule="auto"/>
              <w:rPr>
                <w:rFonts w:ascii="Arial" w:hAnsi="Arial"/>
                <w:sz w:val="20"/>
                <w:szCs w:val="20"/>
              </w:rPr>
            </w:pPr>
            <w:r w:rsidRPr="006E14DA">
              <w:rPr>
                <w:rFonts w:ascii="Arial" w:hAnsi="Arial"/>
                <w:sz w:val="20"/>
                <w:szCs w:val="20"/>
              </w:rPr>
              <w:t>Third-Party Accesses Consumer Data</w:t>
            </w:r>
          </w:p>
        </w:tc>
        <w:tc>
          <w:tcPr>
            <w:tcW w:w="4968" w:type="dxa"/>
          </w:tcPr>
          <w:p w:rsidR="005501B7" w:rsidRPr="006E14DA" w:rsidRDefault="005501B7" w:rsidP="002705A8">
            <w:pPr>
              <w:spacing w:before="60" w:after="60" w:line="240" w:lineRule="auto"/>
              <w:rPr>
                <w:rFonts w:eastAsia="Arial"/>
                <w:sz w:val="22"/>
              </w:rPr>
            </w:pPr>
            <w:r w:rsidRPr="006E14DA">
              <w:rPr>
                <w:rFonts w:eastAsia="Arial"/>
                <w:sz w:val="22"/>
              </w:rPr>
              <w:t>A Third-Party accesses their consumer data from SMT via API</w:t>
            </w:r>
          </w:p>
        </w:tc>
      </w:tr>
      <w:tr w:rsidR="005501B7" w:rsidRPr="00211CFB" w:rsidTr="00526449">
        <w:tc>
          <w:tcPr>
            <w:tcW w:w="3888" w:type="dxa"/>
          </w:tcPr>
          <w:p w:rsidR="005501B7" w:rsidRPr="006E14DA" w:rsidRDefault="005501B7" w:rsidP="002705A8">
            <w:pPr>
              <w:spacing w:before="60" w:after="60" w:line="240" w:lineRule="auto"/>
              <w:rPr>
                <w:rFonts w:ascii="Arial" w:hAnsi="Arial"/>
                <w:sz w:val="20"/>
                <w:szCs w:val="20"/>
              </w:rPr>
            </w:pPr>
            <w:r w:rsidRPr="006E14DA">
              <w:rPr>
                <w:rFonts w:ascii="Arial" w:hAnsi="Arial"/>
                <w:sz w:val="20"/>
                <w:szCs w:val="20"/>
              </w:rPr>
              <w:t>Third-Party Adds HAN Device</w:t>
            </w:r>
          </w:p>
        </w:tc>
        <w:tc>
          <w:tcPr>
            <w:tcW w:w="4968" w:type="dxa"/>
          </w:tcPr>
          <w:p w:rsidR="005501B7" w:rsidRPr="006E14DA" w:rsidRDefault="005501B7" w:rsidP="002705A8">
            <w:pPr>
              <w:spacing w:before="60" w:after="60" w:line="240" w:lineRule="auto"/>
              <w:rPr>
                <w:rFonts w:eastAsia="Arial"/>
                <w:sz w:val="22"/>
              </w:rPr>
            </w:pPr>
            <w:r w:rsidRPr="006E14DA">
              <w:rPr>
                <w:rFonts w:eastAsia="Arial"/>
                <w:sz w:val="22"/>
              </w:rPr>
              <w:t>A Third-Party utilizes SMT to add a HAN Device to the Customer’s HAN.</w:t>
            </w:r>
          </w:p>
        </w:tc>
      </w:tr>
    </w:tbl>
    <w:p w:rsidR="003E1493" w:rsidRDefault="003E1493" w:rsidP="001B66F8">
      <w:pPr>
        <w:pStyle w:val="Heading2"/>
        <w:tabs>
          <w:tab w:val="clear" w:pos="576"/>
        </w:tabs>
        <w:ind w:left="0" w:hanging="540"/>
      </w:pPr>
      <w:bookmarkStart w:id="33" w:name="_Toc401563538"/>
      <w:r>
        <w:t>Storyboards</w:t>
      </w:r>
      <w:bookmarkEnd w:id="33"/>
    </w:p>
    <w:p w:rsidR="00F12661" w:rsidRDefault="008A6B7A" w:rsidP="00715EE8">
      <w:pPr>
        <w:spacing w:before="0"/>
        <w:jc w:val="both"/>
      </w:pPr>
      <w:r>
        <w:t>As the Third Party discussion</w:t>
      </w:r>
      <w:r w:rsidR="00D87966">
        <w:t>s</w:t>
      </w:r>
      <w:r>
        <w:t xml:space="preserve"> advanced, t</w:t>
      </w:r>
      <w:r w:rsidR="00F12661">
        <w:t xml:space="preserve">he stakeholders </w:t>
      </w:r>
      <w:r>
        <w:t>migrated to the use of</w:t>
      </w:r>
      <w:r w:rsidR="00F12661">
        <w:t xml:space="preserve"> a modified version of use cases called ‘storyboards’ that closely resemble a widely accepted systems development tool known as an Activity Diagram. </w:t>
      </w:r>
      <w:r>
        <w:t xml:space="preserve">The stakeholders favored the storyboard method because they were more suitable for presentation and group discussion. </w:t>
      </w:r>
      <w:r w:rsidR="00AE5120">
        <w:t>S</w:t>
      </w:r>
      <w:r w:rsidR="00F12661">
        <w:t>torybo</w:t>
      </w:r>
      <w:r w:rsidR="00B67A77">
        <w:t xml:space="preserve">ards are visual representations </w:t>
      </w:r>
      <w:r w:rsidR="00F12661">
        <w:t xml:space="preserve">of a sequence of steps </w:t>
      </w:r>
      <w:r w:rsidR="00F96C15">
        <w:t>that</w:t>
      </w:r>
      <w:r w:rsidR="00F12661">
        <w:t xml:space="preserve"> are similar to a use case’s list of steps. The storyboard indicates the flow of actions and information among a set of actors. The storyboards generally include a brief set of steps in a list format and can also indicate references to other important information such as </w:t>
      </w:r>
      <w:r w:rsidR="005D69C8">
        <w:t xml:space="preserve">assumptions, </w:t>
      </w:r>
      <w:r w:rsidR="000B0C1C">
        <w:t>requirements, Business P</w:t>
      </w:r>
      <w:r w:rsidR="00F12661">
        <w:t>rocesses and interfaces (see</w:t>
      </w:r>
      <w:r w:rsidR="005C4B5D">
        <w:t xml:space="preserve"> </w:t>
      </w:r>
      <w:r w:rsidR="00CE48DF">
        <w:fldChar w:fldCharType="begin"/>
      </w:r>
      <w:r w:rsidR="005C4B5D">
        <w:instrText xml:space="preserve"> REF _Ref351382320 \h </w:instrText>
      </w:r>
      <w:r w:rsidR="00CE48DF">
        <w:fldChar w:fldCharType="separate"/>
      </w:r>
      <w:r w:rsidR="00F609FD">
        <w:t xml:space="preserve">Figure </w:t>
      </w:r>
      <w:r w:rsidR="00F609FD">
        <w:rPr>
          <w:noProof/>
        </w:rPr>
        <w:t>4</w:t>
      </w:r>
      <w:r w:rsidR="00CE48DF">
        <w:fldChar w:fldCharType="end"/>
      </w:r>
      <w:r w:rsidR="00F12661">
        <w:t xml:space="preserve">). </w:t>
      </w:r>
      <w:r w:rsidR="005D69C8">
        <w:t>In addition, the storyboards include SMT web portal scree</w:t>
      </w:r>
      <w:r w:rsidR="00AE5120">
        <w:t>n shots to display the full user interface</w:t>
      </w:r>
      <w:r w:rsidR="005D69C8">
        <w:t xml:space="preserve"> experience. </w:t>
      </w:r>
      <w:r w:rsidR="00BE3B40">
        <w:t>The storyboard process not only documented the steps taken to perform the activity but also recorded the corresponding assumptions and business rules for the activity.</w:t>
      </w:r>
    </w:p>
    <w:p w:rsidR="00312C8A" w:rsidRDefault="00312C8A" w:rsidP="005C4B5D">
      <w:pPr>
        <w:keepNext/>
        <w:sectPr w:rsidR="00312C8A" w:rsidSect="00CB31EF">
          <w:pgSz w:w="12240" w:h="15840" w:code="1"/>
          <w:pgMar w:top="1800" w:right="1440" w:bottom="1440" w:left="1440" w:header="720" w:footer="720" w:gutter="0"/>
          <w:cols w:space="720"/>
          <w:docGrid w:linePitch="360"/>
        </w:sectPr>
      </w:pPr>
    </w:p>
    <w:p w:rsidR="005C4B5D" w:rsidRDefault="005C4B5D" w:rsidP="005C4B5D">
      <w:pPr>
        <w:keepNext/>
      </w:pPr>
      <w:r w:rsidRPr="005C4B5D">
        <w:rPr>
          <w:noProof/>
        </w:rPr>
        <w:drawing>
          <wp:inline distT="0" distB="0" distL="0" distR="0" wp14:anchorId="11A5C222" wp14:editId="1F15557D">
            <wp:extent cx="7903008" cy="4314825"/>
            <wp:effectExtent l="19050" t="0" r="2742"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7919258" cy="4323697"/>
                    </a:xfrm>
                    <a:prstGeom prst="rect">
                      <a:avLst/>
                    </a:prstGeom>
                    <a:noFill/>
                    <a:ln w="9525">
                      <a:noFill/>
                      <a:miter lim="800000"/>
                      <a:headEnd/>
                      <a:tailEnd/>
                    </a:ln>
                  </pic:spPr>
                </pic:pic>
              </a:graphicData>
            </a:graphic>
          </wp:inline>
        </w:drawing>
      </w:r>
    </w:p>
    <w:p w:rsidR="00526449" w:rsidRPr="006E14DA" w:rsidRDefault="005C4B5D" w:rsidP="005C4B5D">
      <w:pPr>
        <w:pStyle w:val="Caption"/>
        <w:rPr>
          <w:rFonts w:ascii="Arial" w:hAnsi="Arial"/>
          <w:sz w:val="20"/>
          <w:szCs w:val="20"/>
        </w:rPr>
      </w:pPr>
      <w:bookmarkStart w:id="34" w:name="_Ref351382320"/>
      <w:bookmarkStart w:id="35" w:name="_Toc367210598"/>
      <w:r w:rsidRPr="006E14DA">
        <w:rPr>
          <w:rFonts w:ascii="Arial" w:hAnsi="Arial"/>
          <w:sz w:val="20"/>
          <w:szCs w:val="20"/>
        </w:rPr>
        <w:t xml:space="preserve">Figure </w:t>
      </w:r>
      <w:r w:rsidR="00CE48DF" w:rsidRPr="006E14DA">
        <w:rPr>
          <w:rFonts w:ascii="Arial" w:hAnsi="Arial"/>
          <w:sz w:val="20"/>
          <w:szCs w:val="20"/>
        </w:rPr>
        <w:fldChar w:fldCharType="begin"/>
      </w:r>
      <w:r w:rsidR="00CE48DF" w:rsidRPr="006E14DA">
        <w:rPr>
          <w:rFonts w:ascii="Arial" w:hAnsi="Arial"/>
          <w:sz w:val="20"/>
          <w:szCs w:val="20"/>
        </w:rPr>
        <w:instrText xml:space="preserve"> SEQ Figure \* ARABIC </w:instrText>
      </w:r>
      <w:r w:rsidR="00CE48DF" w:rsidRPr="006E14DA">
        <w:rPr>
          <w:rFonts w:ascii="Arial" w:hAnsi="Arial"/>
          <w:sz w:val="20"/>
          <w:szCs w:val="20"/>
        </w:rPr>
        <w:fldChar w:fldCharType="separate"/>
      </w:r>
      <w:r w:rsidR="00F609FD" w:rsidRPr="006E14DA">
        <w:rPr>
          <w:rFonts w:ascii="Arial" w:hAnsi="Arial"/>
          <w:noProof/>
          <w:sz w:val="20"/>
          <w:szCs w:val="20"/>
        </w:rPr>
        <w:t>4</w:t>
      </w:r>
      <w:r w:rsidR="00CE48DF" w:rsidRPr="006E14DA">
        <w:rPr>
          <w:rFonts w:ascii="Arial" w:hAnsi="Arial"/>
          <w:sz w:val="20"/>
          <w:szCs w:val="20"/>
        </w:rPr>
        <w:fldChar w:fldCharType="end"/>
      </w:r>
      <w:bookmarkEnd w:id="34"/>
      <w:r w:rsidRPr="006E14DA">
        <w:rPr>
          <w:rFonts w:ascii="Arial" w:hAnsi="Arial"/>
          <w:sz w:val="20"/>
          <w:szCs w:val="20"/>
        </w:rPr>
        <w:t>: Storyboard Example</w:t>
      </w:r>
      <w:bookmarkEnd w:id="35"/>
    </w:p>
    <w:p w:rsidR="00312C8A" w:rsidRDefault="00312C8A" w:rsidP="00715EE8">
      <w:pPr>
        <w:jc w:val="both"/>
        <w:sectPr w:rsidR="00312C8A" w:rsidSect="00312C8A">
          <w:pgSz w:w="15840" w:h="12240" w:orient="landscape" w:code="1"/>
          <w:pgMar w:top="1440" w:right="1440" w:bottom="1440" w:left="1800" w:header="720" w:footer="720" w:gutter="0"/>
          <w:cols w:space="720"/>
          <w:docGrid w:linePitch="360"/>
        </w:sectPr>
      </w:pPr>
    </w:p>
    <w:p w:rsidR="00B540B7" w:rsidRDefault="004227C7" w:rsidP="00715EE8">
      <w:pPr>
        <w:jc w:val="both"/>
      </w:pPr>
      <w:r>
        <w:t xml:space="preserve">The final set of storyboards that became the design documents </w:t>
      </w:r>
      <w:r w:rsidR="00632322">
        <w:t xml:space="preserve">for Third Party access to SMT are listed in </w:t>
      </w:r>
      <w:r w:rsidR="00CE48DF">
        <w:fldChar w:fldCharType="begin"/>
      </w:r>
      <w:r w:rsidR="00632322">
        <w:instrText xml:space="preserve"> REF _Ref351391223 \h </w:instrText>
      </w:r>
      <w:r w:rsidR="00CE48DF">
        <w:fldChar w:fldCharType="separate"/>
      </w:r>
      <w:r w:rsidR="00F609FD">
        <w:t xml:space="preserve">Table </w:t>
      </w:r>
      <w:r w:rsidR="00F609FD">
        <w:rPr>
          <w:noProof/>
        </w:rPr>
        <w:t>2</w:t>
      </w:r>
      <w:r w:rsidR="00CE48DF">
        <w:fldChar w:fldCharType="end"/>
      </w:r>
      <w:r w:rsidR="00B540B7">
        <w:t>.</w:t>
      </w:r>
    </w:p>
    <w:p w:rsidR="00B93217" w:rsidRPr="006E14DA" w:rsidRDefault="00B93217" w:rsidP="00B93217">
      <w:pPr>
        <w:pStyle w:val="Caption"/>
        <w:keepNext/>
        <w:rPr>
          <w:rFonts w:ascii="Arial" w:hAnsi="Arial"/>
        </w:rPr>
      </w:pPr>
      <w:bookmarkStart w:id="36" w:name="_Ref351391223"/>
      <w:bookmarkStart w:id="37" w:name="_Toc367210590"/>
      <w:r w:rsidRPr="006E14DA">
        <w:rPr>
          <w:rFonts w:ascii="Arial" w:hAnsi="Arial"/>
        </w:rPr>
        <w:t xml:space="preserve">Table </w:t>
      </w:r>
      <w:r w:rsidR="00CE48DF" w:rsidRPr="006E14DA">
        <w:rPr>
          <w:rFonts w:ascii="Arial" w:hAnsi="Arial"/>
        </w:rPr>
        <w:fldChar w:fldCharType="begin"/>
      </w:r>
      <w:r w:rsidR="00CE48DF" w:rsidRPr="006E14DA">
        <w:rPr>
          <w:rFonts w:ascii="Arial" w:hAnsi="Arial"/>
        </w:rPr>
        <w:instrText xml:space="preserve"> SEQ Table \* ARABIC </w:instrText>
      </w:r>
      <w:r w:rsidR="00CE48DF" w:rsidRPr="006E14DA">
        <w:rPr>
          <w:rFonts w:ascii="Arial" w:hAnsi="Arial"/>
        </w:rPr>
        <w:fldChar w:fldCharType="separate"/>
      </w:r>
      <w:r w:rsidR="00F609FD" w:rsidRPr="006E14DA">
        <w:rPr>
          <w:rFonts w:ascii="Arial" w:hAnsi="Arial"/>
          <w:noProof/>
        </w:rPr>
        <w:t>2</w:t>
      </w:r>
      <w:r w:rsidR="00CE48DF" w:rsidRPr="006E14DA">
        <w:rPr>
          <w:rFonts w:ascii="Arial" w:hAnsi="Arial"/>
        </w:rPr>
        <w:fldChar w:fldCharType="end"/>
      </w:r>
      <w:bookmarkEnd w:id="36"/>
      <w:r w:rsidRPr="006E14DA">
        <w:rPr>
          <w:rFonts w:ascii="Arial" w:hAnsi="Arial"/>
        </w:rPr>
        <w:t xml:space="preserve">: </w:t>
      </w:r>
      <w:r w:rsidR="00312C8A" w:rsidRPr="006E14DA">
        <w:rPr>
          <w:rFonts w:ascii="Arial" w:hAnsi="Arial"/>
        </w:rPr>
        <w:t xml:space="preserve">Final Storyboards for </w:t>
      </w:r>
      <w:r w:rsidRPr="006E14DA">
        <w:rPr>
          <w:rFonts w:ascii="Arial" w:hAnsi="Arial"/>
        </w:rPr>
        <w:t xml:space="preserve">Third </w:t>
      </w:r>
      <w:r w:rsidR="00312C8A" w:rsidRPr="006E14DA">
        <w:rPr>
          <w:rFonts w:ascii="Arial" w:hAnsi="Arial"/>
        </w:rPr>
        <w:t>Party</w:t>
      </w:r>
      <w:r w:rsidRPr="006E14DA">
        <w:rPr>
          <w:rFonts w:ascii="Arial" w:hAnsi="Arial"/>
        </w:rPr>
        <w:t xml:space="preserve"> </w:t>
      </w:r>
      <w:r w:rsidR="00312C8A" w:rsidRPr="006E14DA">
        <w:rPr>
          <w:rFonts w:ascii="Arial" w:hAnsi="Arial"/>
        </w:rPr>
        <w:t>Access</w:t>
      </w:r>
      <w:bookmarkEnd w:id="37"/>
    </w:p>
    <w:tbl>
      <w:tblPr>
        <w:tblStyle w:val="TableGrid"/>
        <w:tblW w:w="8838" w:type="dxa"/>
        <w:jc w:val="center"/>
        <w:tblLook w:val="04A0" w:firstRow="1" w:lastRow="0" w:firstColumn="1" w:lastColumn="0" w:noHBand="0" w:noVBand="1"/>
      </w:tblPr>
      <w:tblGrid>
        <w:gridCol w:w="2718"/>
        <w:gridCol w:w="6120"/>
      </w:tblGrid>
      <w:tr w:rsidR="00130E52" w:rsidRPr="00211CFB" w:rsidTr="00130E52">
        <w:trPr>
          <w:tblHeader/>
          <w:jc w:val="center"/>
        </w:trPr>
        <w:tc>
          <w:tcPr>
            <w:tcW w:w="2718" w:type="dxa"/>
            <w:tcBorders>
              <w:bottom w:val="single" w:sz="4" w:space="0" w:color="auto"/>
            </w:tcBorders>
            <w:shd w:val="pct12" w:color="auto" w:fill="auto"/>
          </w:tcPr>
          <w:p w:rsidR="00130E52" w:rsidRPr="006E14DA" w:rsidRDefault="00130E52" w:rsidP="00EF4DDF">
            <w:pPr>
              <w:spacing w:before="60" w:after="60" w:line="240" w:lineRule="auto"/>
              <w:rPr>
                <w:rFonts w:ascii="Arial" w:hAnsi="Arial"/>
                <w:b/>
                <w:szCs w:val="20"/>
              </w:rPr>
            </w:pPr>
            <w:r w:rsidRPr="006E14DA">
              <w:rPr>
                <w:rFonts w:ascii="Arial" w:hAnsi="Arial"/>
                <w:b/>
                <w:szCs w:val="20"/>
              </w:rPr>
              <w:t>Name</w:t>
            </w:r>
          </w:p>
        </w:tc>
        <w:tc>
          <w:tcPr>
            <w:tcW w:w="6120" w:type="dxa"/>
            <w:tcBorders>
              <w:bottom w:val="single" w:sz="4" w:space="0" w:color="auto"/>
            </w:tcBorders>
            <w:shd w:val="pct12" w:color="auto" w:fill="auto"/>
          </w:tcPr>
          <w:p w:rsidR="00130E52" w:rsidRPr="006E14DA" w:rsidRDefault="00130E52" w:rsidP="00EF4DDF">
            <w:pPr>
              <w:spacing w:before="60" w:after="60" w:line="240" w:lineRule="auto"/>
              <w:rPr>
                <w:rFonts w:ascii="Arial" w:eastAsia="Arial" w:hAnsi="Arial"/>
                <w:b/>
                <w:szCs w:val="20"/>
              </w:rPr>
            </w:pPr>
            <w:r w:rsidRPr="006E14DA">
              <w:rPr>
                <w:rFonts w:ascii="Arial" w:eastAsia="Arial" w:hAnsi="Arial"/>
                <w:b/>
                <w:szCs w:val="20"/>
              </w:rPr>
              <w:t>Description</w:t>
            </w:r>
          </w:p>
        </w:tc>
      </w:tr>
      <w:tr w:rsidR="00130E52" w:rsidRPr="00211CFB" w:rsidTr="00130E52">
        <w:trPr>
          <w:jc w:val="center"/>
        </w:trPr>
        <w:tc>
          <w:tcPr>
            <w:tcW w:w="8838" w:type="dxa"/>
            <w:gridSpan w:val="2"/>
            <w:shd w:val="pct5" w:color="auto" w:fill="auto"/>
          </w:tcPr>
          <w:p w:rsidR="00130E52" w:rsidRPr="006E14DA" w:rsidRDefault="00130E52" w:rsidP="00EF4DDF">
            <w:pPr>
              <w:spacing w:line="240" w:lineRule="auto"/>
              <w:jc w:val="center"/>
              <w:rPr>
                <w:rFonts w:ascii="Arial" w:hAnsi="Arial"/>
                <w:b/>
                <w:sz w:val="22"/>
              </w:rPr>
            </w:pPr>
            <w:r w:rsidRPr="006E14DA">
              <w:rPr>
                <w:rFonts w:ascii="Arial" w:hAnsi="Arial"/>
                <w:b/>
                <w:sz w:val="22"/>
              </w:rPr>
              <w:t>SMT Account Registration</w:t>
            </w:r>
          </w:p>
        </w:tc>
      </w:tr>
      <w:tr w:rsidR="00130E52" w:rsidRPr="00211CFB" w:rsidTr="00130E52">
        <w:trPr>
          <w:jc w:val="center"/>
        </w:trPr>
        <w:tc>
          <w:tcPr>
            <w:tcW w:w="2718" w:type="dxa"/>
            <w:tcBorders>
              <w:bottom w:val="single" w:sz="4" w:space="0" w:color="auto"/>
            </w:tcBorders>
          </w:tcPr>
          <w:p w:rsidR="00130E52" w:rsidRPr="006E14DA" w:rsidRDefault="00130E52" w:rsidP="00EF4DDF">
            <w:pPr>
              <w:spacing w:before="60" w:after="60" w:line="240" w:lineRule="auto"/>
              <w:rPr>
                <w:rFonts w:ascii="Arial" w:hAnsi="Arial"/>
                <w:sz w:val="20"/>
                <w:szCs w:val="20"/>
              </w:rPr>
            </w:pPr>
            <w:r w:rsidRPr="006E14DA">
              <w:rPr>
                <w:rFonts w:ascii="Arial" w:hAnsi="Arial"/>
                <w:sz w:val="20"/>
                <w:szCs w:val="20"/>
              </w:rPr>
              <w:t>Third Party registers for a new SMT Account</w:t>
            </w:r>
          </w:p>
        </w:tc>
        <w:tc>
          <w:tcPr>
            <w:tcW w:w="6120" w:type="dxa"/>
            <w:tcBorders>
              <w:bottom w:val="single" w:sz="4" w:space="0" w:color="auto"/>
            </w:tcBorders>
          </w:tcPr>
          <w:p w:rsidR="00130E52" w:rsidRPr="00211CFB" w:rsidRDefault="00130E52" w:rsidP="00EF4DDF">
            <w:pPr>
              <w:spacing w:before="60" w:after="60" w:line="240" w:lineRule="auto"/>
              <w:rPr>
                <w:rFonts w:eastAsia="Arial"/>
                <w:szCs w:val="20"/>
              </w:rPr>
            </w:pPr>
            <w:r>
              <w:rPr>
                <w:rFonts w:eastAsia="Arial"/>
                <w:szCs w:val="20"/>
              </w:rPr>
              <w:t xml:space="preserve">A Third Party creates a company account and an Administrator account and approves pending user accounts and assigns </w:t>
            </w:r>
            <w:r w:rsidR="00670805">
              <w:rPr>
                <w:rFonts w:eastAsia="Arial"/>
                <w:szCs w:val="20"/>
              </w:rPr>
              <w:t xml:space="preserve">users </w:t>
            </w:r>
            <w:r>
              <w:rPr>
                <w:rFonts w:eastAsia="Arial"/>
                <w:szCs w:val="20"/>
              </w:rPr>
              <w:t>permissions.</w:t>
            </w:r>
          </w:p>
        </w:tc>
      </w:tr>
      <w:tr w:rsidR="00130E52" w:rsidRPr="00211CFB" w:rsidTr="00130E52">
        <w:trPr>
          <w:jc w:val="center"/>
        </w:trPr>
        <w:tc>
          <w:tcPr>
            <w:tcW w:w="8838" w:type="dxa"/>
            <w:gridSpan w:val="2"/>
            <w:shd w:val="pct5" w:color="auto" w:fill="auto"/>
          </w:tcPr>
          <w:p w:rsidR="00130E52" w:rsidRPr="006E14DA" w:rsidRDefault="00130E52" w:rsidP="00EF4DDF">
            <w:pPr>
              <w:spacing w:line="240" w:lineRule="auto"/>
              <w:jc w:val="center"/>
              <w:rPr>
                <w:rFonts w:ascii="Arial" w:hAnsi="Arial"/>
                <w:b/>
                <w:sz w:val="22"/>
              </w:rPr>
            </w:pPr>
            <w:r w:rsidRPr="006E14DA">
              <w:rPr>
                <w:rFonts w:ascii="Arial" w:hAnsi="Arial"/>
                <w:b/>
                <w:sz w:val="22"/>
              </w:rPr>
              <w:t>Agreement Invitation</w:t>
            </w:r>
          </w:p>
        </w:tc>
      </w:tr>
      <w:tr w:rsidR="00130E52" w:rsidRPr="00211CFB" w:rsidTr="00130E52">
        <w:trPr>
          <w:jc w:val="center"/>
        </w:trPr>
        <w:tc>
          <w:tcPr>
            <w:tcW w:w="2718" w:type="dxa"/>
          </w:tcPr>
          <w:p w:rsidR="00130E52" w:rsidRPr="006E14DA" w:rsidRDefault="00130E52" w:rsidP="00EF4DDF">
            <w:pPr>
              <w:spacing w:before="60" w:after="60" w:line="240" w:lineRule="auto"/>
              <w:rPr>
                <w:rFonts w:ascii="Arial" w:hAnsi="Arial"/>
                <w:sz w:val="20"/>
                <w:szCs w:val="20"/>
              </w:rPr>
            </w:pPr>
            <w:r w:rsidRPr="006E14DA">
              <w:rPr>
                <w:rFonts w:ascii="Arial" w:hAnsi="Arial"/>
                <w:sz w:val="20"/>
                <w:szCs w:val="20"/>
              </w:rPr>
              <w:t>Third Party initiates Energy Data agreement</w:t>
            </w:r>
          </w:p>
        </w:tc>
        <w:tc>
          <w:tcPr>
            <w:tcW w:w="6120" w:type="dxa"/>
          </w:tcPr>
          <w:p w:rsidR="00130E52" w:rsidRPr="00211CFB" w:rsidRDefault="00130E52" w:rsidP="00EF4DDF">
            <w:pPr>
              <w:spacing w:before="60" w:after="60" w:line="240" w:lineRule="auto"/>
              <w:rPr>
                <w:rFonts w:eastAsia="Arial"/>
                <w:szCs w:val="20"/>
              </w:rPr>
            </w:pPr>
            <w:r>
              <w:rPr>
                <w:rFonts w:eastAsia="Arial"/>
                <w:szCs w:val="20"/>
              </w:rPr>
              <w:t>Third Party meets with Customer and obtains necessary information from Customer. Third Party initiates an Energy Data agreement invitation in SMT and SMT sends the invitation to the Customer’s email address.</w:t>
            </w:r>
          </w:p>
        </w:tc>
      </w:tr>
      <w:tr w:rsidR="00130E52" w:rsidRPr="00211CFB" w:rsidTr="00130E52">
        <w:trPr>
          <w:jc w:val="center"/>
        </w:trPr>
        <w:tc>
          <w:tcPr>
            <w:tcW w:w="2718" w:type="dxa"/>
          </w:tcPr>
          <w:p w:rsidR="00130E52" w:rsidRPr="006E14DA" w:rsidRDefault="00130E52" w:rsidP="00EF4DDF">
            <w:pPr>
              <w:spacing w:line="240" w:lineRule="auto"/>
              <w:rPr>
                <w:rFonts w:ascii="Arial" w:hAnsi="Arial"/>
                <w:sz w:val="20"/>
                <w:szCs w:val="20"/>
              </w:rPr>
            </w:pPr>
            <w:r w:rsidRPr="006E14DA">
              <w:rPr>
                <w:rFonts w:ascii="Arial" w:hAnsi="Arial"/>
                <w:sz w:val="20"/>
                <w:szCs w:val="20"/>
              </w:rPr>
              <w:t>Third Party initiates HAN Services agreement</w:t>
            </w:r>
          </w:p>
        </w:tc>
        <w:tc>
          <w:tcPr>
            <w:tcW w:w="6120" w:type="dxa"/>
          </w:tcPr>
          <w:p w:rsidR="00130E52" w:rsidRPr="00211CFB" w:rsidRDefault="00130E52" w:rsidP="00EF4DDF">
            <w:pPr>
              <w:spacing w:before="60" w:after="60" w:line="240" w:lineRule="auto"/>
              <w:rPr>
                <w:rFonts w:eastAsia="Arial"/>
                <w:szCs w:val="20"/>
              </w:rPr>
            </w:pPr>
            <w:r>
              <w:rPr>
                <w:rFonts w:eastAsia="Arial"/>
                <w:szCs w:val="20"/>
              </w:rPr>
              <w:t>Third Party meets with Customer and obtains necessary information from Customer. Third Party initiates a HAN Services agreement invitation in SMT and SMT sends the invitation to the Customer’s email address.</w:t>
            </w:r>
          </w:p>
        </w:tc>
      </w:tr>
      <w:tr w:rsidR="00130E52" w:rsidRPr="00211CFB" w:rsidTr="00130E52">
        <w:trPr>
          <w:jc w:val="center"/>
        </w:trPr>
        <w:tc>
          <w:tcPr>
            <w:tcW w:w="2718" w:type="dxa"/>
            <w:tcBorders>
              <w:bottom w:val="single" w:sz="4" w:space="0" w:color="auto"/>
            </w:tcBorders>
          </w:tcPr>
          <w:p w:rsidR="00130E52" w:rsidRPr="006E14DA" w:rsidRDefault="00130E52" w:rsidP="00EF4DDF">
            <w:pPr>
              <w:spacing w:line="240" w:lineRule="auto"/>
              <w:rPr>
                <w:rFonts w:ascii="Arial" w:hAnsi="Arial"/>
                <w:sz w:val="20"/>
                <w:szCs w:val="20"/>
              </w:rPr>
            </w:pPr>
            <w:r w:rsidRPr="006E14DA">
              <w:rPr>
                <w:rFonts w:ascii="Arial" w:hAnsi="Arial"/>
                <w:sz w:val="20"/>
                <w:szCs w:val="20"/>
              </w:rPr>
              <w:t>Third Party initiates HAN Device agreement</w:t>
            </w:r>
          </w:p>
        </w:tc>
        <w:tc>
          <w:tcPr>
            <w:tcW w:w="6120" w:type="dxa"/>
            <w:tcBorders>
              <w:bottom w:val="single" w:sz="4" w:space="0" w:color="auto"/>
            </w:tcBorders>
          </w:tcPr>
          <w:p w:rsidR="00130E52" w:rsidRPr="00211CFB" w:rsidRDefault="00130E52" w:rsidP="00EF4DDF">
            <w:pPr>
              <w:spacing w:before="60" w:after="60" w:line="240" w:lineRule="auto"/>
              <w:rPr>
                <w:rFonts w:eastAsia="Arial"/>
                <w:szCs w:val="20"/>
              </w:rPr>
            </w:pPr>
            <w:r>
              <w:rPr>
                <w:rFonts w:eastAsia="Arial"/>
                <w:szCs w:val="20"/>
              </w:rPr>
              <w:t>Third Party meets with Customer and obtains necessary information from Customer. Third Party initiates a HAN Device agreement invitation in SMT and SMT sends the invitation to the Customer’s email address.</w:t>
            </w:r>
          </w:p>
        </w:tc>
      </w:tr>
      <w:tr w:rsidR="00130E52" w:rsidRPr="00211CFB" w:rsidTr="00130E52">
        <w:trPr>
          <w:jc w:val="center"/>
        </w:trPr>
        <w:tc>
          <w:tcPr>
            <w:tcW w:w="8838" w:type="dxa"/>
            <w:gridSpan w:val="2"/>
            <w:shd w:val="pct5" w:color="auto" w:fill="auto"/>
          </w:tcPr>
          <w:p w:rsidR="00130E52" w:rsidRPr="006E14DA" w:rsidRDefault="00130E52" w:rsidP="00907FC8">
            <w:pPr>
              <w:spacing w:line="240" w:lineRule="auto"/>
              <w:jc w:val="center"/>
              <w:rPr>
                <w:rFonts w:ascii="Arial" w:hAnsi="Arial"/>
                <w:b/>
                <w:sz w:val="22"/>
              </w:rPr>
            </w:pPr>
            <w:r w:rsidRPr="006E14DA">
              <w:rPr>
                <w:rFonts w:ascii="Arial" w:hAnsi="Arial"/>
                <w:b/>
                <w:sz w:val="22"/>
              </w:rPr>
              <w:t>Agreement Acceptance/Rejection</w:t>
            </w:r>
          </w:p>
        </w:tc>
      </w:tr>
      <w:tr w:rsidR="00130E52" w:rsidRPr="00211CFB" w:rsidTr="00130E52">
        <w:trPr>
          <w:jc w:val="center"/>
        </w:trPr>
        <w:tc>
          <w:tcPr>
            <w:tcW w:w="2718" w:type="dxa"/>
          </w:tcPr>
          <w:p w:rsidR="00130E52" w:rsidRPr="006E14DA" w:rsidRDefault="00130E52" w:rsidP="00032756">
            <w:pPr>
              <w:spacing w:before="60" w:after="60" w:line="240" w:lineRule="auto"/>
              <w:rPr>
                <w:rFonts w:ascii="Arial" w:hAnsi="Arial"/>
                <w:sz w:val="20"/>
                <w:szCs w:val="20"/>
              </w:rPr>
            </w:pPr>
            <w:r w:rsidRPr="006E14DA">
              <w:rPr>
                <w:rFonts w:ascii="Arial" w:hAnsi="Arial"/>
                <w:sz w:val="20"/>
                <w:szCs w:val="20"/>
              </w:rPr>
              <w:t>Customer accepts invite for Third Party agreement</w:t>
            </w:r>
          </w:p>
        </w:tc>
        <w:tc>
          <w:tcPr>
            <w:tcW w:w="6120" w:type="dxa"/>
          </w:tcPr>
          <w:p w:rsidR="00130E52" w:rsidRPr="00211CFB" w:rsidRDefault="00BE3B40" w:rsidP="00BE3B40">
            <w:pPr>
              <w:spacing w:before="60" w:after="60" w:line="240" w:lineRule="auto"/>
              <w:rPr>
                <w:rFonts w:eastAsia="Arial"/>
                <w:szCs w:val="20"/>
              </w:rPr>
            </w:pPr>
            <w:r>
              <w:rPr>
                <w:rFonts w:eastAsia="Arial"/>
                <w:szCs w:val="20"/>
              </w:rPr>
              <w:t xml:space="preserve">Customer accepts an agreement invitation and </w:t>
            </w:r>
            <w:r w:rsidR="00130E52">
              <w:rPr>
                <w:rFonts w:eastAsia="Arial"/>
                <w:szCs w:val="20"/>
              </w:rPr>
              <w:t>SMT creates an agreement.</w:t>
            </w:r>
          </w:p>
        </w:tc>
      </w:tr>
      <w:tr w:rsidR="00130E52" w:rsidRPr="00211CFB" w:rsidTr="00130E52">
        <w:trPr>
          <w:jc w:val="center"/>
        </w:trPr>
        <w:tc>
          <w:tcPr>
            <w:tcW w:w="2718" w:type="dxa"/>
            <w:tcBorders>
              <w:bottom w:val="single" w:sz="4" w:space="0" w:color="auto"/>
            </w:tcBorders>
          </w:tcPr>
          <w:p w:rsidR="00130E52" w:rsidRPr="006E14DA" w:rsidRDefault="00130E52" w:rsidP="000A706D">
            <w:pPr>
              <w:spacing w:before="60" w:after="60" w:line="240" w:lineRule="auto"/>
              <w:rPr>
                <w:rFonts w:ascii="Arial" w:hAnsi="Arial"/>
                <w:sz w:val="20"/>
                <w:szCs w:val="20"/>
              </w:rPr>
            </w:pPr>
            <w:r w:rsidRPr="006E14DA">
              <w:rPr>
                <w:rFonts w:ascii="Arial" w:hAnsi="Arial"/>
                <w:sz w:val="20"/>
                <w:szCs w:val="20"/>
              </w:rPr>
              <w:t>Customer rejects invite for Third Party agreement</w:t>
            </w:r>
          </w:p>
        </w:tc>
        <w:tc>
          <w:tcPr>
            <w:tcW w:w="6120" w:type="dxa"/>
            <w:tcBorders>
              <w:bottom w:val="single" w:sz="4" w:space="0" w:color="auto"/>
            </w:tcBorders>
          </w:tcPr>
          <w:p w:rsidR="00130E52" w:rsidRPr="00211CFB" w:rsidRDefault="00130E52" w:rsidP="00825EFF">
            <w:pPr>
              <w:spacing w:before="60" w:after="60" w:line="240" w:lineRule="auto"/>
              <w:rPr>
                <w:rFonts w:eastAsia="Arial"/>
                <w:szCs w:val="20"/>
              </w:rPr>
            </w:pPr>
            <w:r>
              <w:rPr>
                <w:rFonts w:eastAsia="Arial"/>
                <w:szCs w:val="20"/>
              </w:rPr>
              <w:t>Customer rejects the agreement and has the option to specify a reason for rejection. SMT does not create an agreement.</w:t>
            </w:r>
          </w:p>
        </w:tc>
      </w:tr>
      <w:tr w:rsidR="00130E52" w:rsidRPr="00211CFB" w:rsidTr="00130E52">
        <w:trPr>
          <w:jc w:val="center"/>
        </w:trPr>
        <w:tc>
          <w:tcPr>
            <w:tcW w:w="8838" w:type="dxa"/>
            <w:gridSpan w:val="2"/>
            <w:shd w:val="pct5" w:color="auto" w:fill="auto"/>
          </w:tcPr>
          <w:p w:rsidR="00130E52" w:rsidRPr="006E14DA" w:rsidRDefault="00130E52" w:rsidP="000A706D">
            <w:pPr>
              <w:spacing w:before="60" w:after="60" w:line="240" w:lineRule="auto"/>
              <w:jc w:val="center"/>
              <w:rPr>
                <w:rFonts w:ascii="Arial" w:eastAsia="Arial" w:hAnsi="Arial"/>
                <w:sz w:val="22"/>
              </w:rPr>
            </w:pPr>
            <w:r w:rsidRPr="006E14DA">
              <w:rPr>
                <w:rFonts w:ascii="Arial" w:hAnsi="Arial"/>
                <w:b/>
                <w:sz w:val="22"/>
              </w:rPr>
              <w:t>Agreement Management</w:t>
            </w:r>
          </w:p>
        </w:tc>
      </w:tr>
      <w:tr w:rsidR="00130E52" w:rsidRPr="00211CFB" w:rsidTr="00130E52">
        <w:trPr>
          <w:jc w:val="center"/>
        </w:trPr>
        <w:tc>
          <w:tcPr>
            <w:tcW w:w="2718" w:type="dxa"/>
          </w:tcPr>
          <w:p w:rsidR="00130E52" w:rsidRPr="006E14DA" w:rsidRDefault="00130E52" w:rsidP="00A366A8">
            <w:pPr>
              <w:spacing w:before="60" w:after="60" w:line="240" w:lineRule="auto"/>
              <w:rPr>
                <w:rFonts w:ascii="Arial" w:hAnsi="Arial"/>
                <w:sz w:val="20"/>
                <w:szCs w:val="20"/>
              </w:rPr>
            </w:pPr>
            <w:r w:rsidRPr="006E14DA">
              <w:rPr>
                <w:rFonts w:ascii="Arial" w:hAnsi="Arial"/>
                <w:sz w:val="20"/>
                <w:szCs w:val="20"/>
              </w:rPr>
              <w:t xml:space="preserve">Customer views and manages </w:t>
            </w:r>
            <w:r w:rsidR="00A366A8" w:rsidRPr="006E14DA">
              <w:rPr>
                <w:rFonts w:ascii="Arial" w:hAnsi="Arial"/>
                <w:sz w:val="20"/>
                <w:szCs w:val="20"/>
              </w:rPr>
              <w:t xml:space="preserve">Third </w:t>
            </w:r>
            <w:r w:rsidRPr="006E14DA">
              <w:rPr>
                <w:rFonts w:ascii="Arial" w:hAnsi="Arial"/>
                <w:sz w:val="20"/>
                <w:szCs w:val="20"/>
              </w:rPr>
              <w:t>Party agreements</w:t>
            </w:r>
          </w:p>
        </w:tc>
        <w:tc>
          <w:tcPr>
            <w:tcW w:w="6120" w:type="dxa"/>
          </w:tcPr>
          <w:p w:rsidR="00130E52" w:rsidRPr="00211CFB" w:rsidRDefault="00130E52" w:rsidP="00825EFF">
            <w:pPr>
              <w:spacing w:before="60" w:after="60" w:line="240" w:lineRule="auto"/>
              <w:rPr>
                <w:rFonts w:eastAsia="Arial"/>
                <w:szCs w:val="20"/>
              </w:rPr>
            </w:pPr>
            <w:r>
              <w:rPr>
                <w:rFonts w:eastAsia="Arial"/>
                <w:szCs w:val="20"/>
              </w:rPr>
              <w:t xml:space="preserve">Customer views their existing Third Party Agreements and </w:t>
            </w:r>
            <w:r w:rsidRPr="00825EFF">
              <w:rPr>
                <w:rFonts w:eastAsia="Arial"/>
                <w:szCs w:val="20"/>
              </w:rPr>
              <w:t xml:space="preserve">accepts, rejects, extends or terminates </w:t>
            </w:r>
            <w:r>
              <w:rPr>
                <w:rFonts w:eastAsia="Arial"/>
                <w:szCs w:val="20"/>
              </w:rPr>
              <w:t xml:space="preserve">an </w:t>
            </w:r>
            <w:r w:rsidRPr="00825EFF">
              <w:rPr>
                <w:rFonts w:eastAsia="Arial"/>
                <w:szCs w:val="20"/>
              </w:rPr>
              <w:t>agreement or removes HAN device</w:t>
            </w:r>
            <w:r w:rsidR="008D12E1">
              <w:rPr>
                <w:rFonts w:eastAsia="Arial"/>
                <w:szCs w:val="20"/>
              </w:rPr>
              <w:t>.</w:t>
            </w:r>
          </w:p>
        </w:tc>
      </w:tr>
      <w:tr w:rsidR="00130E52" w:rsidRPr="00211CFB" w:rsidTr="00130E52">
        <w:trPr>
          <w:jc w:val="center"/>
        </w:trPr>
        <w:tc>
          <w:tcPr>
            <w:tcW w:w="2718" w:type="dxa"/>
          </w:tcPr>
          <w:p w:rsidR="00130E52" w:rsidRPr="006E14DA" w:rsidRDefault="00130E52" w:rsidP="00825EFF">
            <w:pPr>
              <w:spacing w:before="60" w:after="60" w:line="240" w:lineRule="auto"/>
              <w:rPr>
                <w:rFonts w:ascii="Arial" w:hAnsi="Arial"/>
                <w:sz w:val="20"/>
                <w:szCs w:val="20"/>
              </w:rPr>
            </w:pPr>
            <w:r w:rsidRPr="006E14DA">
              <w:rPr>
                <w:rFonts w:ascii="Arial" w:hAnsi="Arial"/>
                <w:sz w:val="20"/>
                <w:szCs w:val="20"/>
              </w:rPr>
              <w:t>Third Party views and manages Customer agreements</w:t>
            </w:r>
          </w:p>
        </w:tc>
        <w:tc>
          <w:tcPr>
            <w:tcW w:w="6120" w:type="dxa"/>
          </w:tcPr>
          <w:p w:rsidR="00130E52" w:rsidRPr="00211CFB" w:rsidRDefault="00130E52" w:rsidP="00670805">
            <w:pPr>
              <w:spacing w:before="60" w:after="60" w:line="240" w:lineRule="auto"/>
              <w:rPr>
                <w:rFonts w:eastAsia="Arial"/>
                <w:szCs w:val="20"/>
              </w:rPr>
            </w:pPr>
            <w:r>
              <w:rPr>
                <w:rFonts w:eastAsia="Arial"/>
                <w:szCs w:val="20"/>
              </w:rPr>
              <w:t>Third Party views their existing Customer Agreements and i</w:t>
            </w:r>
            <w:r w:rsidRPr="00825EFF">
              <w:rPr>
                <w:rFonts w:eastAsia="Arial"/>
                <w:szCs w:val="20"/>
              </w:rPr>
              <w:t xml:space="preserve">nitiates </w:t>
            </w:r>
            <w:r w:rsidR="00670805">
              <w:rPr>
                <w:rFonts w:eastAsia="Arial"/>
                <w:szCs w:val="20"/>
              </w:rPr>
              <w:t xml:space="preserve">an </w:t>
            </w:r>
            <w:r w:rsidRPr="00825EFF">
              <w:rPr>
                <w:rFonts w:eastAsia="Arial"/>
                <w:szCs w:val="20"/>
              </w:rPr>
              <w:t xml:space="preserve">extension request, resends </w:t>
            </w:r>
            <w:r w:rsidR="00670805">
              <w:rPr>
                <w:rFonts w:eastAsia="Arial"/>
                <w:szCs w:val="20"/>
              </w:rPr>
              <w:t>an invitation</w:t>
            </w:r>
            <w:r w:rsidRPr="00825EFF">
              <w:rPr>
                <w:rFonts w:eastAsia="Arial"/>
                <w:szCs w:val="20"/>
              </w:rPr>
              <w:t xml:space="preserve"> or extension </w:t>
            </w:r>
            <w:r w:rsidR="00670805">
              <w:rPr>
                <w:rFonts w:eastAsia="Arial"/>
                <w:szCs w:val="20"/>
              </w:rPr>
              <w:t>request</w:t>
            </w:r>
            <w:r w:rsidRPr="00825EFF">
              <w:rPr>
                <w:rFonts w:eastAsia="Arial"/>
                <w:szCs w:val="20"/>
              </w:rPr>
              <w:t>, exports meter/premise information, terminates agreement or removes HAN device</w:t>
            </w:r>
            <w:r>
              <w:rPr>
                <w:rFonts w:eastAsia="Arial"/>
                <w:szCs w:val="20"/>
              </w:rPr>
              <w:t>.</w:t>
            </w:r>
          </w:p>
        </w:tc>
      </w:tr>
      <w:tr w:rsidR="00130E52" w:rsidRPr="00211CFB" w:rsidTr="00130E52">
        <w:trPr>
          <w:jc w:val="center"/>
        </w:trPr>
        <w:tc>
          <w:tcPr>
            <w:tcW w:w="2718" w:type="dxa"/>
          </w:tcPr>
          <w:p w:rsidR="00130E52" w:rsidRPr="006E14DA" w:rsidRDefault="00130E52" w:rsidP="00825EFF">
            <w:pPr>
              <w:spacing w:before="60" w:after="60" w:line="240" w:lineRule="auto"/>
              <w:rPr>
                <w:rFonts w:ascii="Arial" w:hAnsi="Arial"/>
                <w:sz w:val="20"/>
                <w:szCs w:val="20"/>
              </w:rPr>
            </w:pPr>
            <w:r w:rsidRPr="006E14DA">
              <w:rPr>
                <w:rFonts w:ascii="Arial" w:hAnsi="Arial"/>
                <w:sz w:val="20"/>
                <w:szCs w:val="20"/>
              </w:rPr>
              <w:t>Third Party accesses Customer energy data</w:t>
            </w:r>
          </w:p>
        </w:tc>
        <w:tc>
          <w:tcPr>
            <w:tcW w:w="6120" w:type="dxa"/>
          </w:tcPr>
          <w:p w:rsidR="00130E52" w:rsidRPr="00211CFB" w:rsidRDefault="00130E52" w:rsidP="00722468">
            <w:pPr>
              <w:spacing w:before="60" w:after="60" w:line="240" w:lineRule="auto"/>
              <w:rPr>
                <w:rFonts w:eastAsia="Arial"/>
                <w:szCs w:val="20"/>
              </w:rPr>
            </w:pPr>
            <w:r>
              <w:rPr>
                <w:rFonts w:eastAsia="Arial"/>
                <w:szCs w:val="20"/>
              </w:rPr>
              <w:t>Third Party selects a Customer and views or exports the energy data.</w:t>
            </w:r>
          </w:p>
        </w:tc>
      </w:tr>
      <w:tr w:rsidR="00130E52" w:rsidRPr="00211CFB" w:rsidTr="00130E52">
        <w:trPr>
          <w:jc w:val="center"/>
        </w:trPr>
        <w:tc>
          <w:tcPr>
            <w:tcW w:w="2718" w:type="dxa"/>
          </w:tcPr>
          <w:p w:rsidR="00130E52" w:rsidRPr="006E14DA" w:rsidRDefault="00130E52" w:rsidP="00825EFF">
            <w:pPr>
              <w:spacing w:before="60" w:after="60" w:line="240" w:lineRule="auto"/>
              <w:rPr>
                <w:rFonts w:ascii="Arial" w:hAnsi="Arial"/>
                <w:sz w:val="20"/>
                <w:szCs w:val="20"/>
              </w:rPr>
            </w:pPr>
            <w:r w:rsidRPr="006E14DA">
              <w:rPr>
                <w:rFonts w:ascii="Arial" w:hAnsi="Arial"/>
                <w:sz w:val="20"/>
                <w:szCs w:val="20"/>
              </w:rPr>
              <w:t>Third Party accesses Customer HAN Devices</w:t>
            </w:r>
          </w:p>
        </w:tc>
        <w:tc>
          <w:tcPr>
            <w:tcW w:w="6120" w:type="dxa"/>
          </w:tcPr>
          <w:p w:rsidR="00130E52" w:rsidRPr="00211CFB" w:rsidRDefault="00130E52" w:rsidP="00EF4DDF">
            <w:pPr>
              <w:spacing w:before="60" w:after="60" w:line="240" w:lineRule="auto"/>
              <w:rPr>
                <w:rFonts w:eastAsia="Arial"/>
                <w:szCs w:val="20"/>
              </w:rPr>
            </w:pPr>
            <w:r>
              <w:rPr>
                <w:rFonts w:eastAsia="Arial"/>
                <w:szCs w:val="20"/>
              </w:rPr>
              <w:t>Third Party selects a HAN device and removes the HAN device from the Customer HAN.</w:t>
            </w:r>
          </w:p>
        </w:tc>
      </w:tr>
      <w:tr w:rsidR="00130E52" w:rsidRPr="00211CFB" w:rsidTr="00130E52">
        <w:trPr>
          <w:jc w:val="center"/>
        </w:trPr>
        <w:tc>
          <w:tcPr>
            <w:tcW w:w="8838" w:type="dxa"/>
            <w:gridSpan w:val="2"/>
            <w:shd w:val="pct5" w:color="auto" w:fill="auto"/>
          </w:tcPr>
          <w:p w:rsidR="00130E52" w:rsidRPr="006E14DA" w:rsidRDefault="00130E52" w:rsidP="00BD5526">
            <w:pPr>
              <w:spacing w:before="60" w:after="60" w:line="240" w:lineRule="auto"/>
              <w:jc w:val="center"/>
              <w:rPr>
                <w:rFonts w:ascii="Arial" w:hAnsi="Arial"/>
                <w:b/>
                <w:sz w:val="22"/>
              </w:rPr>
            </w:pPr>
            <w:r w:rsidRPr="006E14DA">
              <w:rPr>
                <w:rFonts w:ascii="Arial" w:hAnsi="Arial"/>
                <w:b/>
                <w:sz w:val="22"/>
              </w:rPr>
              <w:t>Reports</w:t>
            </w:r>
          </w:p>
        </w:tc>
      </w:tr>
      <w:tr w:rsidR="00130E52" w:rsidRPr="00211CFB" w:rsidTr="00130E52">
        <w:trPr>
          <w:jc w:val="center"/>
        </w:trPr>
        <w:tc>
          <w:tcPr>
            <w:tcW w:w="2718" w:type="dxa"/>
          </w:tcPr>
          <w:p w:rsidR="00130E52" w:rsidRPr="006E14DA" w:rsidRDefault="00130E52" w:rsidP="00825EFF">
            <w:pPr>
              <w:spacing w:before="60" w:after="60" w:line="240" w:lineRule="auto"/>
              <w:rPr>
                <w:rFonts w:ascii="Arial" w:hAnsi="Arial"/>
                <w:sz w:val="22"/>
              </w:rPr>
            </w:pPr>
            <w:r w:rsidRPr="003A5F8F">
              <w:rPr>
                <w:rFonts w:ascii="Arial" w:hAnsi="Arial"/>
                <w:sz w:val="20"/>
                <w:szCs w:val="20"/>
              </w:rPr>
              <w:t>TDSPs and Regulatory officials view history of reports being run on Customers’ usage data</w:t>
            </w:r>
          </w:p>
        </w:tc>
        <w:tc>
          <w:tcPr>
            <w:tcW w:w="6120" w:type="dxa"/>
          </w:tcPr>
          <w:p w:rsidR="00130E52" w:rsidRDefault="00130E52" w:rsidP="00A366A8">
            <w:pPr>
              <w:spacing w:before="60" w:after="60" w:line="240" w:lineRule="auto"/>
              <w:rPr>
                <w:rFonts w:eastAsia="Arial"/>
                <w:szCs w:val="20"/>
              </w:rPr>
            </w:pPr>
            <w:r w:rsidRPr="0005161E">
              <w:rPr>
                <w:rFonts w:eastAsia="Arial"/>
                <w:szCs w:val="20"/>
              </w:rPr>
              <w:t>TDSP or Regulatory user selects an ESIID and view</w:t>
            </w:r>
            <w:r w:rsidR="00A366A8" w:rsidRPr="0005161E">
              <w:rPr>
                <w:rFonts w:eastAsia="Arial"/>
                <w:szCs w:val="20"/>
              </w:rPr>
              <w:t>s</w:t>
            </w:r>
            <w:r w:rsidRPr="0005161E">
              <w:rPr>
                <w:rFonts w:eastAsia="Arial"/>
                <w:szCs w:val="20"/>
              </w:rPr>
              <w:t xml:space="preserve"> a </w:t>
            </w:r>
            <w:r w:rsidR="00A366A8" w:rsidRPr="003A5F8F">
              <w:rPr>
                <w:rFonts w:eastAsia="Arial"/>
                <w:szCs w:val="20"/>
              </w:rPr>
              <w:t>history of reports a Third Party has run on the Customer’s usage data.</w:t>
            </w:r>
          </w:p>
        </w:tc>
      </w:tr>
    </w:tbl>
    <w:p w:rsidR="008506A8" w:rsidRDefault="00BE3B40" w:rsidP="00715EE8">
      <w:pPr>
        <w:jc w:val="both"/>
      </w:pPr>
      <w:bookmarkStart w:id="38" w:name="_Ref350945509"/>
      <w:r>
        <w:t xml:space="preserve">The stakeholders documented their progress toward an agreed upon Third Party functionality in various documents that were continually updated to reflect decisions made and consensus reached. One of the most difficult issues to resolve was how to document and track Customer authorizations granted to Third Parties. The stakeholders eventually settled on a process whereby agreement invitations are initiated by Third Parties and accepted or rejected by Customers. </w:t>
      </w:r>
      <w:r w:rsidR="00670805">
        <w:t>Through this agreement process SMT could document and track a Customer’s relationship with a Third Party.</w:t>
      </w:r>
    </w:p>
    <w:p w:rsidR="00734216" w:rsidRDefault="009E4C30">
      <w:pPr>
        <w:pStyle w:val="Heading1"/>
      </w:pPr>
      <w:bookmarkStart w:id="39" w:name="_Toc401563539"/>
      <w:r>
        <w:t xml:space="preserve">Customer </w:t>
      </w:r>
      <w:r w:rsidR="00725519">
        <w:t>Privacy</w:t>
      </w:r>
      <w:r>
        <w:t xml:space="preserve"> Protection</w:t>
      </w:r>
      <w:bookmarkEnd w:id="39"/>
    </w:p>
    <w:p w:rsidR="00734216" w:rsidRDefault="007B7FA4" w:rsidP="00715EE8">
      <w:pPr>
        <w:jc w:val="both"/>
      </w:pPr>
      <w:r>
        <w:t xml:space="preserve">Ensuring the privacy of Customer data and protecting against unauthorized access are </w:t>
      </w:r>
      <w:r w:rsidR="004A15F2">
        <w:t xml:space="preserve">major </w:t>
      </w:r>
      <w:r>
        <w:t xml:space="preserve">components of the SMT security controls (see Section </w:t>
      </w:r>
      <w:r w:rsidR="00CE48DF">
        <w:fldChar w:fldCharType="begin"/>
      </w:r>
      <w:r>
        <w:instrText xml:space="preserve"> REF _Ref355171494 \r \h </w:instrText>
      </w:r>
      <w:r w:rsidR="00CE48DF">
        <w:fldChar w:fldCharType="separate"/>
      </w:r>
      <w:r w:rsidR="00F609FD">
        <w:t>2.3.5</w:t>
      </w:r>
      <w:r w:rsidR="00CE48DF">
        <w:fldChar w:fldCharType="end"/>
      </w:r>
      <w:r>
        <w:t xml:space="preserve"> and Section </w:t>
      </w:r>
      <w:r w:rsidR="00CE48DF">
        <w:fldChar w:fldCharType="begin"/>
      </w:r>
      <w:r>
        <w:instrText xml:space="preserve"> REF _Ref355171518 \r \h </w:instrText>
      </w:r>
      <w:r w:rsidR="00CE48DF">
        <w:fldChar w:fldCharType="separate"/>
      </w:r>
      <w:r w:rsidR="00F609FD">
        <w:t>10.4</w:t>
      </w:r>
      <w:r w:rsidR="00CE48DF">
        <w:fldChar w:fldCharType="end"/>
      </w:r>
      <w:r>
        <w:t xml:space="preserve">).  </w:t>
      </w:r>
      <w:r w:rsidR="006D4AAA">
        <w:t xml:space="preserve">Unlike TDSPs and REPs, Third Parties are not subject to PUCT customer protection rules and SMT’s ability to protect the privacy of Customer data ends once a Customer has granted a Third Party access to their data. </w:t>
      </w:r>
      <w:r w:rsidR="00E52C6B">
        <w:t xml:space="preserve">However, </w:t>
      </w:r>
      <w:r w:rsidR="00A02DB2">
        <w:t>SMT has a defined registration process for Third Parties (see Sectio</w:t>
      </w:r>
      <w:r w:rsidR="00181C02">
        <w:t>n</w:t>
      </w:r>
      <w:r w:rsidR="00221808">
        <w:t xml:space="preserve"> </w:t>
      </w:r>
      <w:r w:rsidR="00CE48DF">
        <w:fldChar w:fldCharType="begin"/>
      </w:r>
      <w:r w:rsidR="00221808">
        <w:instrText xml:space="preserve"> REF _Ref367122857 \r \h </w:instrText>
      </w:r>
      <w:r w:rsidR="00CE48DF">
        <w:fldChar w:fldCharType="separate"/>
      </w:r>
      <w:r w:rsidR="00F609FD">
        <w:t>6.3</w:t>
      </w:r>
      <w:r w:rsidR="00CE48DF">
        <w:fldChar w:fldCharType="end"/>
      </w:r>
      <w:r w:rsidR="00A02DB2">
        <w:t>) that limits the risk of a rogue user creating a Third Party account. D</w:t>
      </w:r>
      <w:r w:rsidR="000D46CC">
        <w:t>uring the registration process, each Third Party user must agree to the SMT Terms and Conditions, which require the user to agree that their access to</w:t>
      </w:r>
      <w:r w:rsidR="004A15F2">
        <w:t>, including</w:t>
      </w:r>
      <w:r w:rsidR="000D46CC">
        <w:t xml:space="preserve"> viewing, downloading, and use of Customer consumption data is limited to data that the Third Party is authorized to access</w:t>
      </w:r>
      <w:r w:rsidR="004A15F2">
        <w:t xml:space="preserve"> and only for the term of the authorization</w:t>
      </w:r>
      <w:r w:rsidR="005706A4">
        <w:t>.</w:t>
      </w:r>
    </w:p>
    <w:p w:rsidR="00F4172D" w:rsidRDefault="00221808" w:rsidP="00221808">
      <w:pPr>
        <w:jc w:val="both"/>
      </w:pPr>
      <w:r>
        <w:t xml:space="preserve">In order to encourage Third Party participation in Texas and to let the competitive market determine each Third Party’s success, the requirements on Third Parties related to Customer data privacy and protection are voluntary. The Customer has the primary responsibility to determine if there is a need for data protection and the ability of the Third Party to provide that protection.  </w:t>
      </w:r>
      <w:r w:rsidR="009311DA" w:rsidRPr="006407C3">
        <w:rPr>
          <w:rFonts w:cs="Times New Roman"/>
          <w:szCs w:val="24"/>
        </w:rPr>
        <w:t>To help Customers evaluate a Third Party’s ability to protect their data and to make an informed decision on releasing their data to that Third Party, SMT allows a Third Party to distinguish itself by (1) voluntarily providing a link to their privacy policy</w:t>
      </w:r>
      <w:r w:rsidR="00085CAC">
        <w:rPr>
          <w:rFonts w:cs="Times New Roman"/>
          <w:szCs w:val="24"/>
        </w:rPr>
        <w:t xml:space="preserve"> and</w:t>
      </w:r>
      <w:r w:rsidR="009311DA" w:rsidRPr="006407C3">
        <w:rPr>
          <w:rFonts w:cs="Times New Roman"/>
          <w:szCs w:val="24"/>
        </w:rPr>
        <w:t xml:space="preserve"> (2) voluntarily attesting to meeting the requirements of a national privacy seal.</w:t>
      </w:r>
      <w:r>
        <w:t xml:space="preserve"> During the initial Third Party registration process, the Third Party is given the opportunity to provide this information or they may provide it at a later time by editing their company profile; however, the Third Party is not required to provide this information to create an account on SMT. If the Third Party provides this information it will be available to the Customer in any agreement invitation correspondence sent to the Customer so the Customer may investigate and evaluate the Third Party.  </w:t>
      </w:r>
    </w:p>
    <w:p w:rsidR="00085CAC" w:rsidRDefault="00085CAC" w:rsidP="00221808">
      <w:pPr>
        <w:jc w:val="both"/>
      </w:pPr>
      <w:r>
        <w:t>In addition, SMT allows Customers who have agreements with Third Parties to rate the Third Party’s services. The average Customer rating of the Third Party is provided to a potential customers on the agreement invitation so the Customer may judge whether or not they want to enter into an agreement with that Third Party.</w:t>
      </w:r>
    </w:p>
    <w:p w:rsidR="00C512EF" w:rsidRPr="00C512EF" w:rsidRDefault="009408C7" w:rsidP="009311DA">
      <w:pPr>
        <w:pStyle w:val="Heading1"/>
        <w:spacing w:before="240"/>
      </w:pPr>
      <w:bookmarkStart w:id="40" w:name="_Toc401563540"/>
      <w:r>
        <w:t xml:space="preserve">Agreement Invitation </w:t>
      </w:r>
      <w:r w:rsidR="00E71F98">
        <w:t>Process</w:t>
      </w:r>
      <w:bookmarkEnd w:id="38"/>
      <w:bookmarkEnd w:id="40"/>
    </w:p>
    <w:p w:rsidR="0069777D" w:rsidRDefault="0069777D" w:rsidP="00715EE8">
      <w:pPr>
        <w:pStyle w:val="Heading2"/>
        <w:tabs>
          <w:tab w:val="clear" w:pos="576"/>
        </w:tabs>
        <w:ind w:left="0" w:hanging="540"/>
      </w:pPr>
      <w:bookmarkStart w:id="41" w:name="_Toc348345288"/>
      <w:bookmarkStart w:id="42" w:name="_Toc401563541"/>
      <w:r>
        <w:t>Overview</w:t>
      </w:r>
      <w:bookmarkEnd w:id="41"/>
      <w:bookmarkEnd w:id="42"/>
    </w:p>
    <w:p w:rsidR="0069777D" w:rsidRDefault="00E71F98" w:rsidP="00715EE8">
      <w:pPr>
        <w:jc w:val="both"/>
      </w:pPr>
      <w:r>
        <w:t xml:space="preserve">Third Parties </w:t>
      </w:r>
      <w:r w:rsidR="009408C7">
        <w:t>who</w:t>
      </w:r>
      <w:r>
        <w:t xml:space="preserve"> want a</w:t>
      </w:r>
      <w:r w:rsidR="00E910E1">
        <w:t xml:space="preserve">ccess </w:t>
      </w:r>
      <w:r w:rsidR="009408C7">
        <w:t xml:space="preserve">to </w:t>
      </w:r>
      <w:r>
        <w:t xml:space="preserve">Customer </w:t>
      </w:r>
      <w:r w:rsidR="009408C7">
        <w:t xml:space="preserve">electric </w:t>
      </w:r>
      <w:r>
        <w:t xml:space="preserve">usage information or </w:t>
      </w:r>
      <w:r w:rsidR="009408C7">
        <w:t xml:space="preserve">to </w:t>
      </w:r>
      <w:r w:rsidR="004D2212">
        <w:t xml:space="preserve">the </w:t>
      </w:r>
      <w:r w:rsidR="009408C7">
        <w:t xml:space="preserve">SMT </w:t>
      </w:r>
      <w:r w:rsidR="00B67A77">
        <w:t xml:space="preserve">HAN functionality </w:t>
      </w:r>
      <w:r>
        <w:t>must have the Customer’s permission</w:t>
      </w:r>
      <w:r w:rsidR="00F138D2">
        <w:t xml:space="preserve"> to do so</w:t>
      </w:r>
      <w:r>
        <w:t xml:space="preserve">. SMT provides </w:t>
      </w:r>
      <w:r w:rsidR="00F138D2">
        <w:t xml:space="preserve">a convenient, </w:t>
      </w:r>
      <w:r w:rsidR="00E30350">
        <w:t xml:space="preserve">well </w:t>
      </w:r>
      <w:r w:rsidR="00F138D2">
        <w:t xml:space="preserve">documented </w:t>
      </w:r>
      <w:r>
        <w:t>process</w:t>
      </w:r>
      <w:r w:rsidR="00F138D2">
        <w:t xml:space="preserve"> whereby</w:t>
      </w:r>
      <w:r>
        <w:t xml:space="preserve"> </w:t>
      </w:r>
      <w:r w:rsidR="00F138D2">
        <w:t xml:space="preserve">a Third Party may request a </w:t>
      </w:r>
      <w:r>
        <w:t>Customer</w:t>
      </w:r>
      <w:r w:rsidR="00F138D2">
        <w:t>’</w:t>
      </w:r>
      <w:r>
        <w:t xml:space="preserve">s </w:t>
      </w:r>
      <w:r w:rsidR="00F138D2">
        <w:t>permission</w:t>
      </w:r>
      <w:r w:rsidR="00E30350">
        <w:t xml:space="preserve"> and the Customer may accept or reject the request. SMT grants the Third Party access once a Customer accepts a Third Party’s request. </w:t>
      </w:r>
      <w:r w:rsidR="00555D6C">
        <w:t xml:space="preserve"> </w:t>
      </w:r>
    </w:p>
    <w:p w:rsidR="009E59DD" w:rsidRDefault="009E59DD" w:rsidP="00715EE8">
      <w:pPr>
        <w:pStyle w:val="Heading2"/>
        <w:tabs>
          <w:tab w:val="clear" w:pos="576"/>
        </w:tabs>
        <w:ind w:left="0" w:hanging="540"/>
      </w:pPr>
      <w:bookmarkStart w:id="43" w:name="_Ref348678737"/>
      <w:bookmarkStart w:id="44" w:name="_Ref348681219"/>
      <w:bookmarkStart w:id="45" w:name="_Ref348681316"/>
      <w:bookmarkStart w:id="46" w:name="_Toc401563542"/>
      <w:r>
        <w:t>Third Party Agreements</w:t>
      </w:r>
      <w:bookmarkEnd w:id="43"/>
      <w:bookmarkEnd w:id="44"/>
      <w:bookmarkEnd w:id="45"/>
      <w:bookmarkEnd w:id="46"/>
    </w:p>
    <w:p w:rsidR="009E59DD" w:rsidRDefault="009E59DD" w:rsidP="00715EE8">
      <w:pPr>
        <w:jc w:val="both"/>
      </w:pPr>
      <w:r>
        <w:t xml:space="preserve">A Customer grants a Third Party </w:t>
      </w:r>
      <w:r w:rsidR="008A7F88">
        <w:t xml:space="preserve">permission to </w:t>
      </w:r>
      <w:r>
        <w:t>access to their usage data</w:t>
      </w:r>
      <w:r w:rsidR="009408C7">
        <w:t xml:space="preserve">, add </w:t>
      </w:r>
      <w:r w:rsidR="004D2212">
        <w:t>In-Home D</w:t>
      </w:r>
      <w:r w:rsidR="009408C7">
        <w:t>evices to the Customer</w:t>
      </w:r>
      <w:r w:rsidR="00C95BB4">
        <w:t>’s</w:t>
      </w:r>
      <w:r w:rsidR="009408C7">
        <w:t xml:space="preserve"> HAN, or send messages to the Customer</w:t>
      </w:r>
      <w:r w:rsidR="008E0FBA">
        <w:t>’s</w:t>
      </w:r>
      <w:r w:rsidR="009408C7">
        <w:t xml:space="preserve"> </w:t>
      </w:r>
      <w:r w:rsidR="004D2212">
        <w:t>In-Home D</w:t>
      </w:r>
      <w:r w:rsidR="009408C7">
        <w:t>evice</w:t>
      </w:r>
      <w:r w:rsidR="008E0FBA">
        <w:t>s</w:t>
      </w:r>
      <w:r>
        <w:t xml:space="preserve"> by acceptin</w:t>
      </w:r>
      <w:r w:rsidR="009408C7">
        <w:t>g an invitation to enter into one of three</w:t>
      </w:r>
      <w:r>
        <w:t xml:space="preserve"> </w:t>
      </w:r>
      <w:r w:rsidR="009408C7">
        <w:t xml:space="preserve">types of </w:t>
      </w:r>
      <w:r>
        <w:t>agreement</w:t>
      </w:r>
      <w:r w:rsidR="009408C7">
        <w:t>s</w:t>
      </w:r>
      <w:r>
        <w:t xml:space="preserve"> with the Third Party</w:t>
      </w:r>
      <w:r w:rsidR="009408C7">
        <w:t xml:space="preserve"> (see </w:t>
      </w:r>
      <w:r w:rsidR="00CE48DF">
        <w:fldChar w:fldCharType="begin"/>
      </w:r>
      <w:r w:rsidR="009408C7">
        <w:instrText xml:space="preserve"> REF _Ref348682146 \h </w:instrText>
      </w:r>
      <w:r w:rsidR="00CE48DF">
        <w:fldChar w:fldCharType="separate"/>
      </w:r>
      <w:r w:rsidR="00F609FD">
        <w:t xml:space="preserve">Table </w:t>
      </w:r>
      <w:r w:rsidR="00F609FD">
        <w:rPr>
          <w:noProof/>
        </w:rPr>
        <w:t>3</w:t>
      </w:r>
      <w:r w:rsidR="00CE48DF">
        <w:fldChar w:fldCharType="end"/>
      </w:r>
      <w:r w:rsidR="009408C7">
        <w:t>)</w:t>
      </w:r>
      <w:r>
        <w:t xml:space="preserve">. The Customer must enter into separate </w:t>
      </w:r>
      <w:r w:rsidR="004D2212">
        <w:t xml:space="preserve">In-Home Device </w:t>
      </w:r>
      <w:r>
        <w:t xml:space="preserve">agreements for each </w:t>
      </w:r>
      <w:r w:rsidR="004D2212">
        <w:t>In-Home D</w:t>
      </w:r>
      <w:r>
        <w:t xml:space="preserve">evice they want the Third Party to access. </w:t>
      </w:r>
      <w:r w:rsidR="00E61A62">
        <w:t>By</w:t>
      </w:r>
      <w:r w:rsidR="00C95BB4">
        <w:t xml:space="preserve"> following the SMT Third Party a</w:t>
      </w:r>
      <w:r w:rsidR="00E61A62">
        <w:t xml:space="preserve">greement </w:t>
      </w:r>
      <w:r w:rsidR="008E0FBA">
        <w:t xml:space="preserve">invitation </w:t>
      </w:r>
      <w:r w:rsidR="00E61A62">
        <w:t xml:space="preserve">process, a Third Party may invite a Customer to enter into one of these three agreements and a Customer may accept, reject, or allow the invitation to expire by taking no action. </w:t>
      </w:r>
    </w:p>
    <w:p w:rsidR="009E59DD" w:rsidRPr="00A139CA" w:rsidRDefault="009E59DD" w:rsidP="009E59DD">
      <w:pPr>
        <w:pStyle w:val="Caption"/>
        <w:keepNext/>
        <w:rPr>
          <w:rFonts w:ascii="Arial" w:hAnsi="Arial"/>
        </w:rPr>
      </w:pPr>
      <w:bookmarkStart w:id="47" w:name="_Ref348682146"/>
      <w:bookmarkStart w:id="48" w:name="_Toc367210591"/>
      <w:r w:rsidRPr="00A139CA">
        <w:rPr>
          <w:rFonts w:ascii="Arial" w:hAnsi="Arial"/>
        </w:rPr>
        <w:t xml:space="preserve">Table </w:t>
      </w:r>
      <w:r w:rsidR="00CE48DF" w:rsidRPr="00A139CA">
        <w:rPr>
          <w:rFonts w:ascii="Arial" w:hAnsi="Arial"/>
        </w:rPr>
        <w:fldChar w:fldCharType="begin"/>
      </w:r>
      <w:r w:rsidR="00CE48DF" w:rsidRPr="00A139CA">
        <w:rPr>
          <w:rFonts w:ascii="Arial" w:hAnsi="Arial"/>
        </w:rPr>
        <w:instrText xml:space="preserve"> SEQ Table \* ARABIC </w:instrText>
      </w:r>
      <w:r w:rsidR="00CE48DF" w:rsidRPr="00A139CA">
        <w:rPr>
          <w:rFonts w:ascii="Arial" w:hAnsi="Arial"/>
        </w:rPr>
        <w:fldChar w:fldCharType="separate"/>
      </w:r>
      <w:r w:rsidR="00F609FD" w:rsidRPr="00A139CA">
        <w:rPr>
          <w:rFonts w:ascii="Arial" w:hAnsi="Arial"/>
          <w:noProof/>
        </w:rPr>
        <w:t>3</w:t>
      </w:r>
      <w:r w:rsidR="00CE48DF" w:rsidRPr="00A139CA">
        <w:rPr>
          <w:rFonts w:ascii="Arial" w:hAnsi="Arial"/>
        </w:rPr>
        <w:fldChar w:fldCharType="end"/>
      </w:r>
      <w:bookmarkEnd w:id="47"/>
      <w:r w:rsidRPr="00A139CA">
        <w:rPr>
          <w:rFonts w:ascii="Arial" w:hAnsi="Arial"/>
        </w:rPr>
        <w:t>: Third Party Agreements</w:t>
      </w:r>
      <w:bookmarkEnd w:id="48"/>
    </w:p>
    <w:tbl>
      <w:tblPr>
        <w:tblStyle w:val="TableGrid"/>
        <w:tblW w:w="0" w:type="auto"/>
        <w:jc w:val="center"/>
        <w:tblLook w:val="04A0" w:firstRow="1" w:lastRow="0" w:firstColumn="1" w:lastColumn="0" w:noHBand="0" w:noVBand="1"/>
      </w:tblPr>
      <w:tblGrid>
        <w:gridCol w:w="2538"/>
        <w:gridCol w:w="5038"/>
      </w:tblGrid>
      <w:tr w:rsidR="009E59DD" w:rsidRPr="00DA0408" w:rsidTr="008506A8">
        <w:trPr>
          <w:tblHeader/>
          <w:jc w:val="center"/>
        </w:trPr>
        <w:tc>
          <w:tcPr>
            <w:tcW w:w="2538" w:type="dxa"/>
            <w:shd w:val="clear" w:color="auto" w:fill="D9D9D9" w:themeFill="background1" w:themeFillShade="D9"/>
          </w:tcPr>
          <w:p w:rsidR="009E59DD" w:rsidRPr="00A139CA" w:rsidRDefault="009E59DD" w:rsidP="007009D9">
            <w:pPr>
              <w:spacing w:after="120" w:line="240" w:lineRule="auto"/>
              <w:rPr>
                <w:rFonts w:ascii="Arial" w:hAnsi="Arial"/>
                <w:b/>
                <w:sz w:val="22"/>
              </w:rPr>
            </w:pPr>
            <w:r w:rsidRPr="00A139CA">
              <w:rPr>
                <w:rFonts w:ascii="Arial" w:hAnsi="Arial"/>
                <w:b/>
                <w:sz w:val="22"/>
              </w:rPr>
              <w:t>Agreement</w:t>
            </w:r>
          </w:p>
        </w:tc>
        <w:tc>
          <w:tcPr>
            <w:tcW w:w="5038" w:type="dxa"/>
            <w:shd w:val="clear" w:color="auto" w:fill="D9D9D9" w:themeFill="background1" w:themeFillShade="D9"/>
          </w:tcPr>
          <w:p w:rsidR="009E59DD" w:rsidRPr="00A139CA" w:rsidRDefault="009E59DD" w:rsidP="007009D9">
            <w:pPr>
              <w:spacing w:after="120" w:line="240" w:lineRule="auto"/>
              <w:rPr>
                <w:rFonts w:ascii="Arial" w:hAnsi="Arial"/>
                <w:b/>
                <w:sz w:val="22"/>
              </w:rPr>
            </w:pPr>
            <w:r w:rsidRPr="00A139CA">
              <w:rPr>
                <w:rFonts w:ascii="Arial" w:hAnsi="Arial"/>
                <w:b/>
                <w:sz w:val="22"/>
              </w:rPr>
              <w:t>Description</w:t>
            </w:r>
          </w:p>
        </w:tc>
      </w:tr>
      <w:tr w:rsidR="009E59DD" w:rsidTr="009408C7">
        <w:trPr>
          <w:jc w:val="center"/>
        </w:trPr>
        <w:tc>
          <w:tcPr>
            <w:tcW w:w="2538" w:type="dxa"/>
          </w:tcPr>
          <w:p w:rsidR="009E59DD" w:rsidRPr="00A139CA" w:rsidRDefault="009E59DD" w:rsidP="00994806">
            <w:pPr>
              <w:spacing w:after="120" w:line="240" w:lineRule="auto"/>
              <w:rPr>
                <w:rFonts w:ascii="Arial" w:hAnsi="Arial"/>
                <w:sz w:val="20"/>
                <w:szCs w:val="20"/>
              </w:rPr>
            </w:pPr>
            <w:r w:rsidRPr="00A139CA">
              <w:rPr>
                <w:rFonts w:ascii="Arial" w:hAnsi="Arial"/>
                <w:sz w:val="20"/>
                <w:szCs w:val="20"/>
              </w:rPr>
              <w:t>Energy Data Agreement</w:t>
            </w:r>
          </w:p>
        </w:tc>
        <w:tc>
          <w:tcPr>
            <w:tcW w:w="5038" w:type="dxa"/>
          </w:tcPr>
          <w:p w:rsidR="009E59DD" w:rsidRPr="00280791" w:rsidRDefault="009E59DD" w:rsidP="00715EE8">
            <w:pPr>
              <w:pStyle w:val="ListParagraph"/>
              <w:numPr>
                <w:ilvl w:val="0"/>
                <w:numId w:val="12"/>
              </w:numPr>
              <w:spacing w:after="120" w:line="240" w:lineRule="auto"/>
              <w:ind w:left="245" w:hanging="274"/>
              <w:contextualSpacing w:val="0"/>
              <w:jc w:val="both"/>
            </w:pPr>
            <w:r w:rsidRPr="00280791">
              <w:rPr>
                <w:iCs/>
              </w:rPr>
              <w:t>Authorizes a Third Party to access a Customer’s energy usage data, meter inform</w:t>
            </w:r>
            <w:r w:rsidR="007A2A82">
              <w:rPr>
                <w:iCs/>
              </w:rPr>
              <w:t>ation, and premise information</w:t>
            </w:r>
          </w:p>
          <w:p w:rsidR="009E59DD" w:rsidRPr="00280791" w:rsidRDefault="009E59DD" w:rsidP="00715EE8">
            <w:pPr>
              <w:pStyle w:val="ListParagraph"/>
              <w:numPr>
                <w:ilvl w:val="0"/>
                <w:numId w:val="12"/>
              </w:numPr>
              <w:spacing w:after="120" w:line="240" w:lineRule="auto"/>
              <w:ind w:left="245" w:hanging="274"/>
              <w:contextualSpacing w:val="0"/>
              <w:jc w:val="both"/>
            </w:pPr>
            <w:r>
              <w:rPr>
                <w:iCs/>
              </w:rPr>
              <w:t xml:space="preserve">The term of the agreement may be for a one time access or </w:t>
            </w:r>
            <w:r w:rsidR="00994806">
              <w:rPr>
                <w:iCs/>
              </w:rPr>
              <w:t>for a</w:t>
            </w:r>
            <w:r>
              <w:rPr>
                <w:iCs/>
              </w:rPr>
              <w:t xml:space="preserve"> duration of 1 month up </w:t>
            </w:r>
            <w:r w:rsidR="007A2A82">
              <w:rPr>
                <w:iCs/>
              </w:rPr>
              <w:t>to 1 year</w:t>
            </w:r>
          </w:p>
          <w:p w:rsidR="004D2212" w:rsidRPr="003A5F8F" w:rsidRDefault="004D2212" w:rsidP="003A5F8F">
            <w:pPr>
              <w:pStyle w:val="ListParagraph"/>
              <w:numPr>
                <w:ilvl w:val="0"/>
                <w:numId w:val="12"/>
              </w:numPr>
              <w:ind w:left="229" w:hanging="229"/>
            </w:pPr>
            <w:r w:rsidRPr="004D2212">
              <w:t>The agreement may include all of the ESIIDs in the Customer’s account or just specific ESIIDs</w:t>
            </w:r>
          </w:p>
          <w:p w:rsidR="009E59DD" w:rsidRPr="00207C1C" w:rsidRDefault="004D29F4" w:rsidP="00715EE8">
            <w:pPr>
              <w:pStyle w:val="ListParagraph"/>
              <w:numPr>
                <w:ilvl w:val="0"/>
                <w:numId w:val="12"/>
              </w:numPr>
              <w:spacing w:after="120" w:line="240" w:lineRule="auto"/>
              <w:ind w:left="245" w:hanging="274"/>
              <w:contextualSpacing w:val="0"/>
              <w:jc w:val="both"/>
            </w:pPr>
            <w:r>
              <w:rPr>
                <w:iCs/>
              </w:rPr>
              <w:t xml:space="preserve">A Customer may enter into an unlimited number of Energy Data Agreements </w:t>
            </w:r>
          </w:p>
        </w:tc>
      </w:tr>
      <w:tr w:rsidR="009E59DD" w:rsidTr="009408C7">
        <w:trPr>
          <w:jc w:val="center"/>
        </w:trPr>
        <w:tc>
          <w:tcPr>
            <w:tcW w:w="2538" w:type="dxa"/>
          </w:tcPr>
          <w:p w:rsidR="009E59DD" w:rsidRPr="00A139CA" w:rsidRDefault="004D2212" w:rsidP="007009D9">
            <w:pPr>
              <w:spacing w:after="120" w:line="240" w:lineRule="auto"/>
              <w:rPr>
                <w:rFonts w:ascii="Arial" w:hAnsi="Arial"/>
                <w:sz w:val="20"/>
                <w:szCs w:val="20"/>
              </w:rPr>
            </w:pPr>
            <w:r>
              <w:rPr>
                <w:rFonts w:ascii="Arial" w:hAnsi="Arial"/>
                <w:sz w:val="20"/>
                <w:szCs w:val="20"/>
              </w:rPr>
              <w:t>In-Home</w:t>
            </w:r>
            <w:r w:rsidRPr="00A139CA">
              <w:rPr>
                <w:rFonts w:ascii="Arial" w:hAnsi="Arial"/>
                <w:sz w:val="20"/>
                <w:szCs w:val="20"/>
              </w:rPr>
              <w:t xml:space="preserve"> </w:t>
            </w:r>
            <w:r w:rsidR="009E59DD" w:rsidRPr="00A139CA">
              <w:rPr>
                <w:rFonts w:ascii="Arial" w:hAnsi="Arial"/>
                <w:sz w:val="20"/>
                <w:szCs w:val="20"/>
              </w:rPr>
              <w:t>Device Agreement</w:t>
            </w:r>
          </w:p>
        </w:tc>
        <w:tc>
          <w:tcPr>
            <w:tcW w:w="5038" w:type="dxa"/>
          </w:tcPr>
          <w:p w:rsidR="009E59DD" w:rsidRPr="007A2A82" w:rsidRDefault="009E59DD" w:rsidP="00715EE8">
            <w:pPr>
              <w:pStyle w:val="ListParagraph"/>
              <w:numPr>
                <w:ilvl w:val="0"/>
                <w:numId w:val="16"/>
              </w:numPr>
              <w:spacing w:after="120" w:line="240" w:lineRule="auto"/>
              <w:ind w:left="245" w:hanging="274"/>
              <w:contextualSpacing w:val="0"/>
              <w:jc w:val="both"/>
              <w:rPr>
                <w:b/>
                <w:bCs/>
                <w:kern w:val="32"/>
                <w:szCs w:val="20"/>
              </w:rPr>
            </w:pPr>
            <w:r w:rsidRPr="00A36859">
              <w:rPr>
                <w:iCs/>
                <w:szCs w:val="20"/>
              </w:rPr>
              <w:t>Authorizes</w:t>
            </w:r>
            <w:r w:rsidRPr="0068655E">
              <w:rPr>
                <w:iCs/>
                <w:szCs w:val="20"/>
              </w:rPr>
              <w:t xml:space="preserve"> a Third Party to add a</w:t>
            </w:r>
            <w:r w:rsidR="004D2212">
              <w:rPr>
                <w:iCs/>
                <w:szCs w:val="20"/>
              </w:rPr>
              <w:t>n In-Home D</w:t>
            </w:r>
            <w:r w:rsidRPr="0068655E">
              <w:rPr>
                <w:iCs/>
                <w:szCs w:val="20"/>
              </w:rPr>
              <w:t>evice on the Customer’s HAN</w:t>
            </w:r>
          </w:p>
          <w:p w:rsidR="007A2A82" w:rsidRPr="006941DC" w:rsidRDefault="007A2A82" w:rsidP="00715EE8">
            <w:pPr>
              <w:pStyle w:val="ListParagraph"/>
              <w:numPr>
                <w:ilvl w:val="0"/>
                <w:numId w:val="16"/>
              </w:numPr>
              <w:spacing w:after="120" w:line="240" w:lineRule="auto"/>
              <w:ind w:left="245" w:hanging="274"/>
              <w:contextualSpacing w:val="0"/>
              <w:jc w:val="both"/>
              <w:rPr>
                <w:b/>
                <w:bCs/>
                <w:kern w:val="32"/>
                <w:szCs w:val="20"/>
              </w:rPr>
            </w:pPr>
            <w:r w:rsidRPr="00A36859">
              <w:rPr>
                <w:iCs/>
                <w:szCs w:val="20"/>
              </w:rPr>
              <w:t>Authorizes</w:t>
            </w:r>
            <w:r w:rsidRPr="0068655E">
              <w:rPr>
                <w:iCs/>
                <w:szCs w:val="20"/>
              </w:rPr>
              <w:t xml:space="preserve"> a Third Party to </w:t>
            </w:r>
            <w:r>
              <w:rPr>
                <w:iCs/>
                <w:szCs w:val="20"/>
              </w:rPr>
              <w:t>remove</w:t>
            </w:r>
            <w:r w:rsidRPr="0068655E">
              <w:rPr>
                <w:iCs/>
                <w:szCs w:val="20"/>
              </w:rPr>
              <w:t xml:space="preserve"> a</w:t>
            </w:r>
            <w:r w:rsidR="004D2212">
              <w:rPr>
                <w:iCs/>
                <w:szCs w:val="20"/>
              </w:rPr>
              <w:t>n In-Home D</w:t>
            </w:r>
            <w:r w:rsidRPr="0068655E">
              <w:rPr>
                <w:iCs/>
                <w:szCs w:val="20"/>
              </w:rPr>
              <w:t xml:space="preserve">evice </w:t>
            </w:r>
            <w:r>
              <w:rPr>
                <w:iCs/>
                <w:szCs w:val="20"/>
              </w:rPr>
              <w:t>from</w:t>
            </w:r>
            <w:r w:rsidRPr="0068655E">
              <w:rPr>
                <w:iCs/>
                <w:szCs w:val="20"/>
              </w:rPr>
              <w:t xml:space="preserve"> the Customer’s HAN</w:t>
            </w:r>
          </w:p>
          <w:p w:rsidR="006941DC" w:rsidRPr="00CC763F" w:rsidRDefault="006941DC" w:rsidP="00715EE8">
            <w:pPr>
              <w:pStyle w:val="ListParagraph"/>
              <w:numPr>
                <w:ilvl w:val="0"/>
                <w:numId w:val="16"/>
              </w:numPr>
              <w:spacing w:after="120" w:line="240" w:lineRule="auto"/>
              <w:ind w:left="245" w:hanging="274"/>
              <w:contextualSpacing w:val="0"/>
              <w:jc w:val="both"/>
              <w:rPr>
                <w:b/>
                <w:bCs/>
                <w:kern w:val="32"/>
                <w:szCs w:val="20"/>
              </w:rPr>
            </w:pPr>
            <w:r>
              <w:rPr>
                <w:iCs/>
                <w:szCs w:val="20"/>
              </w:rPr>
              <w:t xml:space="preserve">Has no term but is automatically terminated if either the Customer or Third Party removes the </w:t>
            </w:r>
            <w:r w:rsidR="004D2212">
              <w:rPr>
                <w:iCs/>
                <w:szCs w:val="20"/>
              </w:rPr>
              <w:t>In-Home D</w:t>
            </w:r>
            <w:r>
              <w:rPr>
                <w:iCs/>
                <w:szCs w:val="20"/>
              </w:rPr>
              <w:t xml:space="preserve">evice </w:t>
            </w:r>
            <w:r w:rsidR="003F5794">
              <w:rPr>
                <w:iCs/>
                <w:szCs w:val="20"/>
              </w:rPr>
              <w:t>or the Customer moves out of the premise</w:t>
            </w:r>
          </w:p>
          <w:p w:rsidR="00CC763F" w:rsidRPr="007A2A82" w:rsidRDefault="00CC763F">
            <w:pPr>
              <w:pStyle w:val="ListParagraph"/>
              <w:numPr>
                <w:ilvl w:val="0"/>
                <w:numId w:val="16"/>
              </w:numPr>
              <w:spacing w:after="120" w:line="240" w:lineRule="auto"/>
              <w:ind w:left="245" w:hanging="274"/>
              <w:contextualSpacing w:val="0"/>
              <w:jc w:val="both"/>
              <w:rPr>
                <w:b/>
                <w:bCs/>
                <w:kern w:val="32"/>
                <w:szCs w:val="20"/>
              </w:rPr>
            </w:pPr>
            <w:r>
              <w:rPr>
                <w:iCs/>
                <w:szCs w:val="20"/>
              </w:rPr>
              <w:t xml:space="preserve">A Customer may enter into a maximum of 5 </w:t>
            </w:r>
            <w:r w:rsidR="004D2212">
              <w:rPr>
                <w:iCs/>
                <w:szCs w:val="20"/>
              </w:rPr>
              <w:t xml:space="preserve">In-Home </w:t>
            </w:r>
            <w:r>
              <w:rPr>
                <w:iCs/>
                <w:szCs w:val="20"/>
              </w:rPr>
              <w:t xml:space="preserve">Device Agreements per </w:t>
            </w:r>
            <w:r w:rsidR="005166DA">
              <w:rPr>
                <w:iCs/>
                <w:szCs w:val="20"/>
              </w:rPr>
              <w:t>smart meter</w:t>
            </w:r>
            <w:r>
              <w:rPr>
                <w:iCs/>
                <w:szCs w:val="20"/>
              </w:rPr>
              <w:t>.</w:t>
            </w:r>
          </w:p>
        </w:tc>
      </w:tr>
      <w:tr w:rsidR="009E59DD" w:rsidTr="009408C7">
        <w:trPr>
          <w:jc w:val="center"/>
        </w:trPr>
        <w:tc>
          <w:tcPr>
            <w:tcW w:w="2538" w:type="dxa"/>
          </w:tcPr>
          <w:p w:rsidR="009E59DD" w:rsidRPr="00A139CA" w:rsidRDefault="004D2212" w:rsidP="007009D9">
            <w:pPr>
              <w:spacing w:after="120" w:line="240" w:lineRule="auto"/>
              <w:rPr>
                <w:rFonts w:ascii="Arial" w:hAnsi="Arial"/>
                <w:sz w:val="20"/>
                <w:szCs w:val="20"/>
              </w:rPr>
            </w:pPr>
            <w:r>
              <w:rPr>
                <w:rFonts w:ascii="Arial" w:hAnsi="Arial"/>
                <w:sz w:val="20"/>
                <w:szCs w:val="20"/>
              </w:rPr>
              <w:t>In-Home Device</w:t>
            </w:r>
            <w:r w:rsidRPr="00A139CA">
              <w:rPr>
                <w:rFonts w:ascii="Arial" w:hAnsi="Arial"/>
                <w:sz w:val="20"/>
                <w:szCs w:val="20"/>
              </w:rPr>
              <w:t xml:space="preserve"> </w:t>
            </w:r>
            <w:r w:rsidR="009E59DD" w:rsidRPr="00A139CA">
              <w:rPr>
                <w:rFonts w:ascii="Arial" w:hAnsi="Arial"/>
                <w:sz w:val="20"/>
                <w:szCs w:val="20"/>
              </w:rPr>
              <w:t>Services Agreement</w:t>
            </w:r>
          </w:p>
        </w:tc>
        <w:tc>
          <w:tcPr>
            <w:tcW w:w="5038" w:type="dxa"/>
          </w:tcPr>
          <w:p w:rsidR="00CC763F" w:rsidRPr="00CC763F" w:rsidRDefault="009E59DD" w:rsidP="00715EE8">
            <w:pPr>
              <w:pStyle w:val="ListParagraph"/>
              <w:numPr>
                <w:ilvl w:val="0"/>
                <w:numId w:val="17"/>
              </w:numPr>
              <w:spacing w:after="120" w:line="240" w:lineRule="auto"/>
              <w:ind w:left="245" w:hanging="245"/>
              <w:contextualSpacing w:val="0"/>
              <w:jc w:val="both"/>
              <w:rPr>
                <w:b/>
                <w:bCs/>
                <w:kern w:val="32"/>
                <w:szCs w:val="20"/>
              </w:rPr>
            </w:pPr>
            <w:r w:rsidRPr="00CC763F">
              <w:rPr>
                <w:szCs w:val="20"/>
              </w:rPr>
              <w:t xml:space="preserve">Authorizes a Third Party to send specific types of messages to a Customer’s </w:t>
            </w:r>
            <w:r w:rsidR="004D2212">
              <w:rPr>
                <w:szCs w:val="20"/>
              </w:rPr>
              <w:t>In-Home</w:t>
            </w:r>
            <w:r w:rsidR="004D2212" w:rsidRPr="00CC763F">
              <w:rPr>
                <w:szCs w:val="20"/>
              </w:rPr>
              <w:t xml:space="preserve"> </w:t>
            </w:r>
            <w:r w:rsidR="004D2212">
              <w:rPr>
                <w:szCs w:val="20"/>
              </w:rPr>
              <w:t>D</w:t>
            </w:r>
            <w:r w:rsidRPr="00CC763F">
              <w:rPr>
                <w:szCs w:val="20"/>
              </w:rPr>
              <w:t xml:space="preserve">evice </w:t>
            </w:r>
          </w:p>
          <w:p w:rsidR="009E59DD" w:rsidRPr="00CC763F" w:rsidRDefault="009E59DD" w:rsidP="00715EE8">
            <w:pPr>
              <w:pStyle w:val="ListParagraph"/>
              <w:numPr>
                <w:ilvl w:val="0"/>
                <w:numId w:val="17"/>
              </w:numPr>
              <w:spacing w:after="120" w:line="240" w:lineRule="auto"/>
              <w:ind w:left="245" w:hanging="245"/>
              <w:contextualSpacing w:val="0"/>
              <w:jc w:val="both"/>
              <w:rPr>
                <w:b/>
                <w:bCs/>
                <w:kern w:val="32"/>
                <w:szCs w:val="20"/>
              </w:rPr>
            </w:pPr>
            <w:r w:rsidRPr="00CC763F">
              <w:rPr>
                <w:szCs w:val="20"/>
              </w:rPr>
              <w:t>An agreement can specify any combination of simple text, pricing and/or load control message types</w:t>
            </w:r>
          </w:p>
          <w:p w:rsidR="006941DC" w:rsidRPr="00CC763F" w:rsidRDefault="006941DC" w:rsidP="00715EE8">
            <w:pPr>
              <w:pStyle w:val="ListParagraph"/>
              <w:numPr>
                <w:ilvl w:val="0"/>
                <w:numId w:val="17"/>
              </w:numPr>
              <w:spacing w:after="120" w:line="240" w:lineRule="auto"/>
              <w:ind w:left="245" w:hanging="245"/>
              <w:contextualSpacing w:val="0"/>
              <w:jc w:val="both"/>
              <w:rPr>
                <w:b/>
                <w:bCs/>
                <w:kern w:val="32"/>
                <w:szCs w:val="20"/>
              </w:rPr>
            </w:pPr>
            <w:r>
              <w:rPr>
                <w:iCs/>
                <w:szCs w:val="20"/>
              </w:rPr>
              <w:t xml:space="preserve">Has no term but may be terminated by either the Customer or Third Party and is automatically terminated if either the Customer or Third Party removes the </w:t>
            </w:r>
            <w:r w:rsidR="004D2212">
              <w:rPr>
                <w:iCs/>
                <w:szCs w:val="20"/>
              </w:rPr>
              <w:t>In-Home D</w:t>
            </w:r>
            <w:r>
              <w:rPr>
                <w:iCs/>
                <w:szCs w:val="20"/>
              </w:rPr>
              <w:t xml:space="preserve">evice </w:t>
            </w:r>
            <w:r w:rsidR="003F5794">
              <w:rPr>
                <w:iCs/>
                <w:szCs w:val="20"/>
              </w:rPr>
              <w:t>or Customer moves out of the premise</w:t>
            </w:r>
          </w:p>
          <w:p w:rsidR="00CC763F" w:rsidRPr="00EE458B" w:rsidRDefault="00CC763F">
            <w:pPr>
              <w:pStyle w:val="ListParagraph"/>
              <w:numPr>
                <w:ilvl w:val="0"/>
                <w:numId w:val="17"/>
              </w:numPr>
              <w:spacing w:after="120" w:line="240" w:lineRule="auto"/>
              <w:ind w:left="245" w:hanging="245"/>
              <w:contextualSpacing w:val="0"/>
              <w:jc w:val="both"/>
              <w:rPr>
                <w:b/>
                <w:bCs/>
                <w:kern w:val="32"/>
                <w:szCs w:val="20"/>
              </w:rPr>
            </w:pPr>
            <w:r>
              <w:rPr>
                <w:iCs/>
                <w:szCs w:val="20"/>
              </w:rPr>
              <w:t xml:space="preserve">A Customer may enter into a maximum of 5 </w:t>
            </w:r>
            <w:r w:rsidR="004D2212">
              <w:rPr>
                <w:iCs/>
                <w:szCs w:val="20"/>
              </w:rPr>
              <w:t xml:space="preserve">In-Home Device </w:t>
            </w:r>
            <w:r w:rsidR="0038074F">
              <w:rPr>
                <w:iCs/>
                <w:szCs w:val="20"/>
              </w:rPr>
              <w:t>Services</w:t>
            </w:r>
            <w:r>
              <w:rPr>
                <w:iCs/>
                <w:szCs w:val="20"/>
              </w:rPr>
              <w:t xml:space="preserve"> Agreements per </w:t>
            </w:r>
            <w:r w:rsidR="005166DA">
              <w:rPr>
                <w:iCs/>
                <w:szCs w:val="20"/>
              </w:rPr>
              <w:t>smart meter</w:t>
            </w:r>
            <w:r>
              <w:rPr>
                <w:iCs/>
                <w:szCs w:val="20"/>
              </w:rPr>
              <w:t>.</w:t>
            </w:r>
          </w:p>
        </w:tc>
      </w:tr>
    </w:tbl>
    <w:p w:rsidR="0069777D" w:rsidRDefault="00035723" w:rsidP="00715EE8">
      <w:pPr>
        <w:pStyle w:val="Heading2"/>
        <w:tabs>
          <w:tab w:val="clear" w:pos="576"/>
        </w:tabs>
        <w:ind w:left="0"/>
      </w:pPr>
      <w:bookmarkStart w:id="49" w:name="_Ref367122857"/>
      <w:bookmarkStart w:id="50" w:name="_Toc401563543"/>
      <w:r w:rsidRPr="00035723">
        <w:t>Prerequisites</w:t>
      </w:r>
      <w:bookmarkEnd w:id="49"/>
      <w:bookmarkEnd w:id="50"/>
    </w:p>
    <w:p w:rsidR="00F96C15" w:rsidRDefault="00F96C15" w:rsidP="00715EE8">
      <w:pPr>
        <w:jc w:val="both"/>
      </w:pPr>
      <w:r>
        <w:t xml:space="preserve">A Third Party must register and create an account on the SMT web portal prior to requesting access to Customer usage information or SMT HAN functionality. Before SMT will activate a Third Party’s SMT account, the Third Party must have successfully obtained security credentials </w:t>
      </w:r>
      <w:r w:rsidR="004D2212">
        <w:t xml:space="preserve">and certificates for API and FTPS connectivity </w:t>
      </w:r>
      <w:r>
        <w:t xml:space="preserve">and </w:t>
      </w:r>
      <w:r w:rsidR="00E52C6B">
        <w:t xml:space="preserve">be </w:t>
      </w:r>
      <w:r>
        <w:t>connected to the SMT FTPS site</w:t>
      </w:r>
      <w:r w:rsidR="00994806">
        <w:t xml:space="preserve"> (see Section </w:t>
      </w:r>
      <w:r w:rsidR="00CE48DF">
        <w:fldChar w:fldCharType="begin"/>
      </w:r>
      <w:r w:rsidR="00994806">
        <w:instrText xml:space="preserve"> REF _Ref367197110 \r \h </w:instrText>
      </w:r>
      <w:r w:rsidR="00CE48DF">
        <w:fldChar w:fldCharType="separate"/>
      </w:r>
      <w:r w:rsidR="00994806">
        <w:t>8.2</w:t>
      </w:r>
      <w:r w:rsidR="00CE48DF">
        <w:fldChar w:fldCharType="end"/>
      </w:r>
      <w:r w:rsidR="00994806">
        <w:t>)</w:t>
      </w:r>
      <w:r>
        <w:t xml:space="preserve">. A REP, who has an account on SMT, will not have to create a separate account to access the SMT Third Party functionality. </w:t>
      </w:r>
    </w:p>
    <w:p w:rsidR="00A43637" w:rsidRDefault="004D2212" w:rsidP="00AA6DD5">
      <w:pPr>
        <w:pStyle w:val="Heading3"/>
      </w:pPr>
      <w:bookmarkStart w:id="51" w:name="_Ref367122785"/>
      <w:bookmarkStart w:id="52" w:name="_Ref347133812"/>
      <w:bookmarkStart w:id="53" w:name="_Toc348345291"/>
      <w:bookmarkStart w:id="54" w:name="_Ref348950327"/>
      <w:r>
        <w:t xml:space="preserve"> </w:t>
      </w:r>
      <w:r w:rsidR="00A43637" w:rsidRPr="00511582">
        <w:t>T</w:t>
      </w:r>
      <w:r w:rsidR="00A43637">
        <w:t>hird Party SMT Account</w:t>
      </w:r>
      <w:r w:rsidR="00FA1257">
        <w:t>s</w:t>
      </w:r>
      <w:bookmarkEnd w:id="51"/>
    </w:p>
    <w:p w:rsidR="00FA1257" w:rsidRDefault="00FA1257" w:rsidP="00715EE8">
      <w:pPr>
        <w:jc w:val="both"/>
      </w:pPr>
      <w:r>
        <w:t>SMT is a role based access solution that limits its interfaces and functions to different types of users to ensure system security and privacy</w:t>
      </w:r>
      <w:r w:rsidR="00994806">
        <w:t xml:space="preserve"> protection</w:t>
      </w:r>
      <w:r>
        <w:t xml:space="preserve">. There are three types of Third Party accounts on the SMT web portal: </w:t>
      </w:r>
      <w:r w:rsidR="00056342">
        <w:t xml:space="preserve">a </w:t>
      </w:r>
      <w:r>
        <w:t>company account, administrator account</w:t>
      </w:r>
      <w:r w:rsidR="00056342">
        <w:t>s</w:t>
      </w:r>
      <w:r>
        <w:t>, and user account</w:t>
      </w:r>
      <w:r w:rsidR="00056342">
        <w:t>s</w:t>
      </w:r>
      <w:r>
        <w:t>. The company account</w:t>
      </w:r>
      <w:r w:rsidRPr="008F48C5">
        <w:t xml:space="preserve"> contain</w:t>
      </w:r>
      <w:r>
        <w:t>s</w:t>
      </w:r>
      <w:r w:rsidRPr="008F48C5">
        <w:t xml:space="preserve"> th</w:t>
      </w:r>
      <w:r>
        <w:t>e</w:t>
      </w:r>
      <w:r w:rsidRPr="008F48C5">
        <w:t xml:space="preserve"> company-level information </w:t>
      </w:r>
      <w:r>
        <w:t xml:space="preserve">and provides a mechanism to associate Third Party </w:t>
      </w:r>
      <w:r w:rsidR="00BB025A">
        <w:t xml:space="preserve">administrators and </w:t>
      </w:r>
      <w:r w:rsidRPr="008F48C5">
        <w:t>users with</w:t>
      </w:r>
      <w:r>
        <w:t xml:space="preserve"> the company</w:t>
      </w:r>
      <w:r w:rsidR="00B17186">
        <w:t xml:space="preserve"> account</w:t>
      </w:r>
      <w:r w:rsidRPr="008F48C5">
        <w:t xml:space="preserve">. </w:t>
      </w:r>
      <w:r>
        <w:t>Company accounts have users who are assigned by the company to have the role of either an administrator or user. A company account may have up to four administrators who are responsible for setting up and managing the company profile, managing (i.e.</w:t>
      </w:r>
      <w:r w:rsidR="00667BE9">
        <w:t>,</w:t>
      </w:r>
      <w:r>
        <w:t xml:space="preserve"> approve or terminate) other users</w:t>
      </w:r>
      <w:r w:rsidR="00056342">
        <w:t xml:space="preserve"> associated with the company account</w:t>
      </w:r>
      <w:r>
        <w:t>, and managing</w:t>
      </w:r>
      <w:r w:rsidRPr="008F48C5">
        <w:t xml:space="preserve"> (grant and revoke) permissions</w:t>
      </w:r>
      <w:r>
        <w:t xml:space="preserve"> to users to access usage information or HAN functionality associated with the Third Party’s Customers. </w:t>
      </w:r>
    </w:p>
    <w:p w:rsidR="003D1F32" w:rsidRDefault="00051245" w:rsidP="00715EE8">
      <w:pPr>
        <w:jc w:val="both"/>
      </w:pPr>
      <w:r>
        <w:t>The first Third Party user who registers and creates an account on SMT must create the company account</w:t>
      </w:r>
      <w:r w:rsidR="00CD028B">
        <w:t xml:space="preserve"> and the first administrator</w:t>
      </w:r>
      <w:r w:rsidR="007676B0">
        <w:t xml:space="preserve"> account</w:t>
      </w:r>
      <w:r w:rsidR="00CD028B">
        <w:t>.</w:t>
      </w:r>
      <w:r w:rsidR="002F4599">
        <w:t xml:space="preserve"> </w:t>
      </w:r>
      <w:r w:rsidR="00CE48DF">
        <w:fldChar w:fldCharType="begin"/>
      </w:r>
      <w:r w:rsidR="007676B0">
        <w:instrText xml:space="preserve"> REF _Ref350959114 \h </w:instrText>
      </w:r>
      <w:r w:rsidR="00CE48DF">
        <w:fldChar w:fldCharType="separate"/>
      </w:r>
      <w:r w:rsidR="00F609FD">
        <w:t xml:space="preserve">Figure </w:t>
      </w:r>
      <w:r w:rsidR="00F609FD">
        <w:rPr>
          <w:noProof/>
        </w:rPr>
        <w:t>5</w:t>
      </w:r>
      <w:r w:rsidR="00CE48DF">
        <w:fldChar w:fldCharType="end"/>
      </w:r>
      <w:r w:rsidR="007676B0">
        <w:t xml:space="preserve"> shows the SMT web portal home page where a Third Party begins the registration process. </w:t>
      </w:r>
      <w:r w:rsidR="002F4599">
        <w:t>The Third Party must have a valid DUNS number to create the company account</w:t>
      </w:r>
      <w:r w:rsidR="00E52C6B">
        <w:t xml:space="preserve"> and </w:t>
      </w:r>
      <w:r w:rsidR="00994806">
        <w:t xml:space="preserve">must </w:t>
      </w:r>
      <w:r w:rsidR="00E52C6B">
        <w:t>agree to the SMT Terms and Conditions</w:t>
      </w:r>
      <w:r w:rsidR="002F4599">
        <w:t>.</w:t>
      </w:r>
      <w:r w:rsidR="002F4599" w:rsidRPr="002F4599">
        <w:t xml:space="preserve"> </w:t>
      </w:r>
      <w:r w:rsidR="003D1F32">
        <w:t>Optionally, the Third Party may provide a link to their company privacy policy</w:t>
      </w:r>
      <w:r w:rsidR="00994806">
        <w:t xml:space="preserve">, </w:t>
      </w:r>
      <w:r w:rsidR="00F25EC4">
        <w:t>or</w:t>
      </w:r>
      <w:r w:rsidR="003D1F32">
        <w:t xml:space="preserve"> attest to meeting the requirements of a national privacy seal.  </w:t>
      </w:r>
    </w:p>
    <w:p w:rsidR="00D07B4C" w:rsidRDefault="002F4599" w:rsidP="00715EE8">
      <w:pPr>
        <w:jc w:val="both"/>
      </w:pPr>
      <w:r>
        <w:t xml:space="preserve">Once the necessary registration information has been provided, SMT will verify that the DUNS number is unique in SMT and that the Third Party has a FTPS connection with SMT. If both </w:t>
      </w:r>
      <w:r w:rsidR="00BB025A">
        <w:t xml:space="preserve">validations </w:t>
      </w:r>
      <w:r>
        <w:t>are true, SMT will send the Third Party a temporary password and the Third Party will complete the registration process.</w:t>
      </w:r>
      <w:r w:rsidRPr="002F4599">
        <w:t xml:space="preserve"> </w:t>
      </w:r>
      <w:r w:rsidR="00056342">
        <w:t xml:space="preserve">SMT will then activate the </w:t>
      </w:r>
      <w:r>
        <w:t xml:space="preserve">Third Party company account </w:t>
      </w:r>
      <w:r w:rsidR="00056342">
        <w:t xml:space="preserve">and </w:t>
      </w:r>
      <w:r>
        <w:t xml:space="preserve">other </w:t>
      </w:r>
      <w:r w:rsidR="00CA5AA0">
        <w:t xml:space="preserve">administrators and </w:t>
      </w:r>
      <w:r>
        <w:t>users may register and crea</w:t>
      </w:r>
      <w:r w:rsidR="007009D9">
        <w:t xml:space="preserve">te </w:t>
      </w:r>
      <w:r w:rsidR="00056342">
        <w:t xml:space="preserve">SMT </w:t>
      </w:r>
      <w:r w:rsidR="00BB025A">
        <w:t>account</w:t>
      </w:r>
      <w:r w:rsidR="007009D9">
        <w:t>s and associate their account with a Third Party company</w:t>
      </w:r>
      <w:r>
        <w:t xml:space="preserve"> by se</w:t>
      </w:r>
      <w:r w:rsidR="00BA7587">
        <w:t xml:space="preserve">lecting the company name </w:t>
      </w:r>
      <w:r w:rsidR="00BB025A">
        <w:t>from a list provided</w:t>
      </w:r>
      <w:r w:rsidR="00056342">
        <w:t xml:space="preserve">. </w:t>
      </w:r>
      <w:r w:rsidR="00BB025A">
        <w:t xml:space="preserve"> </w:t>
      </w:r>
      <w:r w:rsidR="00D07B4C">
        <w:t>SMT will automatically send a reques</w:t>
      </w:r>
      <w:r w:rsidR="007009D9">
        <w:t xml:space="preserve">t to approve the </w:t>
      </w:r>
      <w:r w:rsidR="00F25EC4">
        <w:t xml:space="preserve">new </w:t>
      </w:r>
      <w:r w:rsidR="007009D9">
        <w:t xml:space="preserve">account to </w:t>
      </w:r>
      <w:r w:rsidR="002C3299">
        <w:t>an existing</w:t>
      </w:r>
      <w:r w:rsidR="00D07B4C">
        <w:t xml:space="preserve"> Third Party administrator</w:t>
      </w:r>
      <w:r w:rsidR="00F91A9C">
        <w:t>. The Third Party administrator will either approve or reject the request and</w:t>
      </w:r>
      <w:r w:rsidR="00BA7587">
        <w:t>,</w:t>
      </w:r>
      <w:r w:rsidR="00F91A9C">
        <w:t xml:space="preserve"> if </w:t>
      </w:r>
      <w:r w:rsidR="00BA7587">
        <w:t xml:space="preserve">the </w:t>
      </w:r>
      <w:r w:rsidR="00F25EC4">
        <w:t>account</w:t>
      </w:r>
      <w:r w:rsidR="00BA7587">
        <w:t xml:space="preserve"> is approved,</w:t>
      </w:r>
      <w:r w:rsidR="00F91A9C">
        <w:t xml:space="preserve"> </w:t>
      </w:r>
      <w:r w:rsidR="00BA7587">
        <w:t xml:space="preserve">the administrator </w:t>
      </w:r>
      <w:r w:rsidR="00F91A9C">
        <w:t>will assign the user certain permissions</w:t>
      </w:r>
      <w:r w:rsidR="00BA7587">
        <w:t xml:space="preserve"> related to the Third Party’s Customer agreements</w:t>
      </w:r>
      <w:r w:rsidR="00F91A9C">
        <w:t>. O</w:t>
      </w:r>
      <w:r w:rsidR="00D07B4C">
        <w:t>nce</w:t>
      </w:r>
      <w:r w:rsidR="00F91A9C">
        <w:t xml:space="preserve"> the account is</w:t>
      </w:r>
      <w:r w:rsidR="00D07B4C">
        <w:t xml:space="preserve"> approved, SMT will activate t</w:t>
      </w:r>
      <w:r>
        <w:t>he Third Party user account.</w:t>
      </w:r>
    </w:p>
    <w:p w:rsidR="00A77F75" w:rsidRDefault="00A77F75" w:rsidP="00A77F75">
      <w:pPr>
        <w:keepNext/>
      </w:pPr>
    </w:p>
    <w:p w:rsidR="001B2D92" w:rsidRDefault="00DB2F3F" w:rsidP="00F12556">
      <w:pPr>
        <w:pStyle w:val="Caption"/>
        <w:spacing w:after="0" w:line="240" w:lineRule="auto"/>
        <w:rPr>
          <w:rFonts w:ascii="Arial" w:hAnsi="Arial"/>
          <w:sz w:val="20"/>
          <w:szCs w:val="20"/>
        </w:rPr>
      </w:pPr>
      <w:bookmarkStart w:id="55" w:name="_Ref350959114"/>
      <w:bookmarkStart w:id="56" w:name="_Toc367210599"/>
      <w:r w:rsidRPr="00DB2F3F">
        <w:rPr>
          <w:noProof/>
        </w:rPr>
        <w:drawing>
          <wp:inline distT="0" distB="0" distL="0" distR="0" wp14:anchorId="107D6CA9" wp14:editId="36BE577A">
            <wp:extent cx="5943600" cy="38168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816817"/>
                    </a:xfrm>
                    <a:prstGeom prst="rect">
                      <a:avLst/>
                    </a:prstGeom>
                    <a:noFill/>
                    <a:ln>
                      <a:noFill/>
                    </a:ln>
                  </pic:spPr>
                </pic:pic>
              </a:graphicData>
            </a:graphic>
          </wp:inline>
        </w:drawing>
      </w:r>
    </w:p>
    <w:p w:rsidR="00D6537E" w:rsidRPr="00A139CA" w:rsidRDefault="00A77F75" w:rsidP="00F12556">
      <w:pPr>
        <w:pStyle w:val="Caption"/>
        <w:spacing w:after="0" w:line="240" w:lineRule="auto"/>
        <w:rPr>
          <w:rFonts w:ascii="Arial" w:hAnsi="Arial"/>
          <w:sz w:val="20"/>
          <w:szCs w:val="20"/>
        </w:rPr>
      </w:pPr>
      <w:r w:rsidRPr="00A139CA">
        <w:rPr>
          <w:rFonts w:ascii="Arial" w:hAnsi="Arial"/>
          <w:sz w:val="20"/>
          <w:szCs w:val="20"/>
        </w:rPr>
        <w:t xml:space="preserve">Figure </w:t>
      </w:r>
      <w:r w:rsidR="00CE48DF" w:rsidRPr="00A139CA">
        <w:rPr>
          <w:rFonts w:ascii="Arial" w:hAnsi="Arial"/>
          <w:sz w:val="20"/>
          <w:szCs w:val="20"/>
        </w:rPr>
        <w:fldChar w:fldCharType="begin"/>
      </w:r>
      <w:r w:rsidR="00CE48DF" w:rsidRPr="00A139CA">
        <w:rPr>
          <w:rFonts w:ascii="Arial" w:hAnsi="Arial"/>
          <w:sz w:val="20"/>
          <w:szCs w:val="20"/>
        </w:rPr>
        <w:instrText xml:space="preserve"> SEQ Figure \* ARABIC </w:instrText>
      </w:r>
      <w:r w:rsidR="00CE48DF" w:rsidRPr="00A139CA">
        <w:rPr>
          <w:rFonts w:ascii="Arial" w:hAnsi="Arial"/>
          <w:sz w:val="20"/>
          <w:szCs w:val="20"/>
        </w:rPr>
        <w:fldChar w:fldCharType="separate"/>
      </w:r>
      <w:r w:rsidR="00F609FD" w:rsidRPr="00A139CA">
        <w:rPr>
          <w:rFonts w:ascii="Arial" w:hAnsi="Arial"/>
          <w:noProof/>
          <w:sz w:val="20"/>
          <w:szCs w:val="20"/>
        </w:rPr>
        <w:t>5</w:t>
      </w:r>
      <w:r w:rsidR="00CE48DF" w:rsidRPr="00A139CA">
        <w:rPr>
          <w:rFonts w:ascii="Arial" w:hAnsi="Arial"/>
          <w:sz w:val="20"/>
          <w:szCs w:val="20"/>
        </w:rPr>
        <w:fldChar w:fldCharType="end"/>
      </w:r>
      <w:bookmarkEnd w:id="55"/>
      <w:r w:rsidRPr="00A139CA">
        <w:rPr>
          <w:rFonts w:ascii="Arial" w:hAnsi="Arial"/>
          <w:sz w:val="20"/>
          <w:szCs w:val="20"/>
        </w:rPr>
        <w:t>: SMT Home Page for Third Party Registration</w:t>
      </w:r>
      <w:bookmarkEnd w:id="56"/>
    </w:p>
    <w:p w:rsidR="00A43637" w:rsidRDefault="00A43637" w:rsidP="00A43637">
      <w:pPr>
        <w:pStyle w:val="Heading2"/>
        <w:tabs>
          <w:tab w:val="clear" w:pos="576"/>
        </w:tabs>
        <w:ind w:left="0" w:hanging="720"/>
      </w:pPr>
      <w:bookmarkStart w:id="57" w:name="_Toc401563544"/>
      <w:r>
        <w:t>Agreement Invitations</w:t>
      </w:r>
      <w:bookmarkEnd w:id="57"/>
    </w:p>
    <w:p w:rsidR="000C2221" w:rsidRDefault="00F10A12" w:rsidP="00715EE8">
      <w:pPr>
        <w:jc w:val="both"/>
      </w:pPr>
      <w:bookmarkStart w:id="58" w:name="_Ref348682862"/>
      <w:r>
        <w:t>Prior to initiating an agreement invitation on SMT, the</w:t>
      </w:r>
      <w:r w:rsidR="000766C0">
        <w:t xml:space="preserve"> Third Party </w:t>
      </w:r>
      <w:r>
        <w:t>must obtain</w:t>
      </w:r>
      <w:r w:rsidR="000766C0">
        <w:t xml:space="preserve"> certain information (e.g.</w:t>
      </w:r>
      <w:r w:rsidR="00667BE9">
        <w:t>,</w:t>
      </w:r>
      <w:r w:rsidR="000766C0">
        <w:t xml:space="preserve"> ESIID, Account Authorization Code or email address, </w:t>
      </w:r>
      <w:r w:rsidR="00DB2F3F">
        <w:t>In-Home D</w:t>
      </w:r>
      <w:r w:rsidR="000766C0">
        <w:t xml:space="preserve">evice information, etc.) from the Customer. </w:t>
      </w:r>
      <w:r w:rsidR="00CC33B6">
        <w:t>The Third Party may obtain this information through a variety of means (i.e.</w:t>
      </w:r>
      <w:r w:rsidR="00667BE9">
        <w:t xml:space="preserve">, </w:t>
      </w:r>
      <w:r w:rsidR="00932110">
        <w:t>face-to-face</w:t>
      </w:r>
      <w:r w:rsidR="00CC33B6">
        <w:t xml:space="preserve"> meeting, email, phone call, etc.), all of which are outside of the SMT </w:t>
      </w:r>
      <w:r w:rsidR="00932110">
        <w:t xml:space="preserve">agreement invitation </w:t>
      </w:r>
      <w:r w:rsidR="00CC33B6">
        <w:t xml:space="preserve">process. </w:t>
      </w:r>
      <w:r w:rsidR="000C2221">
        <w:t>The Third Party user will create the agr</w:t>
      </w:r>
      <w:r w:rsidR="00932110">
        <w:t>eement invitation by entering</w:t>
      </w:r>
      <w:r w:rsidR="000C2221">
        <w:t xml:space="preserve"> the information received from the Customer</w:t>
      </w:r>
      <w:r w:rsidR="00932110">
        <w:t xml:space="preserve"> into the </w:t>
      </w:r>
      <w:r w:rsidR="00103FC6">
        <w:t>form on the SMT web portal</w:t>
      </w:r>
      <w:r w:rsidR="00A67FCE">
        <w:t xml:space="preserve"> or may create the agreement invitation using the agreement invitation API</w:t>
      </w:r>
      <w:r w:rsidR="00932110">
        <w:t xml:space="preserve">. </w:t>
      </w:r>
      <w:r w:rsidR="000766C0">
        <w:t>SMT will validate the information prior to sending the agreement invitation to the Customer</w:t>
      </w:r>
      <w:r w:rsidR="000C2221">
        <w:t>’s</w:t>
      </w:r>
      <w:r w:rsidR="000766C0">
        <w:t xml:space="preserve"> email address. The Customer is not required to have an SMT account to receive an</w:t>
      </w:r>
      <w:r w:rsidR="000C2221">
        <w:t xml:space="preserve"> agreement </w:t>
      </w:r>
      <w:r w:rsidR="000766C0">
        <w:t>invitation.</w:t>
      </w:r>
      <w:r w:rsidR="000766C0" w:rsidRPr="00660AE6">
        <w:t xml:space="preserve"> </w:t>
      </w:r>
      <w:bookmarkEnd w:id="58"/>
    </w:p>
    <w:p w:rsidR="003C33BC" w:rsidRDefault="00A43637" w:rsidP="00715EE8">
      <w:pPr>
        <w:jc w:val="both"/>
      </w:pPr>
      <w:r>
        <w:t xml:space="preserve">The email invitation includes </w:t>
      </w:r>
      <w:r w:rsidR="003C33BC">
        <w:t>the following details related to the agreement:</w:t>
      </w:r>
    </w:p>
    <w:p w:rsidR="003C33BC" w:rsidRDefault="003C33BC" w:rsidP="00715EE8">
      <w:pPr>
        <w:pStyle w:val="ListParagraph"/>
        <w:numPr>
          <w:ilvl w:val="0"/>
          <w:numId w:val="23"/>
        </w:numPr>
        <w:spacing w:before="140" w:line="360" w:lineRule="auto"/>
        <w:jc w:val="both"/>
      </w:pPr>
      <w:r>
        <w:t>Agreement type (i.e.</w:t>
      </w:r>
      <w:r w:rsidR="00667BE9">
        <w:t>,</w:t>
      </w:r>
      <w:r>
        <w:t xml:space="preserve"> Energy Data, </w:t>
      </w:r>
      <w:r w:rsidR="00DB2F3F">
        <w:t xml:space="preserve">In-Home </w:t>
      </w:r>
      <w:r>
        <w:t xml:space="preserve">Device, or </w:t>
      </w:r>
      <w:r w:rsidR="00DB2F3F">
        <w:t>In-Home Device</w:t>
      </w:r>
      <w:r>
        <w:t xml:space="preserve"> Services)</w:t>
      </w:r>
    </w:p>
    <w:p w:rsidR="0048216A" w:rsidRDefault="001C3716" w:rsidP="00715EE8">
      <w:pPr>
        <w:pStyle w:val="ListParagraph"/>
        <w:numPr>
          <w:ilvl w:val="0"/>
          <w:numId w:val="23"/>
        </w:numPr>
        <w:spacing w:before="360" w:line="360" w:lineRule="auto"/>
        <w:jc w:val="both"/>
      </w:pPr>
      <w:r>
        <w:t>Energy Data Agreement d</w:t>
      </w:r>
      <w:r w:rsidR="003C33BC">
        <w:t>uration (i.e.</w:t>
      </w:r>
      <w:r w:rsidR="00667BE9">
        <w:t>,</w:t>
      </w:r>
      <w:r w:rsidR="003C33BC">
        <w:t xml:space="preserve"> one time access for 15 minute, daily, or monthly usage data, continuous access from 1 month up to 12 months)</w:t>
      </w:r>
      <w:r w:rsidR="00DB2F3F">
        <w:t xml:space="preserve"> and the ESIIDs included in the agreement</w:t>
      </w:r>
    </w:p>
    <w:p w:rsidR="00D317D9" w:rsidRDefault="00D317D9" w:rsidP="00D317D9">
      <w:pPr>
        <w:pStyle w:val="ListParagraph"/>
        <w:numPr>
          <w:ilvl w:val="0"/>
          <w:numId w:val="23"/>
        </w:numPr>
        <w:spacing w:before="360" w:line="360" w:lineRule="auto"/>
      </w:pPr>
      <w:r>
        <w:t>Links to the Third Party’s web site and privacy policy, if provided</w:t>
      </w:r>
    </w:p>
    <w:p w:rsidR="00D317D9" w:rsidRDefault="00D317D9" w:rsidP="00D317D9">
      <w:pPr>
        <w:pStyle w:val="ListParagraph"/>
        <w:numPr>
          <w:ilvl w:val="0"/>
          <w:numId w:val="23"/>
        </w:numPr>
        <w:spacing w:before="360" w:line="360" w:lineRule="auto"/>
      </w:pPr>
      <w:r>
        <w:t xml:space="preserve">A national privacy seal, if the Third Party has attested to meeting the national privacy seal requirements </w:t>
      </w:r>
    </w:p>
    <w:p w:rsidR="00D317D9" w:rsidRDefault="00D317D9" w:rsidP="00D317D9">
      <w:pPr>
        <w:pStyle w:val="ListParagraph"/>
        <w:numPr>
          <w:ilvl w:val="0"/>
          <w:numId w:val="23"/>
        </w:numPr>
        <w:spacing w:before="360" w:line="360" w:lineRule="auto"/>
      </w:pPr>
      <w:r>
        <w:t xml:space="preserve">Any </w:t>
      </w:r>
      <w:r w:rsidR="00DB2F3F">
        <w:t xml:space="preserve">Customer </w:t>
      </w:r>
      <w:r>
        <w:t>ratings of the Third Party’s services, if available</w:t>
      </w:r>
    </w:p>
    <w:p w:rsidR="00655F45" w:rsidRPr="00D317D9" w:rsidRDefault="00F10A12" w:rsidP="00715EE8">
      <w:pPr>
        <w:pStyle w:val="Default"/>
        <w:spacing w:line="360" w:lineRule="auto"/>
        <w:jc w:val="both"/>
        <w:rPr>
          <w:rFonts w:ascii="Times New Roman" w:eastAsia="Times New Roman" w:hAnsi="Times New Roman" w:cs="Times New Roman"/>
          <w:color w:val="auto"/>
        </w:rPr>
      </w:pPr>
      <w:r w:rsidRPr="00D317D9">
        <w:rPr>
          <w:rFonts w:ascii="Times New Roman" w:eastAsia="Times New Roman" w:hAnsi="Times New Roman" w:cs="Times New Roman"/>
          <w:color w:val="auto"/>
        </w:rPr>
        <w:t xml:space="preserve">The agreement invitation sent to the Customer remains active for a period of 30 days. </w:t>
      </w:r>
      <w:r w:rsidR="00655F45" w:rsidRPr="00D317D9">
        <w:rPr>
          <w:rFonts w:ascii="Times New Roman" w:eastAsia="Times New Roman" w:hAnsi="Times New Roman" w:cs="Times New Roman"/>
          <w:color w:val="auto"/>
        </w:rPr>
        <w:t>The</w:t>
      </w:r>
      <w:r w:rsidR="0025044C" w:rsidRPr="00D317D9">
        <w:rPr>
          <w:rFonts w:ascii="Times New Roman" w:eastAsia="Times New Roman" w:hAnsi="Times New Roman" w:cs="Times New Roman"/>
          <w:color w:val="auto"/>
        </w:rPr>
        <w:t xml:space="preserve"> </w:t>
      </w:r>
      <w:r w:rsidRPr="00D317D9">
        <w:rPr>
          <w:rFonts w:ascii="Times New Roman" w:eastAsia="Times New Roman" w:hAnsi="Times New Roman" w:cs="Times New Roman"/>
          <w:color w:val="auto"/>
        </w:rPr>
        <w:t xml:space="preserve">Third Party can resend an existing agreement invitation </w:t>
      </w:r>
      <w:r w:rsidR="00DB2F3F">
        <w:rPr>
          <w:rFonts w:ascii="Times New Roman" w:eastAsia="Times New Roman" w:hAnsi="Times New Roman" w:cs="Times New Roman"/>
          <w:color w:val="auto"/>
        </w:rPr>
        <w:t xml:space="preserve">once </w:t>
      </w:r>
      <w:r w:rsidRPr="00D317D9">
        <w:rPr>
          <w:rFonts w:ascii="Times New Roman" w:eastAsia="Times New Roman" w:hAnsi="Times New Roman" w:cs="Times New Roman"/>
          <w:color w:val="auto"/>
        </w:rPr>
        <w:t xml:space="preserve">during the 30 day invitation period as a reminder if the Customer has not responded. If the Customer has not responded within the 30 day invitation period, the invitation expires and </w:t>
      </w:r>
      <w:r w:rsidR="00655F45" w:rsidRPr="00D317D9">
        <w:rPr>
          <w:rFonts w:ascii="Times New Roman" w:eastAsia="Times New Roman" w:hAnsi="Times New Roman" w:cs="Times New Roman"/>
          <w:color w:val="auto"/>
        </w:rPr>
        <w:t>a new agreement invitation will have to be created.</w:t>
      </w:r>
    </w:p>
    <w:p w:rsidR="00A43637" w:rsidRDefault="00A43637" w:rsidP="00A43637">
      <w:pPr>
        <w:pStyle w:val="Heading2"/>
        <w:tabs>
          <w:tab w:val="clear" w:pos="576"/>
        </w:tabs>
        <w:ind w:left="0" w:hanging="720"/>
      </w:pPr>
      <w:bookmarkStart w:id="59" w:name="_Toc401563545"/>
      <w:r>
        <w:t xml:space="preserve">Customer Acceptance of </w:t>
      </w:r>
      <w:r w:rsidR="001642C1">
        <w:t>an Agreement</w:t>
      </w:r>
      <w:r>
        <w:t xml:space="preserve"> Invitation</w:t>
      </w:r>
      <w:bookmarkEnd w:id="59"/>
    </w:p>
    <w:p w:rsidR="00515549" w:rsidRDefault="00515549" w:rsidP="00715EE8">
      <w:pPr>
        <w:jc w:val="both"/>
      </w:pPr>
      <w:r>
        <w:t>The Customer must have an SMT account in order to accept an agreement invitation. If the Customer has an SMT Account, the Customer may accept the invitation to enter into an agreement by clicking on the “Accept” button in the email.  The SMT login page will be presented to the Customer and after the Customer logs in, SMT presents an agreement acceptance confirmation page (see</w:t>
      </w:r>
      <w:r w:rsidR="002A0B93">
        <w:t xml:space="preserve"> </w:t>
      </w:r>
      <w:r w:rsidR="00CE48DF">
        <w:fldChar w:fldCharType="begin"/>
      </w:r>
      <w:r w:rsidR="002A0B93">
        <w:instrText xml:space="preserve"> REF _Ref348523408 \h </w:instrText>
      </w:r>
      <w:r w:rsidR="00CE48DF">
        <w:fldChar w:fldCharType="separate"/>
      </w:r>
      <w:r w:rsidR="00F609FD">
        <w:t xml:space="preserve">Figure </w:t>
      </w:r>
      <w:r w:rsidR="00F609FD">
        <w:rPr>
          <w:noProof/>
        </w:rPr>
        <w:t>6</w:t>
      </w:r>
      <w:r w:rsidR="00CE48DF">
        <w:fldChar w:fldCharType="end"/>
      </w:r>
      <w:r>
        <w:t xml:space="preserve">). If the Customer does not have an SMT account, the Customer may accept the invitation by clicking on the “Register </w:t>
      </w:r>
      <w:r w:rsidR="005D238C" w:rsidRPr="005D238C">
        <w:t>for an SMT Account</w:t>
      </w:r>
      <w:r>
        <w:t xml:space="preserve">”.  The SMT home page is presented to the Customer for the Customer to register and create an account on SMT. Once the account has been established, the Customer may accept </w:t>
      </w:r>
      <w:r w:rsidR="008A3896">
        <w:t>an</w:t>
      </w:r>
      <w:r>
        <w:t xml:space="preserve"> agreement invitation</w:t>
      </w:r>
      <w:r w:rsidR="008A3896">
        <w:t xml:space="preserve"> and</w:t>
      </w:r>
      <w:r>
        <w:t xml:space="preserve"> SMT will confirm the acceptance.</w:t>
      </w:r>
    </w:p>
    <w:p w:rsidR="00A43637" w:rsidRDefault="005D238C" w:rsidP="00A43637">
      <w:pPr>
        <w:keepNext/>
      </w:pPr>
      <w:r w:rsidRPr="005D238C">
        <w:rPr>
          <w:noProof/>
        </w:rPr>
        <w:drawing>
          <wp:inline distT="0" distB="0" distL="0" distR="0" wp14:anchorId="3F2EB31F" wp14:editId="7D9A70E5">
            <wp:extent cx="5943600" cy="2834802"/>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834802"/>
                    </a:xfrm>
                    <a:prstGeom prst="rect">
                      <a:avLst/>
                    </a:prstGeom>
                    <a:noFill/>
                    <a:ln>
                      <a:noFill/>
                    </a:ln>
                  </pic:spPr>
                </pic:pic>
              </a:graphicData>
            </a:graphic>
          </wp:inline>
        </w:drawing>
      </w:r>
    </w:p>
    <w:p w:rsidR="005D238C" w:rsidRDefault="005D238C" w:rsidP="00C03AFB">
      <w:pPr>
        <w:pStyle w:val="Caption"/>
        <w:spacing w:before="0" w:after="0" w:line="240" w:lineRule="auto"/>
        <w:rPr>
          <w:rFonts w:ascii="Arial" w:hAnsi="Arial"/>
          <w:sz w:val="20"/>
          <w:szCs w:val="20"/>
        </w:rPr>
      </w:pPr>
      <w:bookmarkStart w:id="60" w:name="_Ref348523408"/>
      <w:bookmarkStart w:id="61" w:name="_Toc367210600"/>
    </w:p>
    <w:p w:rsidR="00A43637" w:rsidRPr="00A139CA" w:rsidRDefault="00A43637" w:rsidP="00C03AFB">
      <w:pPr>
        <w:pStyle w:val="Caption"/>
        <w:spacing w:before="0" w:after="0" w:line="240" w:lineRule="auto"/>
        <w:rPr>
          <w:rFonts w:ascii="Arial" w:hAnsi="Arial"/>
          <w:sz w:val="20"/>
          <w:szCs w:val="20"/>
        </w:rPr>
      </w:pPr>
      <w:r w:rsidRPr="00A139CA">
        <w:rPr>
          <w:rFonts w:ascii="Arial" w:hAnsi="Arial"/>
          <w:sz w:val="20"/>
          <w:szCs w:val="20"/>
        </w:rPr>
        <w:t xml:space="preserve">Figure </w:t>
      </w:r>
      <w:r w:rsidR="00CE48DF" w:rsidRPr="00A139CA">
        <w:rPr>
          <w:rFonts w:ascii="Arial" w:hAnsi="Arial"/>
          <w:sz w:val="20"/>
          <w:szCs w:val="20"/>
        </w:rPr>
        <w:fldChar w:fldCharType="begin"/>
      </w:r>
      <w:r w:rsidR="00CE48DF" w:rsidRPr="00A139CA">
        <w:rPr>
          <w:rFonts w:ascii="Arial" w:hAnsi="Arial"/>
          <w:sz w:val="20"/>
          <w:szCs w:val="20"/>
        </w:rPr>
        <w:instrText xml:space="preserve"> SEQ Figure \* ARABIC </w:instrText>
      </w:r>
      <w:r w:rsidR="00CE48DF" w:rsidRPr="00A139CA">
        <w:rPr>
          <w:rFonts w:ascii="Arial" w:hAnsi="Arial"/>
          <w:sz w:val="20"/>
          <w:szCs w:val="20"/>
        </w:rPr>
        <w:fldChar w:fldCharType="separate"/>
      </w:r>
      <w:r w:rsidR="00F609FD" w:rsidRPr="00A139CA">
        <w:rPr>
          <w:rFonts w:ascii="Arial" w:hAnsi="Arial"/>
          <w:noProof/>
          <w:sz w:val="20"/>
          <w:szCs w:val="20"/>
        </w:rPr>
        <w:t>6</w:t>
      </w:r>
      <w:r w:rsidR="00CE48DF" w:rsidRPr="00A139CA">
        <w:rPr>
          <w:rFonts w:ascii="Arial" w:hAnsi="Arial"/>
          <w:sz w:val="20"/>
          <w:szCs w:val="20"/>
        </w:rPr>
        <w:fldChar w:fldCharType="end"/>
      </w:r>
      <w:bookmarkEnd w:id="60"/>
      <w:r w:rsidRPr="00A139CA">
        <w:rPr>
          <w:rFonts w:ascii="Arial" w:hAnsi="Arial"/>
          <w:sz w:val="20"/>
          <w:szCs w:val="20"/>
        </w:rPr>
        <w:t>: Agreement Acceptance Confirmation</w:t>
      </w:r>
      <w:bookmarkEnd w:id="61"/>
    </w:p>
    <w:p w:rsidR="00D54224" w:rsidRPr="00D54224" w:rsidRDefault="00D54224" w:rsidP="00D54224">
      <w:pPr>
        <w:spacing w:line="240" w:lineRule="auto"/>
      </w:pPr>
    </w:p>
    <w:p w:rsidR="005C4EED" w:rsidRDefault="005C4EED" w:rsidP="005C4EED">
      <w:pPr>
        <w:jc w:val="both"/>
      </w:pPr>
      <w:r>
        <w:t>The process to add a</w:t>
      </w:r>
      <w:r w:rsidR="005D238C">
        <w:t>n</w:t>
      </w:r>
      <w:r>
        <w:t xml:space="preserve"> </w:t>
      </w:r>
      <w:r w:rsidR="005D238C">
        <w:t>In-Home</w:t>
      </w:r>
      <w:r w:rsidR="000A59E4">
        <w:t xml:space="preserve"> </w:t>
      </w:r>
      <w:r>
        <w:t>Device to the Customer HAN is automatically initiated by SMT as soon as the Customer accepts a</w:t>
      </w:r>
      <w:r w:rsidR="00BD6B96">
        <w:t>n</w:t>
      </w:r>
      <w:r>
        <w:t xml:space="preserve"> </w:t>
      </w:r>
      <w:r w:rsidR="00BD6B96">
        <w:t xml:space="preserve">In-Home </w:t>
      </w:r>
      <w:r>
        <w:t>Device Agreement.</w:t>
      </w:r>
    </w:p>
    <w:p w:rsidR="001642C1" w:rsidRDefault="001642C1" w:rsidP="008D12E1">
      <w:pPr>
        <w:pStyle w:val="Heading2"/>
        <w:tabs>
          <w:tab w:val="clear" w:pos="576"/>
        </w:tabs>
        <w:spacing w:before="360"/>
        <w:ind w:left="0"/>
      </w:pPr>
      <w:bookmarkStart w:id="62" w:name="_Toc401563546"/>
      <w:r>
        <w:t>Customer Rejection of an Agreement Invitation</w:t>
      </w:r>
      <w:bookmarkEnd w:id="62"/>
    </w:p>
    <w:p w:rsidR="007356B0" w:rsidRPr="00E21C6D" w:rsidRDefault="001642C1" w:rsidP="00715EE8">
      <w:pPr>
        <w:jc w:val="both"/>
      </w:pPr>
      <w:r>
        <w:t xml:space="preserve">A Customer may reject an invitation to enter into an agreement by clicking on the Reject button in the email. SMT will present a screen confirming the Customer’s rejection and give the Customer the option to indicate why they are rejecting the agreement invitation (see </w:t>
      </w:r>
      <w:r w:rsidR="00CE48DF">
        <w:fldChar w:fldCharType="begin"/>
      </w:r>
      <w:r>
        <w:instrText xml:space="preserve"> REF _Ref351562644 \h </w:instrText>
      </w:r>
      <w:r w:rsidR="00CE48DF">
        <w:fldChar w:fldCharType="separate"/>
      </w:r>
      <w:r w:rsidR="00F609FD">
        <w:t xml:space="preserve">Figure </w:t>
      </w:r>
      <w:r w:rsidR="00F609FD">
        <w:rPr>
          <w:noProof/>
        </w:rPr>
        <w:t>7</w:t>
      </w:r>
      <w:r w:rsidR="00CE48DF">
        <w:fldChar w:fldCharType="end"/>
      </w:r>
      <w:r>
        <w:t xml:space="preserve">). Both the Customer and the Third Party will receive an email notification </w:t>
      </w:r>
      <w:r w:rsidR="00BD6B96">
        <w:t xml:space="preserve">that </w:t>
      </w:r>
      <w:r>
        <w:t xml:space="preserve">the agreement invitation </w:t>
      </w:r>
      <w:r w:rsidR="00BD6B96">
        <w:t xml:space="preserve">was </w:t>
      </w:r>
      <w:r>
        <w:t>reject</w:t>
      </w:r>
      <w:r w:rsidR="00BD6B96">
        <w:t>ed</w:t>
      </w:r>
      <w:r>
        <w:t>.</w:t>
      </w:r>
      <w:r w:rsidR="007356B0" w:rsidRPr="007356B0">
        <w:t xml:space="preserve"> </w:t>
      </w:r>
    </w:p>
    <w:p w:rsidR="001642C1" w:rsidRDefault="001642C1" w:rsidP="001642C1">
      <w:pPr>
        <w:keepNext/>
        <w:jc w:val="center"/>
      </w:pPr>
    </w:p>
    <w:p w:rsidR="00BD6B96" w:rsidRDefault="00BD6B96" w:rsidP="00C03AFB">
      <w:pPr>
        <w:pStyle w:val="Caption"/>
        <w:spacing w:before="0" w:after="0" w:line="240" w:lineRule="auto"/>
        <w:rPr>
          <w:rFonts w:ascii="Arial" w:hAnsi="Arial"/>
          <w:sz w:val="20"/>
          <w:szCs w:val="20"/>
        </w:rPr>
      </w:pPr>
      <w:bookmarkStart w:id="63" w:name="_Ref351562644"/>
      <w:bookmarkStart w:id="64" w:name="_Toc367210601"/>
      <w:r w:rsidRPr="00BD6B96">
        <w:rPr>
          <w:noProof/>
        </w:rPr>
        <w:drawing>
          <wp:inline distT="0" distB="0" distL="0" distR="0" wp14:anchorId="28E9E9B8" wp14:editId="30B7FA4E">
            <wp:extent cx="5943600" cy="3649801"/>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649801"/>
                    </a:xfrm>
                    <a:prstGeom prst="rect">
                      <a:avLst/>
                    </a:prstGeom>
                    <a:noFill/>
                    <a:ln>
                      <a:noFill/>
                    </a:ln>
                  </pic:spPr>
                </pic:pic>
              </a:graphicData>
            </a:graphic>
          </wp:inline>
        </w:drawing>
      </w:r>
    </w:p>
    <w:p w:rsidR="00F4172D" w:rsidRPr="00A139CA" w:rsidRDefault="001642C1" w:rsidP="00C03AFB">
      <w:pPr>
        <w:pStyle w:val="Caption"/>
        <w:spacing w:before="0" w:after="0" w:line="240" w:lineRule="auto"/>
        <w:rPr>
          <w:rFonts w:ascii="Arial" w:hAnsi="Arial"/>
          <w:sz w:val="20"/>
          <w:szCs w:val="20"/>
        </w:rPr>
      </w:pPr>
      <w:r w:rsidRPr="00A139CA">
        <w:rPr>
          <w:rFonts w:ascii="Arial" w:hAnsi="Arial"/>
          <w:sz w:val="20"/>
          <w:szCs w:val="20"/>
        </w:rPr>
        <w:t xml:space="preserve">Figure </w:t>
      </w:r>
      <w:r w:rsidR="00CE48DF" w:rsidRPr="00A139CA">
        <w:rPr>
          <w:rFonts w:ascii="Arial" w:hAnsi="Arial"/>
          <w:sz w:val="20"/>
          <w:szCs w:val="20"/>
        </w:rPr>
        <w:fldChar w:fldCharType="begin"/>
      </w:r>
      <w:r w:rsidR="00CE48DF" w:rsidRPr="00A139CA">
        <w:rPr>
          <w:rFonts w:ascii="Arial" w:hAnsi="Arial"/>
          <w:sz w:val="20"/>
          <w:szCs w:val="20"/>
        </w:rPr>
        <w:instrText xml:space="preserve"> SEQ Figure \* ARABIC </w:instrText>
      </w:r>
      <w:r w:rsidR="00CE48DF" w:rsidRPr="00A139CA">
        <w:rPr>
          <w:rFonts w:ascii="Arial" w:hAnsi="Arial"/>
          <w:sz w:val="20"/>
          <w:szCs w:val="20"/>
        </w:rPr>
        <w:fldChar w:fldCharType="separate"/>
      </w:r>
      <w:r w:rsidR="00F609FD" w:rsidRPr="00A139CA">
        <w:rPr>
          <w:rFonts w:ascii="Arial" w:hAnsi="Arial"/>
          <w:noProof/>
          <w:sz w:val="20"/>
          <w:szCs w:val="20"/>
        </w:rPr>
        <w:t>7</w:t>
      </w:r>
      <w:r w:rsidR="00CE48DF" w:rsidRPr="00A139CA">
        <w:rPr>
          <w:rFonts w:ascii="Arial" w:hAnsi="Arial"/>
          <w:sz w:val="20"/>
          <w:szCs w:val="20"/>
        </w:rPr>
        <w:fldChar w:fldCharType="end"/>
      </w:r>
      <w:bookmarkEnd w:id="63"/>
      <w:r w:rsidRPr="00A139CA">
        <w:rPr>
          <w:rFonts w:ascii="Arial" w:hAnsi="Arial"/>
          <w:sz w:val="20"/>
          <w:szCs w:val="20"/>
        </w:rPr>
        <w:t>: Agreement Rejection Confirmation</w:t>
      </w:r>
      <w:bookmarkEnd w:id="64"/>
    </w:p>
    <w:p w:rsidR="00F4172D" w:rsidRDefault="00F4172D" w:rsidP="00F4172D">
      <w:r>
        <w:br w:type="page"/>
      </w:r>
    </w:p>
    <w:p w:rsidR="0069777D" w:rsidRDefault="003944E3" w:rsidP="00BB06C5">
      <w:pPr>
        <w:pStyle w:val="Heading1"/>
      </w:pPr>
      <w:bookmarkStart w:id="65" w:name="_Toc401563547"/>
      <w:bookmarkEnd w:id="52"/>
      <w:bookmarkEnd w:id="53"/>
      <w:bookmarkEnd w:id="54"/>
      <w:r>
        <w:t xml:space="preserve">Agreement </w:t>
      </w:r>
      <w:r w:rsidR="00BB06C5">
        <w:t>Management</w:t>
      </w:r>
      <w:bookmarkEnd w:id="65"/>
    </w:p>
    <w:p w:rsidR="003944E3" w:rsidRPr="003944E3" w:rsidRDefault="003944E3" w:rsidP="00715EE8">
      <w:pPr>
        <w:spacing w:after="0"/>
        <w:jc w:val="both"/>
        <w:rPr>
          <w:b/>
        </w:rPr>
      </w:pPr>
      <w:bookmarkStart w:id="66" w:name="_Toc348345292"/>
      <w:bookmarkStart w:id="67" w:name="_Ref347832386"/>
      <w:r>
        <w:t xml:space="preserve">Once an agreement </w:t>
      </w:r>
      <w:r w:rsidR="00932110">
        <w:t xml:space="preserve">invitation </w:t>
      </w:r>
      <w:r>
        <w:t xml:space="preserve">has been accepted by a Customer, the agreement is created and associated with both the Customer and Third Party </w:t>
      </w:r>
      <w:r w:rsidR="00822548">
        <w:t>company account</w:t>
      </w:r>
      <w:r>
        <w:t xml:space="preserve">. Both the Customer and the Third Party </w:t>
      </w:r>
      <w:r w:rsidR="00932110">
        <w:t>will</w:t>
      </w:r>
      <w:r>
        <w:t xml:space="preserve"> manage their agreements on the SMT web portal.</w:t>
      </w:r>
    </w:p>
    <w:p w:rsidR="005F45FD" w:rsidRDefault="005F45FD" w:rsidP="00715EE8">
      <w:pPr>
        <w:pStyle w:val="Heading2"/>
        <w:tabs>
          <w:tab w:val="clear" w:pos="576"/>
        </w:tabs>
        <w:spacing w:before="140" w:line="240" w:lineRule="auto"/>
        <w:ind w:left="0"/>
      </w:pPr>
      <w:bookmarkStart w:id="68" w:name="_Toc401563548"/>
      <w:r w:rsidRPr="0073725F">
        <w:t>Customers</w:t>
      </w:r>
      <w:bookmarkEnd w:id="68"/>
    </w:p>
    <w:p w:rsidR="003944E3" w:rsidRDefault="008E6F1E" w:rsidP="00715EE8">
      <w:pPr>
        <w:jc w:val="both"/>
      </w:pPr>
      <w:r>
        <w:t>Customers must have an SMT account to perform</w:t>
      </w:r>
      <w:r w:rsidR="003944E3">
        <w:t xml:space="preserve"> the following management functions re</w:t>
      </w:r>
      <w:r w:rsidR="00150CF0">
        <w:t>lated to Third Party agreements.</w:t>
      </w:r>
    </w:p>
    <w:p w:rsidR="00600BA7" w:rsidRPr="00600BA7" w:rsidRDefault="00BD6B96" w:rsidP="00AA6DD5">
      <w:pPr>
        <w:pStyle w:val="Heading3"/>
        <w:rPr>
          <w:szCs w:val="24"/>
        </w:rPr>
      </w:pPr>
      <w:r>
        <w:t xml:space="preserve"> </w:t>
      </w:r>
      <w:r w:rsidR="003944E3" w:rsidRPr="0073725F">
        <w:t>Manage</w:t>
      </w:r>
      <w:r w:rsidR="003944E3">
        <w:t xml:space="preserve"> </w:t>
      </w:r>
      <w:r w:rsidR="001F7092">
        <w:t>Third Party Agreement I</w:t>
      </w:r>
      <w:r w:rsidR="003944E3" w:rsidRPr="009A3503">
        <w:t>nvitations</w:t>
      </w:r>
    </w:p>
    <w:p w:rsidR="00600BA7" w:rsidRDefault="00600BA7" w:rsidP="00715EE8">
      <w:pPr>
        <w:spacing w:before="120" w:after="120"/>
        <w:jc w:val="both"/>
      </w:pPr>
      <w:r>
        <w:t xml:space="preserve">In addition to accepting or rejecting an agreement invitation by clicking the appropriate button in the email request, a Customer may accept or reject </w:t>
      </w:r>
      <w:r w:rsidR="00932110">
        <w:t>a pending</w:t>
      </w:r>
      <w:r>
        <w:t xml:space="preserve"> agreement invitation by logging into their SMT account and selecting the agreement.</w:t>
      </w:r>
    </w:p>
    <w:p w:rsidR="003944E3" w:rsidRDefault="00BD6B96" w:rsidP="00AA6DD5">
      <w:pPr>
        <w:pStyle w:val="Heading3"/>
      </w:pPr>
      <w:r>
        <w:t xml:space="preserve"> </w:t>
      </w:r>
      <w:r w:rsidR="00932110">
        <w:t>Search and L</w:t>
      </w:r>
      <w:r w:rsidR="00600BA7">
        <w:t>ist Third Party Agreements</w:t>
      </w:r>
    </w:p>
    <w:p w:rsidR="003A5B82" w:rsidRDefault="00600BA7" w:rsidP="00715EE8">
      <w:pPr>
        <w:spacing w:before="120" w:after="120"/>
        <w:jc w:val="both"/>
      </w:pPr>
      <w:r>
        <w:t>A Customer may request a li</w:t>
      </w:r>
      <w:r w:rsidR="00150CF0">
        <w:t xml:space="preserve">st of Third Party Agreements </w:t>
      </w:r>
      <w:r w:rsidR="00BC7C83">
        <w:t xml:space="preserve">by </w:t>
      </w:r>
      <w:r w:rsidR="00150CF0">
        <w:t>searching on</w:t>
      </w:r>
      <w:r>
        <w:t xml:space="preserve"> </w:t>
      </w:r>
      <w:r w:rsidR="004125A3">
        <w:t xml:space="preserve">the </w:t>
      </w:r>
      <w:r>
        <w:t xml:space="preserve">Third Party name, Agreement number, ESIID, meter number, or </w:t>
      </w:r>
      <w:r w:rsidR="00BD6B96">
        <w:t>In-Home D</w:t>
      </w:r>
      <w:r>
        <w:t>evice MAC address.</w:t>
      </w:r>
    </w:p>
    <w:p w:rsidR="00B75B1D" w:rsidRDefault="00BD6B96" w:rsidP="00AA6DD5">
      <w:pPr>
        <w:pStyle w:val="Heading3"/>
      </w:pPr>
      <w:r>
        <w:t xml:space="preserve"> </w:t>
      </w:r>
      <w:r w:rsidR="00B75B1D">
        <w:t>Manage Third Party Agreements</w:t>
      </w:r>
    </w:p>
    <w:p w:rsidR="00B75B1D" w:rsidRDefault="00B75B1D" w:rsidP="00715EE8">
      <w:pPr>
        <w:spacing w:before="120" w:after="120"/>
        <w:jc w:val="both"/>
        <w:textAlignment w:val="center"/>
      </w:pPr>
      <w:r>
        <w:t>A Customer may extend or terminate an Energy Data Agreement at any time and m</w:t>
      </w:r>
      <w:r w:rsidR="00CC00B4">
        <w:t>ay terminate a</w:t>
      </w:r>
      <w:r w:rsidR="00BD6B96">
        <w:t>n</w:t>
      </w:r>
      <w:r w:rsidR="00CC00B4">
        <w:t xml:space="preserve"> </w:t>
      </w:r>
      <w:r w:rsidR="00BD6B96">
        <w:t xml:space="preserve">In-Home Device </w:t>
      </w:r>
      <w:r w:rsidR="00CC00B4">
        <w:t>Services A</w:t>
      </w:r>
      <w:r>
        <w:t>greement at any time. The Customer does not need the Third Party’s permission to perform these functions.</w:t>
      </w:r>
      <w:r w:rsidR="004D1606" w:rsidRPr="004D1606">
        <w:t xml:space="preserve"> </w:t>
      </w:r>
      <w:r w:rsidR="004D1606">
        <w:t xml:space="preserve">If a Customer moves out of a premise, SMT will automatically terminate all Third Party Agreements and remove any </w:t>
      </w:r>
      <w:r w:rsidR="00BD6B96">
        <w:t>In-Home D</w:t>
      </w:r>
      <w:r w:rsidR="004D1606">
        <w:t>evices</w:t>
      </w:r>
      <w:r w:rsidR="00856567">
        <w:t xml:space="preserve"> from the Customer HAN</w:t>
      </w:r>
      <w:r w:rsidR="004D1606">
        <w:t>.</w:t>
      </w:r>
    </w:p>
    <w:p w:rsidR="003944E3" w:rsidRDefault="00BD6B96" w:rsidP="00AA6DD5">
      <w:pPr>
        <w:pStyle w:val="Heading3"/>
      </w:pPr>
      <w:r>
        <w:t xml:space="preserve"> </w:t>
      </w:r>
      <w:r w:rsidR="003944E3">
        <w:t xml:space="preserve">Manage </w:t>
      </w:r>
      <w:r w:rsidR="00600BA7">
        <w:t>HAN devices</w:t>
      </w:r>
    </w:p>
    <w:p w:rsidR="00600BA7" w:rsidRDefault="00751091" w:rsidP="00715EE8">
      <w:pPr>
        <w:spacing w:before="120" w:after="120"/>
        <w:jc w:val="both"/>
      </w:pPr>
      <w:r>
        <w:t xml:space="preserve">A Customer may view a list of their </w:t>
      </w:r>
      <w:r w:rsidR="00856567">
        <w:t>In-Home D</w:t>
      </w:r>
      <w:r>
        <w:t>evices</w:t>
      </w:r>
      <w:r w:rsidR="00150CF0">
        <w:t xml:space="preserve"> and view</w:t>
      </w:r>
      <w:r>
        <w:t xml:space="preserve"> </w:t>
      </w:r>
      <w:r w:rsidR="00856567">
        <w:t>In-Home</w:t>
      </w:r>
      <w:r>
        <w:t xml:space="preserve"> </w:t>
      </w:r>
      <w:r w:rsidR="00856567">
        <w:t>D</w:t>
      </w:r>
      <w:r>
        <w:t>evice information</w:t>
      </w:r>
      <w:r w:rsidR="001A47E0">
        <w:t xml:space="preserve"> (e.g.</w:t>
      </w:r>
      <w:r w:rsidR="00667BE9">
        <w:t>,</w:t>
      </w:r>
      <w:r w:rsidR="001A47E0">
        <w:t xml:space="preserve"> description, type of device, MAC address, etc.)</w:t>
      </w:r>
      <w:r>
        <w:t xml:space="preserve">. </w:t>
      </w:r>
      <w:r w:rsidR="00600BA7">
        <w:t xml:space="preserve">A Customer may </w:t>
      </w:r>
      <w:r>
        <w:t xml:space="preserve">also </w:t>
      </w:r>
      <w:r w:rsidR="00600BA7">
        <w:t>add or remove a</w:t>
      </w:r>
      <w:r w:rsidR="00856567">
        <w:t>n</w:t>
      </w:r>
      <w:r w:rsidR="00600BA7">
        <w:t xml:space="preserve"> </w:t>
      </w:r>
      <w:r w:rsidR="00856567">
        <w:t>In-Home</w:t>
      </w:r>
      <w:r w:rsidR="000A59E4">
        <w:t xml:space="preserve"> </w:t>
      </w:r>
      <w:r w:rsidR="00856567">
        <w:t>D</w:t>
      </w:r>
      <w:r w:rsidR="00600BA7">
        <w:t xml:space="preserve">evice from their HAN. If the Customer </w:t>
      </w:r>
      <w:r w:rsidR="00150CF0">
        <w:t>removes a</w:t>
      </w:r>
      <w:r w:rsidR="00856567">
        <w:t>n</w:t>
      </w:r>
      <w:r w:rsidR="00150CF0">
        <w:t xml:space="preserve"> </w:t>
      </w:r>
      <w:r w:rsidR="00856567">
        <w:t>In-Home D</w:t>
      </w:r>
      <w:r w:rsidR="00150CF0">
        <w:t xml:space="preserve">evice, any </w:t>
      </w:r>
      <w:r w:rsidR="00856567">
        <w:t xml:space="preserve">In-Home Device </w:t>
      </w:r>
      <w:r w:rsidR="00D677B0">
        <w:t>Services A</w:t>
      </w:r>
      <w:r w:rsidR="00600BA7">
        <w:t xml:space="preserve">greement </w:t>
      </w:r>
      <w:r w:rsidR="00D677B0">
        <w:t xml:space="preserve">associated </w:t>
      </w:r>
      <w:r w:rsidR="00150CF0">
        <w:t>with that</w:t>
      </w:r>
      <w:r w:rsidR="00600BA7">
        <w:t xml:space="preserve"> </w:t>
      </w:r>
      <w:r w:rsidR="00856567">
        <w:t>In-Home D</w:t>
      </w:r>
      <w:r w:rsidR="00D677B0">
        <w:t xml:space="preserve">evice </w:t>
      </w:r>
      <w:r w:rsidR="004125A3">
        <w:t>is</w:t>
      </w:r>
      <w:r w:rsidR="00600BA7">
        <w:t xml:space="preserve"> automatically terminated</w:t>
      </w:r>
      <w:r w:rsidR="00856567">
        <w:t xml:space="preserve"> and the Customer is asked whether or not they want In-Home Device agreement to remain active</w:t>
      </w:r>
      <w:r w:rsidR="00D677B0">
        <w:t>. The Customer does not need the Third Party’s permission to remove a</w:t>
      </w:r>
      <w:r w:rsidR="00856567">
        <w:t>n</w:t>
      </w:r>
      <w:r w:rsidR="00D677B0">
        <w:t xml:space="preserve"> </w:t>
      </w:r>
      <w:r w:rsidR="00856567">
        <w:t>In-Home</w:t>
      </w:r>
      <w:r w:rsidR="00D677B0">
        <w:t xml:space="preserve"> </w:t>
      </w:r>
      <w:r w:rsidR="00856567">
        <w:t>D</w:t>
      </w:r>
      <w:r w:rsidR="00D677B0">
        <w:t xml:space="preserve">evice that is </w:t>
      </w:r>
      <w:r w:rsidR="00120155">
        <w:t>associated with</w:t>
      </w:r>
      <w:r w:rsidR="00D677B0">
        <w:t xml:space="preserve"> a</w:t>
      </w:r>
      <w:r w:rsidR="00856567">
        <w:t>n</w:t>
      </w:r>
      <w:r w:rsidR="00D677B0">
        <w:t xml:space="preserve"> </w:t>
      </w:r>
      <w:r w:rsidR="00856567">
        <w:t xml:space="preserve">In-Home </w:t>
      </w:r>
      <w:r w:rsidR="00D677B0">
        <w:t xml:space="preserve">Device or </w:t>
      </w:r>
      <w:r w:rsidR="00856567">
        <w:t>In-Home Device</w:t>
      </w:r>
      <w:r w:rsidR="00D677B0">
        <w:t xml:space="preserve"> Services Agreement. </w:t>
      </w:r>
    </w:p>
    <w:p w:rsidR="002F4154" w:rsidRDefault="00124FA2" w:rsidP="00AA6DD5">
      <w:pPr>
        <w:pStyle w:val="Heading3"/>
      </w:pPr>
      <w:r>
        <w:t xml:space="preserve"> </w:t>
      </w:r>
      <w:r w:rsidR="003944E3" w:rsidRPr="00EC07F6">
        <w:t xml:space="preserve">View </w:t>
      </w:r>
      <w:r w:rsidR="002F4154">
        <w:t>Third Party activity</w:t>
      </w:r>
    </w:p>
    <w:p w:rsidR="003944E3" w:rsidRPr="003944E3" w:rsidRDefault="002F4154" w:rsidP="00715EE8">
      <w:pPr>
        <w:spacing w:before="120" w:after="120"/>
        <w:jc w:val="both"/>
        <w:textAlignment w:val="center"/>
      </w:pPr>
      <w:r>
        <w:t xml:space="preserve">A Customer may view a </w:t>
      </w:r>
      <w:r w:rsidR="003944E3">
        <w:t xml:space="preserve">history of usage reports that </w:t>
      </w:r>
      <w:r w:rsidR="00AC4D2A">
        <w:t>a Third Party has requested</w:t>
      </w:r>
      <w:r w:rsidR="003944E3">
        <w:t xml:space="preserve"> </w:t>
      </w:r>
      <w:r w:rsidR="001E036C">
        <w:t xml:space="preserve">during the most recent 3 months </w:t>
      </w:r>
      <w:r>
        <w:t>on their ESIIDs.</w:t>
      </w:r>
    </w:p>
    <w:p w:rsidR="005F45FD" w:rsidRDefault="005F45FD" w:rsidP="008D12E1">
      <w:pPr>
        <w:pStyle w:val="Heading2"/>
        <w:tabs>
          <w:tab w:val="clear" w:pos="576"/>
        </w:tabs>
        <w:ind w:left="0" w:hanging="540"/>
      </w:pPr>
      <w:bookmarkStart w:id="69" w:name="_Ref351735032"/>
      <w:bookmarkStart w:id="70" w:name="_Ref351735039"/>
      <w:bookmarkStart w:id="71" w:name="_Toc401563549"/>
      <w:r>
        <w:t>Third Parties</w:t>
      </w:r>
      <w:bookmarkEnd w:id="69"/>
      <w:bookmarkEnd w:id="70"/>
      <w:bookmarkEnd w:id="71"/>
    </w:p>
    <w:p w:rsidR="00D507FB" w:rsidRPr="00D507FB" w:rsidRDefault="00D507FB" w:rsidP="00715EE8">
      <w:pPr>
        <w:jc w:val="both"/>
      </w:pPr>
      <w:r>
        <w:t>Third Parties have similar functions related to the management of their Customer agreement</w:t>
      </w:r>
      <w:r w:rsidR="00B5431E">
        <w:t>s.</w:t>
      </w:r>
    </w:p>
    <w:p w:rsidR="00751091" w:rsidRPr="00751091" w:rsidRDefault="00124FA2" w:rsidP="00AA6DD5">
      <w:pPr>
        <w:pStyle w:val="Heading3"/>
      </w:pPr>
      <w:r>
        <w:t xml:space="preserve"> </w:t>
      </w:r>
      <w:r w:rsidR="00D507FB">
        <w:t xml:space="preserve">Manage </w:t>
      </w:r>
      <w:r w:rsidR="0073725F">
        <w:t>Customer A</w:t>
      </w:r>
      <w:r w:rsidR="00751091">
        <w:t>greements</w:t>
      </w:r>
    </w:p>
    <w:p w:rsidR="00311C1A" w:rsidRDefault="00751091" w:rsidP="00715EE8">
      <w:pPr>
        <w:spacing w:before="120" w:after="120"/>
        <w:jc w:val="both"/>
      </w:pPr>
      <w:r>
        <w:t xml:space="preserve">A Third Party may </w:t>
      </w:r>
      <w:r w:rsidR="00D507FB">
        <w:t>initiate</w:t>
      </w:r>
      <w:r>
        <w:t xml:space="preserve"> an agreement invitation, resend an </w:t>
      </w:r>
      <w:r w:rsidR="009439EA">
        <w:t>invitation, initiate</w:t>
      </w:r>
      <w:r w:rsidR="00F05C36">
        <w:t xml:space="preserve"> a re</w:t>
      </w:r>
      <w:r w:rsidR="00B75B1D">
        <w:t>quest to extend an Energy Data A</w:t>
      </w:r>
      <w:r w:rsidR="00F05C36">
        <w:t xml:space="preserve">greement, </w:t>
      </w:r>
      <w:r w:rsidR="00643C16">
        <w:t xml:space="preserve">resend </w:t>
      </w:r>
      <w:r w:rsidR="00CC00B4">
        <w:t xml:space="preserve">an </w:t>
      </w:r>
      <w:r w:rsidR="00643C16">
        <w:t xml:space="preserve">extension request, </w:t>
      </w:r>
      <w:r w:rsidR="00311C1A">
        <w:t xml:space="preserve">view and </w:t>
      </w:r>
      <w:r w:rsidR="00643C16">
        <w:t xml:space="preserve">export a list of Customer agreements, </w:t>
      </w:r>
      <w:r>
        <w:t>or</w:t>
      </w:r>
      <w:r w:rsidR="00D507FB">
        <w:t xml:space="preserve"> terminate</w:t>
      </w:r>
      <w:r w:rsidR="00CC00B4">
        <w:t xml:space="preserve"> an active </w:t>
      </w:r>
      <w:r w:rsidR="002E58A0">
        <w:t>Energy</w:t>
      </w:r>
      <w:r w:rsidR="00CC00B4">
        <w:t xml:space="preserve"> Data or </w:t>
      </w:r>
      <w:r w:rsidR="00124FA2">
        <w:t xml:space="preserve">In-Home Device </w:t>
      </w:r>
      <w:r w:rsidR="00CC00B4">
        <w:t>Services Agreement</w:t>
      </w:r>
      <w:r>
        <w:t>.</w:t>
      </w:r>
      <w:r w:rsidR="00D507FB">
        <w:t xml:space="preserve"> </w:t>
      </w:r>
      <w:r w:rsidR="002E58A0">
        <w:t>The Third Party does not need the Customer’s permission to terminate an active agreement.</w:t>
      </w:r>
      <w:r w:rsidR="000B6476">
        <w:t xml:space="preserve"> </w:t>
      </w:r>
      <w:r w:rsidR="004D1606">
        <w:t xml:space="preserve">If a Customer moves out of a premise, SMT will automatically terminate all agreements and remove any </w:t>
      </w:r>
      <w:r w:rsidR="00124FA2">
        <w:t xml:space="preserve">In-Home </w:t>
      </w:r>
      <w:r w:rsidR="004D1606">
        <w:t>devices associated with that Customer.</w:t>
      </w:r>
    </w:p>
    <w:p w:rsidR="00311C1A" w:rsidRDefault="00CE48DF" w:rsidP="00311C1A">
      <w:pPr>
        <w:spacing w:before="120" w:after="120"/>
      </w:pPr>
      <w:r>
        <w:fldChar w:fldCharType="begin"/>
      </w:r>
      <w:r w:rsidR="00311C1A">
        <w:instrText xml:space="preserve"> REF _Ref352077925 \h </w:instrText>
      </w:r>
      <w:r>
        <w:fldChar w:fldCharType="separate"/>
      </w:r>
      <w:r w:rsidR="00F609FD">
        <w:t xml:space="preserve">Figure </w:t>
      </w:r>
      <w:r w:rsidR="00F609FD">
        <w:rPr>
          <w:noProof/>
        </w:rPr>
        <w:t>8</w:t>
      </w:r>
      <w:r>
        <w:fldChar w:fldCharType="end"/>
      </w:r>
      <w:r w:rsidR="00311C1A">
        <w:t xml:space="preserve"> shows a list of Third Party Energy Data Agreements by Agreement Number.</w:t>
      </w:r>
    </w:p>
    <w:p w:rsidR="00311C1A" w:rsidRDefault="00311C1A" w:rsidP="00311C1A">
      <w:pPr>
        <w:spacing w:before="120" w:after="120"/>
        <w:jc w:val="center"/>
      </w:pPr>
    </w:p>
    <w:p w:rsidR="00124FA2" w:rsidRDefault="00124FA2" w:rsidP="00311C1A">
      <w:pPr>
        <w:pStyle w:val="Caption"/>
        <w:rPr>
          <w:rFonts w:ascii="Arial" w:hAnsi="Arial"/>
          <w:sz w:val="20"/>
          <w:szCs w:val="20"/>
        </w:rPr>
      </w:pPr>
      <w:bookmarkStart w:id="72" w:name="_Ref352077925"/>
      <w:bookmarkStart w:id="73" w:name="_Toc367210602"/>
      <w:r w:rsidRPr="00124FA2">
        <w:rPr>
          <w:noProof/>
        </w:rPr>
        <w:drawing>
          <wp:inline distT="0" distB="0" distL="0" distR="0" wp14:anchorId="68FF456B" wp14:editId="24170253">
            <wp:extent cx="5943600" cy="3649801"/>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649801"/>
                    </a:xfrm>
                    <a:prstGeom prst="rect">
                      <a:avLst/>
                    </a:prstGeom>
                    <a:noFill/>
                    <a:ln>
                      <a:noFill/>
                    </a:ln>
                  </pic:spPr>
                </pic:pic>
              </a:graphicData>
            </a:graphic>
          </wp:inline>
        </w:drawing>
      </w:r>
    </w:p>
    <w:p w:rsidR="00311C1A" w:rsidRPr="00A139CA" w:rsidRDefault="00311C1A" w:rsidP="00311C1A">
      <w:pPr>
        <w:pStyle w:val="Caption"/>
        <w:rPr>
          <w:rFonts w:ascii="Arial" w:hAnsi="Arial"/>
          <w:sz w:val="20"/>
          <w:szCs w:val="20"/>
        </w:rPr>
      </w:pPr>
      <w:r w:rsidRPr="00A139CA">
        <w:rPr>
          <w:rFonts w:ascii="Arial" w:hAnsi="Arial"/>
          <w:sz w:val="20"/>
          <w:szCs w:val="20"/>
        </w:rPr>
        <w:t xml:space="preserve">Figure </w:t>
      </w:r>
      <w:r w:rsidR="00CE48DF" w:rsidRPr="00A139CA">
        <w:rPr>
          <w:rFonts w:ascii="Arial" w:hAnsi="Arial"/>
          <w:sz w:val="20"/>
          <w:szCs w:val="20"/>
        </w:rPr>
        <w:fldChar w:fldCharType="begin"/>
      </w:r>
      <w:r w:rsidR="00CE48DF" w:rsidRPr="00A139CA">
        <w:rPr>
          <w:rFonts w:ascii="Arial" w:hAnsi="Arial"/>
          <w:sz w:val="20"/>
          <w:szCs w:val="20"/>
        </w:rPr>
        <w:instrText xml:space="preserve"> SEQ Figure \* ARABIC </w:instrText>
      </w:r>
      <w:r w:rsidR="00CE48DF" w:rsidRPr="00A139CA">
        <w:rPr>
          <w:rFonts w:ascii="Arial" w:hAnsi="Arial"/>
          <w:sz w:val="20"/>
          <w:szCs w:val="20"/>
        </w:rPr>
        <w:fldChar w:fldCharType="separate"/>
      </w:r>
      <w:r w:rsidR="00F609FD" w:rsidRPr="00A139CA">
        <w:rPr>
          <w:rFonts w:ascii="Arial" w:hAnsi="Arial"/>
          <w:noProof/>
          <w:sz w:val="20"/>
          <w:szCs w:val="20"/>
        </w:rPr>
        <w:t>8</w:t>
      </w:r>
      <w:r w:rsidR="00CE48DF" w:rsidRPr="00A139CA">
        <w:rPr>
          <w:rFonts w:ascii="Arial" w:hAnsi="Arial"/>
          <w:sz w:val="20"/>
          <w:szCs w:val="20"/>
        </w:rPr>
        <w:fldChar w:fldCharType="end"/>
      </w:r>
      <w:bookmarkEnd w:id="72"/>
      <w:r w:rsidRPr="00A139CA">
        <w:rPr>
          <w:rFonts w:ascii="Arial" w:hAnsi="Arial"/>
          <w:sz w:val="20"/>
          <w:szCs w:val="20"/>
        </w:rPr>
        <w:t>: Energy Data Agreements by Agreement Number</w:t>
      </w:r>
      <w:bookmarkEnd w:id="73"/>
    </w:p>
    <w:p w:rsidR="00775DFB" w:rsidRPr="00775DFB" w:rsidRDefault="00124FA2" w:rsidP="00AA6DD5">
      <w:pPr>
        <w:pStyle w:val="Heading3"/>
      </w:pPr>
      <w:r>
        <w:t xml:space="preserve"> </w:t>
      </w:r>
      <w:r w:rsidR="00775DFB">
        <w:t xml:space="preserve">Manage </w:t>
      </w:r>
      <w:r w:rsidR="0073725F">
        <w:t>HAN D</w:t>
      </w:r>
      <w:r w:rsidR="00D507FB">
        <w:t xml:space="preserve">evices </w:t>
      </w:r>
    </w:p>
    <w:p w:rsidR="00285F50" w:rsidRDefault="00DC6525" w:rsidP="00715EE8">
      <w:pPr>
        <w:jc w:val="both"/>
      </w:pPr>
      <w:r>
        <w:t xml:space="preserve">For those Customers </w:t>
      </w:r>
      <w:r w:rsidR="00B75B1D">
        <w:t>that have</w:t>
      </w:r>
      <w:r>
        <w:t xml:space="preserve"> an active </w:t>
      </w:r>
      <w:r w:rsidR="00124FA2">
        <w:t xml:space="preserve">In-Home </w:t>
      </w:r>
      <w:r>
        <w:t>Device Agreement</w:t>
      </w:r>
      <w:r w:rsidR="00B75B1D">
        <w:t xml:space="preserve"> with </w:t>
      </w:r>
      <w:r w:rsidR="00FB1AC0">
        <w:t>a</w:t>
      </w:r>
      <w:r w:rsidR="00B75B1D">
        <w:t xml:space="preserve"> Third Party</w:t>
      </w:r>
      <w:r w:rsidR="00F95415">
        <w:t xml:space="preserve">, the Third Party </w:t>
      </w:r>
      <w:r>
        <w:t xml:space="preserve">may view a list of </w:t>
      </w:r>
      <w:r w:rsidR="00124FA2">
        <w:t>In-Home D</w:t>
      </w:r>
      <w:r>
        <w:t>evices</w:t>
      </w:r>
      <w:r w:rsidR="00B75B1D">
        <w:t xml:space="preserve"> and</w:t>
      </w:r>
      <w:r w:rsidR="00780CD6">
        <w:t xml:space="preserve"> </w:t>
      </w:r>
      <w:r w:rsidR="00124FA2">
        <w:t xml:space="preserve">In-Home </w:t>
      </w:r>
      <w:r w:rsidR="00980861">
        <w:t>D</w:t>
      </w:r>
      <w:r w:rsidR="001A47E0">
        <w:t>evice information (e.g.</w:t>
      </w:r>
      <w:r w:rsidR="00667BE9">
        <w:t>,</w:t>
      </w:r>
      <w:r w:rsidR="001A47E0">
        <w:t xml:space="preserve"> description, type of device, MAC address, etc.)</w:t>
      </w:r>
      <w:r w:rsidR="00B939ED">
        <w:t xml:space="preserve"> or </w:t>
      </w:r>
      <w:r w:rsidR="008305A5">
        <w:t xml:space="preserve">the Third Party can </w:t>
      </w:r>
      <w:r w:rsidR="004E17F1">
        <w:t>resend a request to</w:t>
      </w:r>
      <w:r w:rsidR="000E5C46">
        <w:t xml:space="preserve"> add a</w:t>
      </w:r>
      <w:r w:rsidR="00980861">
        <w:t>n</w:t>
      </w:r>
      <w:r w:rsidR="000E5C46">
        <w:t xml:space="preserve"> </w:t>
      </w:r>
      <w:r w:rsidR="00980861">
        <w:t>In-Home</w:t>
      </w:r>
      <w:r w:rsidR="000A59E4">
        <w:t xml:space="preserve"> </w:t>
      </w:r>
      <w:r w:rsidR="00980861">
        <w:t>D</w:t>
      </w:r>
      <w:r w:rsidR="000E5C46">
        <w:t>evice</w:t>
      </w:r>
      <w:r w:rsidR="004E17F1">
        <w:rPr>
          <w:rStyle w:val="FootnoteReference"/>
        </w:rPr>
        <w:footnoteReference w:id="15"/>
      </w:r>
      <w:r w:rsidR="004E17F1">
        <w:t xml:space="preserve"> or </w:t>
      </w:r>
      <w:r w:rsidR="000E5C46">
        <w:t xml:space="preserve">request to </w:t>
      </w:r>
      <w:r>
        <w:t>remove a</w:t>
      </w:r>
      <w:r w:rsidR="00980861">
        <w:t>n</w:t>
      </w:r>
      <w:r>
        <w:t xml:space="preserve"> </w:t>
      </w:r>
      <w:r w:rsidR="00980861">
        <w:t>In-Home D</w:t>
      </w:r>
      <w:r>
        <w:t xml:space="preserve">evice. The </w:t>
      </w:r>
      <w:r w:rsidR="00F95415">
        <w:t>Third Party does not need the Customer</w:t>
      </w:r>
      <w:r>
        <w:t>’s pe</w:t>
      </w:r>
      <w:r w:rsidR="00285F50">
        <w:t>rmission to remove a</w:t>
      </w:r>
      <w:r w:rsidR="00980861">
        <w:t>n In-Home D</w:t>
      </w:r>
      <w:r w:rsidR="00285F50">
        <w:t>evice; however, the</w:t>
      </w:r>
      <w:r>
        <w:t xml:space="preserve"> </w:t>
      </w:r>
      <w:r w:rsidR="00285F50">
        <w:t>Third Party must provide a reason, selected from a dropdown menu, for removing a</w:t>
      </w:r>
      <w:r w:rsidR="00980861">
        <w:t>n</w:t>
      </w:r>
      <w:r w:rsidR="00285F50">
        <w:t xml:space="preserve"> </w:t>
      </w:r>
      <w:r w:rsidR="00980861">
        <w:t>In-Home D</w:t>
      </w:r>
      <w:r w:rsidR="00285F50">
        <w:t>evice.</w:t>
      </w:r>
      <w:r w:rsidR="000B6476">
        <w:t xml:space="preserve"> </w:t>
      </w:r>
    </w:p>
    <w:p w:rsidR="00A977F4" w:rsidRDefault="00A977F4" w:rsidP="00715EE8">
      <w:pPr>
        <w:jc w:val="both"/>
      </w:pPr>
      <w:r>
        <w:t xml:space="preserve">Third Parties may also view a list of </w:t>
      </w:r>
      <w:r w:rsidR="00980861">
        <w:t>In-Home D</w:t>
      </w:r>
      <w:r>
        <w:t xml:space="preserve">evices that have been added or removed from the Customer’s HAN as well as a history of all failed requests to add or remove </w:t>
      </w:r>
      <w:r w:rsidR="00980861">
        <w:t>In-Home D</w:t>
      </w:r>
      <w:r>
        <w:t xml:space="preserve">evices for a period of up to thirteen months. </w:t>
      </w:r>
    </w:p>
    <w:p w:rsidR="00176021" w:rsidRPr="00176021" w:rsidRDefault="00980861" w:rsidP="00AA6DD5">
      <w:pPr>
        <w:pStyle w:val="Heading3"/>
      </w:pPr>
      <w:r>
        <w:t xml:space="preserve"> </w:t>
      </w:r>
      <w:r w:rsidR="0073725F">
        <w:t>View and Export Energy D</w:t>
      </w:r>
      <w:r w:rsidR="00D507FB">
        <w:t xml:space="preserve">ata </w:t>
      </w:r>
    </w:p>
    <w:p w:rsidR="007D6E34" w:rsidRDefault="00176021" w:rsidP="00715EE8">
      <w:pPr>
        <w:jc w:val="both"/>
      </w:pPr>
      <w:r>
        <w:t xml:space="preserve">For those Customers </w:t>
      </w:r>
      <w:r w:rsidR="00312C82">
        <w:t>that have</w:t>
      </w:r>
      <w:r w:rsidR="001A0F0D">
        <w:t xml:space="preserve"> an active Energy Data A</w:t>
      </w:r>
      <w:r>
        <w:t>greement</w:t>
      </w:r>
      <w:r w:rsidR="00312C82">
        <w:t xml:space="preserve"> with the Third Party</w:t>
      </w:r>
      <w:r>
        <w:t xml:space="preserve">, the Third Party may view and export </w:t>
      </w:r>
      <w:r w:rsidR="00D507FB">
        <w:t xml:space="preserve">usage data, meter information, </w:t>
      </w:r>
      <w:r>
        <w:t xml:space="preserve">and </w:t>
      </w:r>
      <w:r w:rsidR="00D507FB">
        <w:t>premise information</w:t>
      </w:r>
      <w:r>
        <w:t>.</w:t>
      </w:r>
      <w:r w:rsidR="007D6E34" w:rsidRPr="007D6E34">
        <w:t xml:space="preserve"> </w:t>
      </w:r>
      <w:r w:rsidR="007D6E34">
        <w:t>The following types of usage reports may be requested:</w:t>
      </w:r>
    </w:p>
    <w:p w:rsidR="00FB1AC0" w:rsidRDefault="00FB1AC0" w:rsidP="00FB1AC0">
      <w:pPr>
        <w:numPr>
          <w:ilvl w:val="0"/>
          <w:numId w:val="15"/>
        </w:numPr>
        <w:spacing w:before="0" w:after="0"/>
        <w:jc w:val="both"/>
      </w:pPr>
      <w:r>
        <w:t>On-demand meter reads</w:t>
      </w:r>
    </w:p>
    <w:p w:rsidR="007D6E34" w:rsidRDefault="007D6E34" w:rsidP="00715EE8">
      <w:pPr>
        <w:numPr>
          <w:ilvl w:val="0"/>
          <w:numId w:val="15"/>
        </w:numPr>
        <w:spacing w:before="0" w:after="0"/>
        <w:jc w:val="both"/>
      </w:pPr>
      <w:r>
        <w:t>15-minute interval usage</w:t>
      </w:r>
      <w:r w:rsidR="00F85AAD">
        <w:t xml:space="preserve"> (see </w:t>
      </w:r>
      <w:r w:rsidR="00BD0700">
        <w:fldChar w:fldCharType="begin"/>
      </w:r>
      <w:r w:rsidR="00BD0700">
        <w:instrText xml:space="preserve"> REF _Ref352076715 \h  \* MERGEFORMAT </w:instrText>
      </w:r>
      <w:r w:rsidR="00BD0700">
        <w:fldChar w:fldCharType="separate"/>
      </w:r>
      <w:r w:rsidR="00F609FD">
        <w:t>Figure 9</w:t>
      </w:r>
      <w:r w:rsidR="00BD0700">
        <w:fldChar w:fldCharType="end"/>
      </w:r>
      <w:r w:rsidR="00F85AAD">
        <w:t>)</w:t>
      </w:r>
    </w:p>
    <w:p w:rsidR="007D6E34" w:rsidRDefault="007D6E34" w:rsidP="00715EE8">
      <w:pPr>
        <w:numPr>
          <w:ilvl w:val="0"/>
          <w:numId w:val="15"/>
        </w:numPr>
        <w:spacing w:before="0" w:after="0"/>
        <w:jc w:val="both"/>
      </w:pPr>
      <w:r>
        <w:t>Daily usage</w:t>
      </w:r>
    </w:p>
    <w:p w:rsidR="007D6E34" w:rsidRDefault="007D6E34" w:rsidP="00715EE8">
      <w:pPr>
        <w:numPr>
          <w:ilvl w:val="0"/>
          <w:numId w:val="15"/>
        </w:numPr>
        <w:spacing w:before="0" w:after="0"/>
        <w:jc w:val="both"/>
      </w:pPr>
      <w:r>
        <w:t>Monthly usage</w:t>
      </w:r>
    </w:p>
    <w:p w:rsidR="001A0F0D" w:rsidRPr="001A0F0D" w:rsidRDefault="00A05611" w:rsidP="00715EE8">
      <w:pPr>
        <w:jc w:val="both"/>
      </w:pPr>
      <w:r>
        <w:t xml:space="preserve">The Third Party may import a file of ESIIDs and SMT will create a separate report file for each ESIID. Up to </w:t>
      </w:r>
      <w:r w:rsidR="00980861">
        <w:t>twelve</w:t>
      </w:r>
      <w:r>
        <w:t xml:space="preserve"> months of historical usage information may be requested. For security reasons, all export files are sent to the Third Party’s FTPS folder rather than the Third Party’s email address.</w:t>
      </w:r>
      <w:r w:rsidR="001A0F0D" w:rsidRPr="001A0F0D">
        <w:t xml:space="preserve"> </w:t>
      </w:r>
      <w:r w:rsidR="001A0F0D">
        <w:t xml:space="preserve">Third Parties who have Energy Data Agreements with durations from one month up to one year may request scheduled reports that export requested data (i.e., daily 15-minute usage, daily meter read, </w:t>
      </w:r>
      <w:r w:rsidR="00664BA1">
        <w:t xml:space="preserve">or </w:t>
      </w:r>
      <w:r w:rsidR="001A0F0D">
        <w:t>monthly) for a time period requested, not to exceed the term of the agreement with the Customer.</w:t>
      </w:r>
      <w:r w:rsidR="001A0F0D" w:rsidRPr="00431176">
        <w:t xml:space="preserve"> </w:t>
      </w:r>
      <w:r w:rsidR="001A0F0D">
        <w:t xml:space="preserve">For example, </w:t>
      </w:r>
      <w:r w:rsidR="00664BA1">
        <w:t xml:space="preserve">a Third Party may create a schedule that will export a Customer’s </w:t>
      </w:r>
      <w:r w:rsidR="001A0F0D">
        <w:t xml:space="preserve">15 minute usage </w:t>
      </w:r>
      <w:r w:rsidR="00664BA1">
        <w:t>data</w:t>
      </w:r>
      <w:r w:rsidR="001A0F0D" w:rsidRPr="009B1784">
        <w:t xml:space="preserve"> </w:t>
      </w:r>
      <w:r w:rsidR="00664BA1">
        <w:t>on a daily basis for the next three months</w:t>
      </w:r>
      <w:r w:rsidR="001A0F0D">
        <w:t xml:space="preserve">. These reports may be scheduled on the web portal </w:t>
      </w:r>
      <w:r w:rsidR="00980861">
        <w:t>or requested using a usage API. The reports</w:t>
      </w:r>
      <w:r w:rsidR="001A0F0D">
        <w:t xml:space="preserve"> will be sent to the Third Party’s FTPS folder. </w:t>
      </w:r>
    </w:p>
    <w:p w:rsidR="00A05611" w:rsidRPr="00176021" w:rsidRDefault="00A05611" w:rsidP="00A05611">
      <w:pPr>
        <w:jc w:val="both"/>
      </w:pPr>
    </w:p>
    <w:p w:rsidR="00A05611" w:rsidRDefault="00A05611" w:rsidP="00A05611">
      <w:pPr>
        <w:spacing w:before="0" w:after="0"/>
      </w:pPr>
    </w:p>
    <w:p w:rsidR="00F85AAD" w:rsidRDefault="00F85AAD" w:rsidP="00F85AAD">
      <w:pPr>
        <w:keepNext/>
        <w:jc w:val="center"/>
      </w:pPr>
    </w:p>
    <w:p w:rsidR="00ED5EC1" w:rsidRDefault="000F79A1" w:rsidP="00F85AAD">
      <w:pPr>
        <w:pStyle w:val="Caption"/>
        <w:rPr>
          <w:rFonts w:ascii="Arial" w:hAnsi="Arial"/>
          <w:sz w:val="20"/>
          <w:szCs w:val="20"/>
        </w:rPr>
      </w:pPr>
      <w:bookmarkStart w:id="74" w:name="_Ref352076715"/>
      <w:bookmarkStart w:id="75" w:name="_Toc367210603"/>
      <w:r w:rsidRPr="000F79A1">
        <w:rPr>
          <w:noProof/>
        </w:rPr>
        <w:drawing>
          <wp:inline distT="0" distB="0" distL="0" distR="0" wp14:anchorId="21C0E593" wp14:editId="0033ED75">
            <wp:extent cx="5943600" cy="3656138"/>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656138"/>
                    </a:xfrm>
                    <a:prstGeom prst="rect">
                      <a:avLst/>
                    </a:prstGeom>
                    <a:noFill/>
                    <a:ln>
                      <a:noFill/>
                    </a:ln>
                  </pic:spPr>
                </pic:pic>
              </a:graphicData>
            </a:graphic>
          </wp:inline>
        </w:drawing>
      </w:r>
    </w:p>
    <w:p w:rsidR="000F79A1" w:rsidRDefault="000F79A1" w:rsidP="00F85AAD">
      <w:pPr>
        <w:pStyle w:val="Caption"/>
        <w:rPr>
          <w:rFonts w:ascii="Arial" w:hAnsi="Arial"/>
          <w:sz w:val="20"/>
          <w:szCs w:val="20"/>
        </w:rPr>
      </w:pPr>
      <w:r w:rsidRPr="000F79A1">
        <w:rPr>
          <w:noProof/>
        </w:rPr>
        <w:drawing>
          <wp:inline distT="0" distB="0" distL="0" distR="0" wp14:anchorId="632945B1" wp14:editId="41638D3D">
            <wp:extent cx="5943600" cy="37004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700493"/>
                    </a:xfrm>
                    <a:prstGeom prst="rect">
                      <a:avLst/>
                    </a:prstGeom>
                    <a:noFill/>
                    <a:ln>
                      <a:noFill/>
                    </a:ln>
                  </pic:spPr>
                </pic:pic>
              </a:graphicData>
            </a:graphic>
          </wp:inline>
        </w:drawing>
      </w:r>
    </w:p>
    <w:p w:rsidR="00F85AAD" w:rsidRPr="00A139CA" w:rsidRDefault="00F85AAD" w:rsidP="00F85AAD">
      <w:pPr>
        <w:pStyle w:val="Caption"/>
        <w:rPr>
          <w:rFonts w:ascii="Arial" w:hAnsi="Arial"/>
          <w:sz w:val="20"/>
          <w:szCs w:val="20"/>
        </w:rPr>
      </w:pPr>
      <w:r w:rsidRPr="00A139CA">
        <w:rPr>
          <w:rFonts w:ascii="Arial" w:hAnsi="Arial"/>
          <w:sz w:val="20"/>
          <w:szCs w:val="20"/>
        </w:rPr>
        <w:t xml:space="preserve">Figure </w:t>
      </w:r>
      <w:r w:rsidR="00CE48DF" w:rsidRPr="00A139CA">
        <w:rPr>
          <w:rFonts w:ascii="Arial" w:hAnsi="Arial"/>
          <w:sz w:val="20"/>
          <w:szCs w:val="20"/>
        </w:rPr>
        <w:fldChar w:fldCharType="begin"/>
      </w:r>
      <w:r w:rsidR="00CE48DF" w:rsidRPr="00A139CA">
        <w:rPr>
          <w:rFonts w:ascii="Arial" w:hAnsi="Arial"/>
          <w:sz w:val="20"/>
          <w:szCs w:val="20"/>
        </w:rPr>
        <w:instrText xml:space="preserve"> SEQ Figure \* ARABIC </w:instrText>
      </w:r>
      <w:r w:rsidR="00CE48DF" w:rsidRPr="00A139CA">
        <w:rPr>
          <w:rFonts w:ascii="Arial" w:hAnsi="Arial"/>
          <w:sz w:val="20"/>
          <w:szCs w:val="20"/>
        </w:rPr>
        <w:fldChar w:fldCharType="separate"/>
      </w:r>
      <w:r w:rsidR="00F609FD" w:rsidRPr="00A139CA">
        <w:rPr>
          <w:rFonts w:ascii="Arial" w:hAnsi="Arial"/>
          <w:noProof/>
          <w:sz w:val="20"/>
          <w:szCs w:val="20"/>
        </w:rPr>
        <w:t>9</w:t>
      </w:r>
      <w:r w:rsidR="00CE48DF" w:rsidRPr="00A139CA">
        <w:rPr>
          <w:rFonts w:ascii="Arial" w:hAnsi="Arial"/>
          <w:sz w:val="20"/>
          <w:szCs w:val="20"/>
        </w:rPr>
        <w:fldChar w:fldCharType="end"/>
      </w:r>
      <w:bookmarkEnd w:id="74"/>
      <w:r w:rsidRPr="00A139CA">
        <w:rPr>
          <w:rFonts w:ascii="Arial" w:hAnsi="Arial"/>
          <w:sz w:val="20"/>
          <w:szCs w:val="20"/>
        </w:rPr>
        <w:t>: 15 Minute Interval Usage</w:t>
      </w:r>
      <w:bookmarkEnd w:id="75"/>
    </w:p>
    <w:p w:rsidR="00454FA3" w:rsidRDefault="00E67606" w:rsidP="00AA6DD5">
      <w:pPr>
        <w:pStyle w:val="Heading3"/>
      </w:pPr>
      <w:r>
        <w:t>View HAN Message A</w:t>
      </w:r>
      <w:r w:rsidR="004F7137">
        <w:t>ctivity</w:t>
      </w:r>
    </w:p>
    <w:p w:rsidR="00F05C36" w:rsidRDefault="00F05C36" w:rsidP="00715EE8">
      <w:r>
        <w:t>A Third Party may</w:t>
      </w:r>
      <w:r w:rsidR="00643C16">
        <w:t xml:space="preserve"> view a report </w:t>
      </w:r>
      <w:r w:rsidR="001A0F0D">
        <w:t>containing</w:t>
      </w:r>
      <w:r w:rsidR="00643C16">
        <w:t xml:space="preserve"> </w:t>
      </w:r>
      <w:r w:rsidR="00EF4E5D">
        <w:t xml:space="preserve">the </w:t>
      </w:r>
      <w:r w:rsidR="00E626D6">
        <w:t xml:space="preserve">history of </w:t>
      </w:r>
      <w:r w:rsidR="00EF4E5D">
        <w:t>HAN message</w:t>
      </w:r>
      <w:r w:rsidR="00E626D6">
        <w:t xml:space="preserve">s sent to </w:t>
      </w:r>
      <w:r w:rsidR="00F12556">
        <w:t>a</w:t>
      </w:r>
      <w:r w:rsidR="005B199C">
        <w:t>n</w:t>
      </w:r>
      <w:r w:rsidR="00F12556">
        <w:t xml:space="preserve"> </w:t>
      </w:r>
      <w:r w:rsidR="005B199C">
        <w:t>In-Home</w:t>
      </w:r>
      <w:r w:rsidR="00EF4E5D">
        <w:t xml:space="preserve"> </w:t>
      </w:r>
      <w:r w:rsidR="005B199C">
        <w:t>D</w:t>
      </w:r>
      <w:r w:rsidR="00EF4E5D">
        <w:t>evice.</w:t>
      </w:r>
    </w:p>
    <w:p w:rsidR="00FA25D7" w:rsidRDefault="00FA25D7" w:rsidP="003821BB">
      <w:pPr>
        <w:pStyle w:val="Heading1"/>
        <w:spacing w:before="480"/>
      </w:pPr>
      <w:bookmarkStart w:id="76" w:name="_Toc401563550"/>
      <w:r>
        <w:t xml:space="preserve">SMT </w:t>
      </w:r>
      <w:r w:rsidRPr="00F12556">
        <w:t>Interfaces</w:t>
      </w:r>
      <w:bookmarkEnd w:id="76"/>
    </w:p>
    <w:p w:rsidR="00FA25D7" w:rsidRDefault="00FA25D7" w:rsidP="00715EE8">
      <w:pPr>
        <w:jc w:val="both"/>
      </w:pPr>
      <w:r>
        <w:t xml:space="preserve">Third Party users can access SMT functionality by using one of </w:t>
      </w:r>
      <w:r w:rsidR="003A5B82">
        <w:t xml:space="preserve">the </w:t>
      </w:r>
      <w:r>
        <w:t>three SMT interface</w:t>
      </w:r>
      <w:r w:rsidR="003A5B82">
        <w:t>s</w:t>
      </w:r>
      <w:r>
        <w:t xml:space="preserve">: </w:t>
      </w:r>
      <w:r w:rsidR="003A5B82">
        <w:t>the</w:t>
      </w:r>
      <w:r>
        <w:t xml:space="preserve"> web portal (i.e., graphical user i</w:t>
      </w:r>
      <w:r w:rsidR="003A5B82">
        <w:t xml:space="preserve">nterface, “GUI”), a </w:t>
      </w:r>
      <w:r>
        <w:t>FTPS folder, and APIs. Depending upon the type of functionality a Third Party wants to access, they may utilize one or all of these interfaces.</w:t>
      </w:r>
    </w:p>
    <w:p w:rsidR="00FA25D7" w:rsidRDefault="00FA25D7" w:rsidP="00715EE8">
      <w:pPr>
        <w:pStyle w:val="Heading2"/>
        <w:tabs>
          <w:tab w:val="clear" w:pos="576"/>
        </w:tabs>
        <w:ind w:left="0"/>
      </w:pPr>
      <w:bookmarkStart w:id="77" w:name="_Toc401563551"/>
      <w:r>
        <w:t>Web Portal</w:t>
      </w:r>
      <w:bookmarkEnd w:id="77"/>
    </w:p>
    <w:p w:rsidR="00FA25D7" w:rsidRDefault="00FA25D7" w:rsidP="00715EE8">
      <w:pPr>
        <w:jc w:val="both"/>
      </w:pPr>
      <w:r>
        <w:rPr>
          <w:rFonts w:eastAsia="Calibri" w:cs="Calibri"/>
          <w:color w:val="000000"/>
        </w:rPr>
        <w:t xml:space="preserve">The SMT web portal </w:t>
      </w:r>
      <w:r>
        <w:t xml:space="preserve">provides a simple, user friendly, browser-based point of access. </w:t>
      </w:r>
      <w:r w:rsidR="00CE48DF">
        <w:fldChar w:fldCharType="begin"/>
      </w:r>
      <w:r w:rsidR="00604E8B">
        <w:instrText xml:space="preserve"> REF _Ref351735878 \h </w:instrText>
      </w:r>
      <w:r w:rsidR="00CE48DF">
        <w:fldChar w:fldCharType="separate"/>
      </w:r>
      <w:r w:rsidR="00F609FD">
        <w:t xml:space="preserve">Figure </w:t>
      </w:r>
      <w:r w:rsidR="00F609FD">
        <w:rPr>
          <w:noProof/>
        </w:rPr>
        <w:t>10</w:t>
      </w:r>
      <w:r w:rsidR="00CE48DF">
        <w:fldChar w:fldCharType="end"/>
      </w:r>
      <w:r w:rsidR="00604E8B">
        <w:t xml:space="preserve"> shows the SMT home page for a Third Party user. </w:t>
      </w:r>
      <w:r>
        <w:t xml:space="preserve">The SMT web portal is where a Third Party registers, creates an account, </w:t>
      </w:r>
      <w:r w:rsidR="006077B5">
        <w:t>manages other Third Par</w:t>
      </w:r>
      <w:r w:rsidR="00700E1F">
        <w:t xml:space="preserve">ty users (administrators only), </w:t>
      </w:r>
      <w:r w:rsidR="00940D6A">
        <w:t xml:space="preserve">and </w:t>
      </w:r>
      <w:r w:rsidR="00700E1F">
        <w:t>perform</w:t>
      </w:r>
      <w:r>
        <w:t xml:space="preserve"> the account management functions discussed in Section </w:t>
      </w:r>
      <w:r w:rsidR="00CE48DF">
        <w:fldChar w:fldCharType="begin"/>
      </w:r>
      <w:r>
        <w:instrText xml:space="preserve"> REF _Ref351735039 \r \h </w:instrText>
      </w:r>
      <w:r w:rsidR="00CE48DF">
        <w:fldChar w:fldCharType="separate"/>
      </w:r>
      <w:r w:rsidR="00F609FD">
        <w:t>7.2</w:t>
      </w:r>
      <w:r w:rsidR="00CE48DF">
        <w:fldChar w:fldCharType="end"/>
      </w:r>
      <w:r>
        <w:t xml:space="preserve">. </w:t>
      </w:r>
    </w:p>
    <w:p w:rsidR="006077B5" w:rsidRDefault="006077B5" w:rsidP="009D0CD7">
      <w:pPr>
        <w:keepNext/>
        <w:jc w:val="center"/>
      </w:pPr>
    </w:p>
    <w:p w:rsidR="005B199C" w:rsidRDefault="005B199C" w:rsidP="006077B5">
      <w:pPr>
        <w:pStyle w:val="Caption"/>
        <w:rPr>
          <w:rFonts w:ascii="Arial" w:hAnsi="Arial"/>
          <w:sz w:val="20"/>
          <w:szCs w:val="20"/>
        </w:rPr>
      </w:pPr>
      <w:bookmarkStart w:id="78" w:name="_Ref351735878"/>
      <w:bookmarkStart w:id="79" w:name="_Toc367210604"/>
      <w:r w:rsidRPr="005B199C">
        <w:rPr>
          <w:noProof/>
        </w:rPr>
        <w:drawing>
          <wp:inline distT="0" distB="0" distL="0" distR="0" wp14:anchorId="232E41A4" wp14:editId="4098FA4F">
            <wp:extent cx="5943600" cy="349623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496235"/>
                    </a:xfrm>
                    <a:prstGeom prst="rect">
                      <a:avLst/>
                    </a:prstGeom>
                    <a:noFill/>
                    <a:ln>
                      <a:noFill/>
                    </a:ln>
                  </pic:spPr>
                </pic:pic>
              </a:graphicData>
            </a:graphic>
          </wp:inline>
        </w:drawing>
      </w:r>
    </w:p>
    <w:p w:rsidR="00FA25D7" w:rsidRPr="00A139CA" w:rsidRDefault="006077B5" w:rsidP="006077B5">
      <w:pPr>
        <w:pStyle w:val="Caption"/>
        <w:rPr>
          <w:rFonts w:ascii="Arial" w:hAnsi="Arial"/>
          <w:sz w:val="20"/>
          <w:szCs w:val="20"/>
        </w:rPr>
      </w:pPr>
      <w:r w:rsidRPr="00A139CA">
        <w:rPr>
          <w:rFonts w:ascii="Arial" w:hAnsi="Arial"/>
          <w:sz w:val="20"/>
          <w:szCs w:val="20"/>
        </w:rPr>
        <w:t xml:space="preserve">Figure </w:t>
      </w:r>
      <w:r w:rsidR="00CE48DF" w:rsidRPr="00A139CA">
        <w:rPr>
          <w:rFonts w:ascii="Arial" w:hAnsi="Arial"/>
          <w:sz w:val="20"/>
          <w:szCs w:val="20"/>
        </w:rPr>
        <w:fldChar w:fldCharType="begin"/>
      </w:r>
      <w:r w:rsidR="00CE48DF" w:rsidRPr="00A139CA">
        <w:rPr>
          <w:rFonts w:ascii="Arial" w:hAnsi="Arial"/>
          <w:sz w:val="20"/>
          <w:szCs w:val="20"/>
        </w:rPr>
        <w:instrText xml:space="preserve"> SEQ Figure \* ARABIC </w:instrText>
      </w:r>
      <w:r w:rsidR="00CE48DF" w:rsidRPr="00A139CA">
        <w:rPr>
          <w:rFonts w:ascii="Arial" w:hAnsi="Arial"/>
          <w:sz w:val="20"/>
          <w:szCs w:val="20"/>
        </w:rPr>
        <w:fldChar w:fldCharType="separate"/>
      </w:r>
      <w:r w:rsidR="00F609FD" w:rsidRPr="00A139CA">
        <w:rPr>
          <w:rFonts w:ascii="Arial" w:hAnsi="Arial"/>
          <w:noProof/>
          <w:sz w:val="20"/>
          <w:szCs w:val="20"/>
        </w:rPr>
        <w:t>10</w:t>
      </w:r>
      <w:r w:rsidR="00CE48DF" w:rsidRPr="00A139CA">
        <w:rPr>
          <w:rFonts w:ascii="Arial" w:hAnsi="Arial"/>
          <w:sz w:val="20"/>
          <w:szCs w:val="20"/>
        </w:rPr>
        <w:fldChar w:fldCharType="end"/>
      </w:r>
      <w:bookmarkEnd w:id="78"/>
      <w:r w:rsidRPr="00A139CA">
        <w:rPr>
          <w:rFonts w:ascii="Arial" w:hAnsi="Arial"/>
          <w:sz w:val="20"/>
          <w:szCs w:val="20"/>
        </w:rPr>
        <w:t>: Third Party Home Page</w:t>
      </w:r>
      <w:bookmarkEnd w:id="79"/>
    </w:p>
    <w:p w:rsidR="00CC1E5F" w:rsidRDefault="00CC1E5F" w:rsidP="00715EE8">
      <w:pPr>
        <w:pStyle w:val="Heading2"/>
        <w:tabs>
          <w:tab w:val="clear" w:pos="576"/>
        </w:tabs>
        <w:ind w:left="0"/>
      </w:pPr>
      <w:bookmarkStart w:id="80" w:name="_Ref367197110"/>
      <w:bookmarkStart w:id="81" w:name="_Toc401563552"/>
      <w:r>
        <w:t>FTPS</w:t>
      </w:r>
      <w:bookmarkEnd w:id="80"/>
      <w:bookmarkEnd w:id="81"/>
    </w:p>
    <w:p w:rsidR="00CC1E5F" w:rsidRPr="002400B3" w:rsidRDefault="00CC1E5F" w:rsidP="00715EE8">
      <w:pPr>
        <w:jc w:val="both"/>
      </w:pPr>
      <w:r>
        <w:t xml:space="preserve">Any usage reports requested by a Third Party on </w:t>
      </w:r>
      <w:r w:rsidR="00E555C3">
        <w:t>the SMT web portal or through usage</w:t>
      </w:r>
      <w:r>
        <w:t xml:space="preserve"> API</w:t>
      </w:r>
      <w:r w:rsidR="00E555C3">
        <w:t>s</w:t>
      </w:r>
      <w:r>
        <w:t xml:space="preserve"> will be sent by SMT to the Third Party’s FTPS folder and stored for ten (10) days. When a Third Party has an Energy Data Agreement with a Customer with a duration from one month up to one year, </w:t>
      </w:r>
      <w:r w:rsidR="00700E1F">
        <w:t xml:space="preserve">the Third Party may schedule </w:t>
      </w:r>
      <w:r w:rsidR="00940D6A">
        <w:t xml:space="preserve">daily or monthly </w:t>
      </w:r>
      <w:r w:rsidR="00700E1F">
        <w:t>Customer usage reports that</w:t>
      </w:r>
      <w:r>
        <w:t xml:space="preserve"> will </w:t>
      </w:r>
      <w:r w:rsidR="00700E1F">
        <w:t>be sent</w:t>
      </w:r>
      <w:r>
        <w:t xml:space="preserve"> to the Third Party’s FTPS folder.</w:t>
      </w:r>
    </w:p>
    <w:p w:rsidR="00CC1E5F" w:rsidRDefault="00CC1E5F" w:rsidP="00715EE8">
      <w:pPr>
        <w:pStyle w:val="Heading2"/>
        <w:tabs>
          <w:tab w:val="clear" w:pos="576"/>
        </w:tabs>
        <w:ind w:left="0"/>
      </w:pPr>
      <w:bookmarkStart w:id="82" w:name="_Toc401563553"/>
      <w:r>
        <w:t>API</w:t>
      </w:r>
      <w:bookmarkEnd w:id="82"/>
    </w:p>
    <w:p w:rsidR="006573F3" w:rsidRDefault="006573F3" w:rsidP="00715EE8">
      <w:pPr>
        <w:jc w:val="both"/>
      </w:pPr>
      <w:r>
        <w:t xml:space="preserve">The purpose of the API interface is to provide a machine to machine communications channel for Third Parties to interact with SMT. APIs can be sent from a Third Party system to SMT without requiring the user to login to the interactive web portal.  Third Parties are provided with the API guide when they register for a SMT account and go through a testing procedure to validate that their system is communicating correctly using the SMT API. </w:t>
      </w:r>
      <w:r w:rsidR="00E555C3">
        <w:t xml:space="preserve">There are </w:t>
      </w:r>
      <w:r w:rsidR="00DB4431">
        <w:t xml:space="preserve">four </w:t>
      </w:r>
      <w:r w:rsidR="00E555C3">
        <w:t xml:space="preserve">different categories </w:t>
      </w:r>
      <w:r w:rsidR="00391430">
        <w:t xml:space="preserve">of </w:t>
      </w:r>
      <w:r w:rsidR="00E555C3">
        <w:t xml:space="preserve">APIs available: usage APIs, re-branding API, </w:t>
      </w:r>
      <w:r w:rsidR="00DB4431">
        <w:t>agreement invitation APIs,</w:t>
      </w:r>
      <w:r w:rsidR="000A7B33">
        <w:t xml:space="preserve"> </w:t>
      </w:r>
      <w:r w:rsidR="00E555C3">
        <w:t>and HAN APIs</w:t>
      </w:r>
      <w:r>
        <w:t>.</w:t>
      </w:r>
    </w:p>
    <w:p w:rsidR="006573F3" w:rsidRDefault="006573F3" w:rsidP="00715EE8">
      <w:pPr>
        <w:jc w:val="both"/>
      </w:pPr>
      <w:r>
        <w:t xml:space="preserve">Third Parties </w:t>
      </w:r>
      <w:r w:rsidR="003821BB">
        <w:t xml:space="preserve">may </w:t>
      </w:r>
      <w:r>
        <w:t xml:space="preserve">request ad hoc </w:t>
      </w:r>
      <w:r w:rsidR="00E94AF4">
        <w:t xml:space="preserve">or scheduled </w:t>
      </w:r>
      <w:r>
        <w:t>energy usage reports for their Customers</w:t>
      </w:r>
      <w:r w:rsidR="00391430">
        <w:t xml:space="preserve"> using</w:t>
      </w:r>
      <w:r w:rsidR="00D1259E">
        <w:t xml:space="preserve"> the u</w:t>
      </w:r>
      <w:r w:rsidR="00391430">
        <w:t>sage APIs</w:t>
      </w:r>
      <w:r>
        <w:t>.</w:t>
      </w:r>
    </w:p>
    <w:p w:rsidR="006573F3" w:rsidRDefault="006573F3" w:rsidP="00715EE8">
      <w:pPr>
        <w:jc w:val="both"/>
      </w:pPr>
      <w:r>
        <w:t xml:space="preserve">The re-branding API provides functionality for Third Parties to display </w:t>
      </w:r>
      <w:r w:rsidR="00391430">
        <w:t xml:space="preserve">15-minute </w:t>
      </w:r>
      <w:r>
        <w:t>and monthly usage data through their own portal. A Customer viewing data on the Third Party’s portal will trigger a data request that is submitted to SMT through the API interface. The results of the data request are then displayed on the Third Party’s portal. This process is seamless to the Customer.</w:t>
      </w:r>
    </w:p>
    <w:p w:rsidR="000A7B33" w:rsidRDefault="000A7B33" w:rsidP="00715EE8">
      <w:pPr>
        <w:jc w:val="both"/>
      </w:pPr>
      <w:r>
        <w:t>The agreement invitation API provides an alternate way for Third Parties to send agreement invitations to one or more Customers.</w:t>
      </w:r>
    </w:p>
    <w:p w:rsidR="004D6616" w:rsidRDefault="006573F3" w:rsidP="00715EE8">
      <w:pPr>
        <w:jc w:val="both"/>
      </w:pPr>
      <w:r>
        <w:t xml:space="preserve">The HAN APIs provide </w:t>
      </w:r>
      <w:r w:rsidR="003821BB">
        <w:t>functionality for a Third Party</w:t>
      </w:r>
      <w:r>
        <w:t xml:space="preserve"> </w:t>
      </w:r>
      <w:r w:rsidR="00391430">
        <w:t xml:space="preserve">to communicate with Customer </w:t>
      </w:r>
      <w:r w:rsidR="00E94AF4">
        <w:t>In-Home D</w:t>
      </w:r>
      <w:r w:rsidR="00391430">
        <w:t xml:space="preserve">evices and </w:t>
      </w:r>
      <w:r>
        <w:t xml:space="preserve">to </w:t>
      </w:r>
      <w:r w:rsidR="00E94AF4">
        <w:t xml:space="preserve">add or </w:t>
      </w:r>
      <w:r>
        <w:t xml:space="preserve">remove </w:t>
      </w:r>
      <w:r w:rsidR="00E94AF4">
        <w:t>In-Home</w:t>
      </w:r>
      <w:r>
        <w:t xml:space="preserve"> </w:t>
      </w:r>
      <w:r w:rsidR="00E94AF4">
        <w:t>D</w:t>
      </w:r>
      <w:r>
        <w:t xml:space="preserve">evices. The APIs use standard ZigBee SEP v1.0 messages that </w:t>
      </w:r>
      <w:r w:rsidR="00E94AF4">
        <w:t xml:space="preserve">add or </w:t>
      </w:r>
      <w:r>
        <w:t xml:space="preserve">remove </w:t>
      </w:r>
      <w:r w:rsidR="00E94AF4">
        <w:t>In-Home D</w:t>
      </w:r>
      <w:r>
        <w:t xml:space="preserve">evices (1 at a time), send or cancel text messages for display on </w:t>
      </w:r>
      <w:r w:rsidR="00E94AF4">
        <w:t>In-Home D</w:t>
      </w:r>
      <w:r>
        <w:t>evices, send a price signal, send or cancel a load control message, or cancel all load control messages. A Third Party can send a ZigBee SEP v1.0 message to</w:t>
      </w:r>
      <w:r w:rsidRPr="00A31757">
        <w:t xml:space="preserve"> </w:t>
      </w:r>
      <w:r>
        <w:t>up to 10,000 addresses using the</w:t>
      </w:r>
      <w:r w:rsidR="003821BB">
        <w:t xml:space="preserve">se </w:t>
      </w:r>
      <w:r>
        <w:t>API</w:t>
      </w:r>
      <w:r w:rsidR="003821BB">
        <w:t>s</w:t>
      </w:r>
      <w:r>
        <w:t xml:space="preserve">. An address can be either an ESIID or an individual </w:t>
      </w:r>
      <w:r w:rsidR="00E94AF4">
        <w:t>In-Home D</w:t>
      </w:r>
      <w:r>
        <w:t xml:space="preserve">evice. </w:t>
      </w:r>
    </w:p>
    <w:p w:rsidR="004D6616" w:rsidRDefault="004D6616">
      <w:pPr>
        <w:spacing w:before="0" w:after="0" w:line="240" w:lineRule="auto"/>
      </w:pPr>
      <w:r>
        <w:br w:type="page"/>
      </w:r>
    </w:p>
    <w:p w:rsidR="00CE6396" w:rsidRDefault="00147868" w:rsidP="00391430">
      <w:pPr>
        <w:pStyle w:val="Heading1"/>
        <w:spacing w:before="240"/>
      </w:pPr>
      <w:bookmarkStart w:id="83" w:name="_Toc401563554"/>
      <w:r>
        <w:t>Help</w:t>
      </w:r>
      <w:r w:rsidR="00CE6396">
        <w:t xml:space="preserve"> and Guides</w:t>
      </w:r>
      <w:bookmarkEnd w:id="83"/>
    </w:p>
    <w:p w:rsidR="00147868" w:rsidRPr="0069777D" w:rsidRDefault="00147868" w:rsidP="00715EE8">
      <w:pPr>
        <w:pStyle w:val="Heading2"/>
        <w:tabs>
          <w:tab w:val="clear" w:pos="576"/>
        </w:tabs>
        <w:spacing w:before="120" w:line="240" w:lineRule="auto"/>
        <w:ind w:left="0" w:hanging="540"/>
      </w:pPr>
      <w:bookmarkStart w:id="84" w:name="_Toc401563555"/>
      <w:r>
        <w:t>SMT Help F</w:t>
      </w:r>
      <w:r w:rsidR="004F7142">
        <w:t>eatures</w:t>
      </w:r>
      <w:bookmarkEnd w:id="84"/>
    </w:p>
    <w:p w:rsidR="009770B7" w:rsidRPr="00110662" w:rsidRDefault="00D1259E" w:rsidP="00002C44">
      <w:pPr>
        <w:jc w:val="both"/>
        <w:rPr>
          <w:highlight w:val="yellow"/>
        </w:rPr>
      </w:pPr>
      <w:r>
        <w:t>The h</w:t>
      </w:r>
      <w:r w:rsidR="00147868">
        <w:t>elp funct</w:t>
      </w:r>
      <w:r>
        <w:t>ions provided by SMT include a h</w:t>
      </w:r>
      <w:r w:rsidR="00147868">
        <w:t>elp feature</w:t>
      </w:r>
      <w:r>
        <w:t xml:space="preserve"> on the SMT</w:t>
      </w:r>
      <w:r w:rsidR="00BA37F6">
        <w:t xml:space="preserve"> </w:t>
      </w:r>
      <w:r>
        <w:t>portal main menu</w:t>
      </w:r>
      <w:r w:rsidR="00147868">
        <w:t xml:space="preserve">, help for individual features, FAQs, user’s guides, and other helpful information sources.  </w:t>
      </w:r>
      <w:r w:rsidR="004F7142">
        <w:t>SMT maintains a help desk that allows Third Party users to call and ask for assistance with all aspects of SMT functionality. The SMT help desk can help users:</w:t>
      </w:r>
      <w:r w:rsidR="009770B7">
        <w:t xml:space="preserve"> </w:t>
      </w:r>
    </w:p>
    <w:p w:rsidR="004F7142" w:rsidRDefault="004F7142" w:rsidP="00002C44">
      <w:pPr>
        <w:pStyle w:val="ListParagraph"/>
        <w:numPr>
          <w:ilvl w:val="0"/>
          <w:numId w:val="7"/>
        </w:numPr>
        <w:ind w:left="630"/>
        <w:jc w:val="both"/>
      </w:pPr>
      <w:r>
        <w:t>Set up an SMT account</w:t>
      </w:r>
    </w:p>
    <w:p w:rsidR="004F7142" w:rsidRDefault="004F7142" w:rsidP="00002C44">
      <w:pPr>
        <w:pStyle w:val="ListParagraph"/>
        <w:numPr>
          <w:ilvl w:val="0"/>
          <w:numId w:val="7"/>
        </w:numPr>
        <w:ind w:left="630"/>
        <w:jc w:val="both"/>
      </w:pPr>
      <w:r>
        <w:t>Login to their account</w:t>
      </w:r>
    </w:p>
    <w:p w:rsidR="004F7142" w:rsidRDefault="004F7142" w:rsidP="00002C44">
      <w:pPr>
        <w:pStyle w:val="ListParagraph"/>
        <w:numPr>
          <w:ilvl w:val="0"/>
          <w:numId w:val="7"/>
        </w:numPr>
        <w:ind w:left="630"/>
        <w:jc w:val="both"/>
      </w:pPr>
      <w:r>
        <w:t>Change their password</w:t>
      </w:r>
    </w:p>
    <w:p w:rsidR="004F7142" w:rsidRDefault="004F7142" w:rsidP="00002C44">
      <w:pPr>
        <w:pStyle w:val="ListParagraph"/>
        <w:numPr>
          <w:ilvl w:val="0"/>
          <w:numId w:val="7"/>
        </w:numPr>
        <w:ind w:left="630"/>
        <w:jc w:val="both"/>
      </w:pPr>
      <w:r>
        <w:t>Answer questions about SMT features</w:t>
      </w:r>
    </w:p>
    <w:p w:rsidR="004F7142" w:rsidRDefault="004F7142" w:rsidP="00002C44">
      <w:pPr>
        <w:pStyle w:val="ListParagraph"/>
        <w:numPr>
          <w:ilvl w:val="0"/>
          <w:numId w:val="7"/>
        </w:numPr>
        <w:ind w:left="630"/>
        <w:jc w:val="both"/>
      </w:pPr>
      <w:r>
        <w:t xml:space="preserve">Access data at the FTPS site </w:t>
      </w:r>
    </w:p>
    <w:p w:rsidR="004F7142" w:rsidRDefault="004F7142" w:rsidP="00002C44">
      <w:pPr>
        <w:pStyle w:val="ListParagraph"/>
        <w:numPr>
          <w:ilvl w:val="0"/>
          <w:numId w:val="7"/>
        </w:numPr>
        <w:spacing w:after="120"/>
        <w:ind w:left="630"/>
        <w:jc w:val="both"/>
      </w:pPr>
      <w:r>
        <w:t xml:space="preserve">Answer questions about the SMT API </w:t>
      </w:r>
    </w:p>
    <w:p w:rsidR="00CE6396" w:rsidRDefault="00CE6396" w:rsidP="00715EE8">
      <w:pPr>
        <w:pStyle w:val="Heading2"/>
        <w:tabs>
          <w:tab w:val="clear" w:pos="576"/>
        </w:tabs>
        <w:spacing w:before="240" w:after="0" w:line="240" w:lineRule="auto"/>
        <w:ind w:left="0" w:hanging="540"/>
      </w:pPr>
      <w:bookmarkStart w:id="85" w:name="_Toc401563556"/>
      <w:r>
        <w:t>Guides</w:t>
      </w:r>
      <w:bookmarkEnd w:id="85"/>
    </w:p>
    <w:p w:rsidR="008201B3" w:rsidRDefault="008201B3" w:rsidP="00AA6DD5">
      <w:pPr>
        <w:pStyle w:val="Heading3"/>
      </w:pPr>
      <w:bookmarkStart w:id="86" w:name="_Toc348345302"/>
      <w:bookmarkStart w:id="87" w:name="_Ref348965997"/>
      <w:r>
        <w:t>Third Party User Guide</w:t>
      </w:r>
    </w:p>
    <w:p w:rsidR="009770B7" w:rsidRPr="009770B7" w:rsidRDefault="009770B7" w:rsidP="00002C44">
      <w:pPr>
        <w:jc w:val="both"/>
      </w:pPr>
      <w:r>
        <w:t>Once a Third Party user has established an account on SMT a detailed user’s guide is available for viewing online or downloading. The Third Party User Guide provides detailed instructions on how to access all the functions of SMT.</w:t>
      </w:r>
    </w:p>
    <w:p w:rsidR="00780CD6" w:rsidRPr="00627BB5" w:rsidRDefault="00780CD6" w:rsidP="00AA6DD5">
      <w:pPr>
        <w:pStyle w:val="Heading3"/>
      </w:pPr>
      <w:r w:rsidRPr="00627BB5">
        <w:t>SMT HAN User Guide</w:t>
      </w:r>
      <w:bookmarkEnd w:id="86"/>
      <w:bookmarkEnd w:id="87"/>
    </w:p>
    <w:p w:rsidR="00780CD6" w:rsidRDefault="00780CD6" w:rsidP="004D6616">
      <w:pPr>
        <w:jc w:val="both"/>
      </w:pPr>
      <w:r w:rsidRPr="00627BB5">
        <w:t xml:space="preserve">A SMT HAN User Guide is available to </w:t>
      </w:r>
      <w:r>
        <w:t>Third Parties interested in providing products that use the SMT HAN functionality.  The HAN User Guide is a comprehensive document describing the SMT HAN functionality and how to access it. Included in the guide are an explanation of the roles each user has related to the SMT HAN functionality, how to connect a</w:t>
      </w:r>
      <w:r w:rsidR="00E94AF4">
        <w:t>n</w:t>
      </w:r>
      <w:r>
        <w:t xml:space="preserve"> </w:t>
      </w:r>
      <w:r w:rsidR="00E94AF4">
        <w:t>In-Home D</w:t>
      </w:r>
      <w:r>
        <w:t>evice to the Customer HAN, how to send messages to a</w:t>
      </w:r>
      <w:r w:rsidR="00E94AF4">
        <w:t>n</w:t>
      </w:r>
      <w:r>
        <w:t xml:space="preserve"> </w:t>
      </w:r>
      <w:r w:rsidR="00E94AF4">
        <w:t>In-Home D</w:t>
      </w:r>
      <w:r>
        <w:t xml:space="preserve">evice, the kinds of messages that may be sent to </w:t>
      </w:r>
      <w:r w:rsidR="00E94AF4">
        <w:t>In-Home D</w:t>
      </w:r>
      <w:r>
        <w:t xml:space="preserve">evices, a HAN API starter kit, and how to test </w:t>
      </w:r>
      <w:r w:rsidR="00E94AF4">
        <w:t>In-Home D</w:t>
      </w:r>
      <w:r>
        <w:t>evices.</w:t>
      </w:r>
    </w:p>
    <w:p w:rsidR="00FC0676" w:rsidRDefault="000D49C7" w:rsidP="00DF2A75">
      <w:pPr>
        <w:pStyle w:val="Heading1"/>
        <w:spacing w:before="240"/>
        <w:jc w:val="both"/>
      </w:pPr>
      <w:bookmarkStart w:id="88" w:name="_Toc348345340"/>
      <w:bookmarkStart w:id="89" w:name="_Ref352140093"/>
      <w:bookmarkStart w:id="90" w:name="_Toc401563557"/>
      <w:bookmarkEnd w:id="66"/>
      <w:bookmarkEnd w:id="67"/>
      <w:r>
        <w:t xml:space="preserve">Use of </w:t>
      </w:r>
      <w:r w:rsidR="00362930">
        <w:t>Industry</w:t>
      </w:r>
      <w:r w:rsidR="00401934">
        <w:t xml:space="preserve"> </w:t>
      </w:r>
      <w:r w:rsidR="009B2DA3">
        <w:t>Standards</w:t>
      </w:r>
      <w:bookmarkStart w:id="91" w:name="_Ref347936521"/>
      <w:bookmarkStart w:id="92" w:name="_Toc348345342"/>
      <w:bookmarkEnd w:id="88"/>
      <w:bookmarkEnd w:id="89"/>
      <w:bookmarkEnd w:id="90"/>
    </w:p>
    <w:p w:rsidR="00EB25D2" w:rsidRPr="00EB25D2" w:rsidRDefault="00EB25D2" w:rsidP="00002C44">
      <w:pPr>
        <w:tabs>
          <w:tab w:val="left" w:pos="1800"/>
        </w:tabs>
        <w:spacing w:after="60"/>
        <w:jc w:val="both"/>
      </w:pPr>
      <w:r>
        <w:t xml:space="preserve">SMT utilized many smart grid </w:t>
      </w:r>
      <w:r w:rsidR="009745D0">
        <w:t xml:space="preserve">and industry </w:t>
      </w:r>
      <w:r>
        <w:t>standards and best practices</w:t>
      </w:r>
      <w:r w:rsidR="00682E9D">
        <w:rPr>
          <w:rStyle w:val="FootnoteReference"/>
        </w:rPr>
        <w:footnoteReference w:id="16"/>
      </w:r>
      <w:r>
        <w:t xml:space="preserve"> in its development and implementation</w:t>
      </w:r>
      <w:r w:rsidR="008D3649">
        <w:t xml:space="preserve">. </w:t>
      </w:r>
      <w:r w:rsidR="00682E9D">
        <w:t xml:space="preserve">The following key standards are discussed in this Section </w:t>
      </w:r>
      <w:r w:rsidR="00CE48DF">
        <w:fldChar w:fldCharType="begin"/>
      </w:r>
      <w:r w:rsidR="00682E9D">
        <w:instrText xml:space="preserve"> REF _Ref352140093 \r \h </w:instrText>
      </w:r>
      <w:r w:rsidR="00CE48DF">
        <w:fldChar w:fldCharType="separate"/>
      </w:r>
      <w:r w:rsidR="00F609FD">
        <w:t>10</w:t>
      </w:r>
      <w:r w:rsidR="00CE48DF">
        <w:fldChar w:fldCharType="end"/>
      </w:r>
      <w:r w:rsidR="00682E9D">
        <w:t xml:space="preserve"> since they directly relate</w:t>
      </w:r>
      <w:r>
        <w:t xml:space="preserve"> to </w:t>
      </w:r>
      <w:r w:rsidR="00682E9D">
        <w:t>the SMT Third Party</w:t>
      </w:r>
      <w:r>
        <w:t xml:space="preserve"> functionality:</w:t>
      </w:r>
    </w:p>
    <w:p w:rsidR="00453B4B" w:rsidRDefault="00453B4B" w:rsidP="00002C44">
      <w:pPr>
        <w:pStyle w:val="ListParagraph"/>
        <w:numPr>
          <w:ilvl w:val="0"/>
          <w:numId w:val="13"/>
        </w:numPr>
        <w:tabs>
          <w:tab w:val="left" w:pos="1800"/>
        </w:tabs>
        <w:spacing w:after="60"/>
        <w:contextualSpacing w:val="0"/>
        <w:jc w:val="both"/>
      </w:pPr>
      <w:r>
        <w:t>Green Button Initiative</w:t>
      </w:r>
    </w:p>
    <w:p w:rsidR="00453B4B" w:rsidRDefault="00453B4B" w:rsidP="00002C44">
      <w:pPr>
        <w:pStyle w:val="ListParagraph"/>
        <w:numPr>
          <w:ilvl w:val="0"/>
          <w:numId w:val="13"/>
        </w:numPr>
        <w:tabs>
          <w:tab w:val="left" w:pos="1800"/>
        </w:tabs>
        <w:spacing w:after="60"/>
        <w:contextualSpacing w:val="0"/>
        <w:jc w:val="both"/>
      </w:pPr>
      <w:r>
        <w:t xml:space="preserve">ZigBee Smart Energy Profile </w:t>
      </w:r>
    </w:p>
    <w:p w:rsidR="00AB2771" w:rsidRDefault="00AB2771" w:rsidP="00002C44">
      <w:pPr>
        <w:pStyle w:val="ListParagraph"/>
        <w:numPr>
          <w:ilvl w:val="0"/>
          <w:numId w:val="13"/>
        </w:numPr>
        <w:tabs>
          <w:tab w:val="left" w:pos="1800"/>
        </w:tabs>
        <w:spacing w:after="120"/>
        <w:jc w:val="both"/>
      </w:pPr>
      <w:r>
        <w:t>UCAIug Home Area Network System Requirements Specification</w:t>
      </w:r>
    </w:p>
    <w:p w:rsidR="00453B4B" w:rsidRDefault="00453B4B" w:rsidP="00002C44">
      <w:pPr>
        <w:pStyle w:val="ListParagraph"/>
        <w:numPr>
          <w:ilvl w:val="0"/>
          <w:numId w:val="13"/>
        </w:numPr>
        <w:tabs>
          <w:tab w:val="left" w:pos="1800"/>
        </w:tabs>
        <w:spacing w:after="60"/>
        <w:contextualSpacing w:val="0"/>
        <w:jc w:val="both"/>
      </w:pPr>
      <w:r>
        <w:t>NAESB Thi</w:t>
      </w:r>
      <w:r w:rsidR="00EB25D2">
        <w:t>rd Party Access to Smart Meter-b</w:t>
      </w:r>
      <w:r>
        <w:t>ased Information</w:t>
      </w:r>
    </w:p>
    <w:p w:rsidR="00EE458B" w:rsidRDefault="00EE458B" w:rsidP="00002C44">
      <w:pPr>
        <w:pStyle w:val="Heading2"/>
        <w:tabs>
          <w:tab w:val="clear" w:pos="576"/>
        </w:tabs>
        <w:spacing w:before="240"/>
        <w:ind w:left="0" w:hanging="630"/>
        <w:jc w:val="both"/>
      </w:pPr>
      <w:bookmarkStart w:id="93" w:name="_Ref348359119"/>
      <w:bookmarkStart w:id="94" w:name="_Toc349222582"/>
      <w:bookmarkStart w:id="95" w:name="_Toc401563558"/>
      <w:bookmarkStart w:id="96" w:name="_Ref347936862"/>
      <w:bookmarkStart w:id="97" w:name="_Toc348345347"/>
      <w:r>
        <w:t>Green Button Initiative</w:t>
      </w:r>
      <w:bookmarkEnd w:id="93"/>
      <w:bookmarkEnd w:id="94"/>
      <w:bookmarkEnd w:id="95"/>
    </w:p>
    <w:p w:rsidR="00611975" w:rsidRDefault="00EE458B" w:rsidP="00002C44">
      <w:pPr>
        <w:pStyle w:val="content"/>
        <w:spacing w:before="140" w:beforeAutospacing="0" w:after="140" w:afterAutospacing="0" w:line="360" w:lineRule="auto"/>
        <w:jc w:val="both"/>
        <w:rPr>
          <w:color w:val="auto"/>
          <w:szCs w:val="22"/>
        </w:rPr>
      </w:pPr>
      <w:r w:rsidRPr="00A76C00">
        <w:rPr>
          <w:color w:val="auto"/>
          <w:szCs w:val="22"/>
        </w:rPr>
        <w:t xml:space="preserve">In 2011, the Office of Science and Technology Policy </w:t>
      </w:r>
      <w:r w:rsidR="004D6616">
        <w:rPr>
          <w:color w:val="auto"/>
          <w:szCs w:val="22"/>
        </w:rPr>
        <w:t xml:space="preserve">(OSTP) </w:t>
      </w:r>
      <w:r>
        <w:rPr>
          <w:color w:val="auto"/>
          <w:szCs w:val="22"/>
        </w:rPr>
        <w:t>and D</w:t>
      </w:r>
      <w:r w:rsidR="009745D0">
        <w:rPr>
          <w:color w:val="auto"/>
          <w:szCs w:val="22"/>
        </w:rPr>
        <w:t xml:space="preserve">epartment of </w:t>
      </w:r>
      <w:r>
        <w:rPr>
          <w:color w:val="auto"/>
          <w:szCs w:val="22"/>
        </w:rPr>
        <w:t>E</w:t>
      </w:r>
      <w:r w:rsidR="009745D0">
        <w:rPr>
          <w:color w:val="auto"/>
          <w:szCs w:val="22"/>
        </w:rPr>
        <w:t>nergy (DOE)</w:t>
      </w:r>
      <w:r>
        <w:rPr>
          <w:color w:val="auto"/>
          <w:szCs w:val="22"/>
        </w:rPr>
        <w:t xml:space="preserve"> </w:t>
      </w:r>
      <w:r w:rsidRPr="00A76C00">
        <w:rPr>
          <w:color w:val="auto"/>
          <w:szCs w:val="22"/>
        </w:rPr>
        <w:t xml:space="preserve">challenged the electric utility industry to launch a </w:t>
      </w:r>
      <w:hyperlink r:id="rId28" w:tgtFrame="_blank" w:history="1">
        <w:r w:rsidRPr="00A76C00">
          <w:rPr>
            <w:color w:val="auto"/>
            <w:szCs w:val="22"/>
          </w:rPr>
          <w:t xml:space="preserve">Green Button </w:t>
        </w:r>
        <w:r w:rsidR="00F305FE">
          <w:rPr>
            <w:color w:val="auto"/>
            <w:szCs w:val="22"/>
          </w:rPr>
          <w:t>i</w:t>
        </w:r>
        <w:r w:rsidRPr="00A76C00">
          <w:rPr>
            <w:color w:val="auto"/>
            <w:szCs w:val="22"/>
          </w:rPr>
          <w:t>nitiative</w:t>
        </w:r>
      </w:hyperlink>
      <w:r w:rsidRPr="00A76C00">
        <w:rPr>
          <w:color w:val="auto"/>
          <w:szCs w:val="22"/>
        </w:rPr>
        <w:t xml:space="preserve"> that would give consumers access to their energy usage information </w:t>
      </w:r>
      <w:r>
        <w:rPr>
          <w:color w:val="auto"/>
          <w:szCs w:val="22"/>
        </w:rPr>
        <w:t xml:space="preserve">by downloading it </w:t>
      </w:r>
      <w:r w:rsidRPr="00A76C00">
        <w:rPr>
          <w:color w:val="auto"/>
          <w:szCs w:val="22"/>
        </w:rPr>
        <w:t>in a</w:t>
      </w:r>
      <w:r>
        <w:rPr>
          <w:color w:val="auto"/>
          <w:szCs w:val="22"/>
        </w:rPr>
        <w:t>n</w:t>
      </w:r>
      <w:r w:rsidRPr="00A76C00">
        <w:rPr>
          <w:color w:val="auto"/>
          <w:szCs w:val="22"/>
        </w:rPr>
        <w:t xml:space="preserve"> easy-to-read </w:t>
      </w:r>
      <w:r>
        <w:rPr>
          <w:color w:val="auto"/>
          <w:szCs w:val="22"/>
        </w:rPr>
        <w:t xml:space="preserve">industry standard </w:t>
      </w:r>
      <w:r w:rsidRPr="00A76C00">
        <w:rPr>
          <w:color w:val="auto"/>
          <w:szCs w:val="22"/>
        </w:rPr>
        <w:t xml:space="preserve">format. </w:t>
      </w:r>
      <w:r w:rsidR="00DF2A75" w:rsidRPr="00DF2A75">
        <w:rPr>
          <w:color w:val="auto"/>
          <w:szCs w:val="22"/>
        </w:rPr>
        <w:t>SMT implemented the concept of the Green Button initiative over a year prior to the issuance of the Green Button challenge</w:t>
      </w:r>
      <w:r w:rsidR="00DF2A75">
        <w:rPr>
          <w:color w:val="auto"/>
          <w:szCs w:val="22"/>
        </w:rPr>
        <w:t xml:space="preserve"> and shortly after the challenge was issued, SMT strategically placed a Green Button icon on several portal pages</w:t>
      </w:r>
      <w:r w:rsidR="00DF2A75" w:rsidRPr="00DF2A75">
        <w:rPr>
          <w:color w:val="auto"/>
          <w:szCs w:val="22"/>
        </w:rPr>
        <w:t xml:space="preserve">. </w:t>
      </w:r>
      <w:r w:rsidR="00DF2A75">
        <w:rPr>
          <w:color w:val="auto"/>
          <w:szCs w:val="22"/>
        </w:rPr>
        <w:t xml:space="preserve">On the SMT web portal, Customers can request </w:t>
      </w:r>
      <w:r w:rsidR="009745D0">
        <w:rPr>
          <w:color w:val="auto"/>
          <w:szCs w:val="22"/>
        </w:rPr>
        <w:t>13</w:t>
      </w:r>
      <w:r w:rsidR="0013438C">
        <w:rPr>
          <w:color w:val="auto"/>
          <w:szCs w:val="22"/>
        </w:rPr>
        <w:t xml:space="preserve"> months of 15-minute usage data in the </w:t>
      </w:r>
      <w:r w:rsidR="00DF2A75">
        <w:rPr>
          <w:color w:val="auto"/>
          <w:szCs w:val="22"/>
        </w:rPr>
        <w:t>industry standard XML format</w:t>
      </w:r>
      <w:r w:rsidR="0013438C">
        <w:rPr>
          <w:color w:val="auto"/>
          <w:szCs w:val="22"/>
        </w:rPr>
        <w:t xml:space="preserve"> and </w:t>
      </w:r>
      <w:r w:rsidR="00DF2A75">
        <w:rPr>
          <w:color w:val="auto"/>
          <w:szCs w:val="22"/>
        </w:rPr>
        <w:t xml:space="preserve">a file will be </w:t>
      </w:r>
      <w:r w:rsidR="0013438C">
        <w:rPr>
          <w:color w:val="auto"/>
          <w:szCs w:val="22"/>
        </w:rPr>
        <w:t xml:space="preserve">emailed to </w:t>
      </w:r>
      <w:r w:rsidR="00DF2A75">
        <w:rPr>
          <w:color w:val="auto"/>
          <w:szCs w:val="22"/>
        </w:rPr>
        <w:t>the Customer</w:t>
      </w:r>
      <w:r w:rsidR="0013438C">
        <w:rPr>
          <w:color w:val="auto"/>
          <w:szCs w:val="22"/>
        </w:rPr>
        <w:t xml:space="preserve">. </w:t>
      </w:r>
      <w:r w:rsidR="00611975">
        <w:rPr>
          <w:color w:val="auto"/>
          <w:szCs w:val="22"/>
        </w:rPr>
        <w:t xml:space="preserve">Customers may </w:t>
      </w:r>
      <w:r w:rsidR="00611975" w:rsidRPr="00051972">
        <w:rPr>
          <w:color w:val="auto"/>
          <w:szCs w:val="22"/>
        </w:rPr>
        <w:t xml:space="preserve">then easily load the information into programs </w:t>
      </w:r>
      <w:r w:rsidR="00611975">
        <w:rPr>
          <w:color w:val="auto"/>
          <w:szCs w:val="22"/>
        </w:rPr>
        <w:t>that</w:t>
      </w:r>
      <w:r w:rsidR="00611975" w:rsidRPr="00051972">
        <w:rPr>
          <w:color w:val="auto"/>
          <w:szCs w:val="22"/>
        </w:rPr>
        <w:t xml:space="preserve"> help manage </w:t>
      </w:r>
      <w:r w:rsidR="00611975">
        <w:rPr>
          <w:color w:val="auto"/>
          <w:szCs w:val="22"/>
        </w:rPr>
        <w:t>their</w:t>
      </w:r>
      <w:r w:rsidR="00611975" w:rsidRPr="00051972">
        <w:rPr>
          <w:color w:val="auto"/>
          <w:szCs w:val="22"/>
        </w:rPr>
        <w:t xml:space="preserve"> electricity use</w:t>
      </w:r>
      <w:r w:rsidR="00611975">
        <w:rPr>
          <w:color w:val="auto"/>
          <w:szCs w:val="22"/>
        </w:rPr>
        <w:t xml:space="preserve"> or</w:t>
      </w:r>
      <w:r w:rsidR="0013438C">
        <w:rPr>
          <w:color w:val="auto"/>
          <w:szCs w:val="22"/>
        </w:rPr>
        <w:t xml:space="preserve"> share </w:t>
      </w:r>
      <w:r w:rsidR="00611975">
        <w:rPr>
          <w:color w:val="auto"/>
          <w:szCs w:val="22"/>
        </w:rPr>
        <w:t>their</w:t>
      </w:r>
      <w:r w:rsidR="0013438C">
        <w:rPr>
          <w:color w:val="auto"/>
          <w:szCs w:val="22"/>
        </w:rPr>
        <w:t xml:space="preserve"> </w:t>
      </w:r>
      <w:r w:rsidR="00611975">
        <w:rPr>
          <w:color w:val="auto"/>
          <w:szCs w:val="22"/>
        </w:rPr>
        <w:t xml:space="preserve">usage information </w:t>
      </w:r>
      <w:r w:rsidR="0013438C">
        <w:rPr>
          <w:color w:val="auto"/>
          <w:szCs w:val="22"/>
        </w:rPr>
        <w:t xml:space="preserve">with Third Parties who want to provide </w:t>
      </w:r>
      <w:r w:rsidR="00611975">
        <w:rPr>
          <w:color w:val="auto"/>
          <w:szCs w:val="22"/>
        </w:rPr>
        <w:t xml:space="preserve">energy management </w:t>
      </w:r>
      <w:r w:rsidR="0013438C">
        <w:rPr>
          <w:color w:val="auto"/>
          <w:szCs w:val="22"/>
        </w:rPr>
        <w:t xml:space="preserve">services to Customers. </w:t>
      </w:r>
    </w:p>
    <w:p w:rsidR="00EE458B" w:rsidRDefault="00EE458B" w:rsidP="005F3572">
      <w:pPr>
        <w:pStyle w:val="Heading2"/>
        <w:tabs>
          <w:tab w:val="clear" w:pos="576"/>
          <w:tab w:val="num" w:pos="0"/>
        </w:tabs>
        <w:spacing w:before="0"/>
        <w:ind w:left="0" w:hanging="720"/>
        <w:jc w:val="both"/>
      </w:pPr>
      <w:bookmarkStart w:id="98" w:name="_Ref347936877"/>
      <w:bookmarkStart w:id="99" w:name="_Toc348345348"/>
      <w:bookmarkStart w:id="100" w:name="_Toc349222584"/>
      <w:bookmarkStart w:id="101" w:name="_Toc401563559"/>
      <w:bookmarkEnd w:id="96"/>
      <w:bookmarkEnd w:id="97"/>
      <w:r>
        <w:t xml:space="preserve">ZigBee </w:t>
      </w:r>
      <w:bookmarkEnd w:id="98"/>
      <w:r>
        <w:t>Smart Energy Profile</w:t>
      </w:r>
      <w:bookmarkEnd w:id="99"/>
      <w:bookmarkEnd w:id="100"/>
      <w:bookmarkEnd w:id="101"/>
    </w:p>
    <w:p w:rsidR="005F3572" w:rsidRDefault="005F3572" w:rsidP="00002C44">
      <w:pPr>
        <w:jc w:val="both"/>
        <w:rPr>
          <w:rFonts w:ascii="Calibri" w:hAnsi="Calibri" w:cs="Times New Roman"/>
          <w:sz w:val="22"/>
        </w:rPr>
      </w:pPr>
      <w:r>
        <w:t xml:space="preserve">ZigBee is a high level wireless communication protocol using small, ultra-low power digital radios to create a wireless home area network by connecting different devices together for secure communications. SEP </w:t>
      </w:r>
      <w:r w:rsidR="00002C44">
        <w:t>1.0 is an</w:t>
      </w:r>
      <w:r w:rsidR="004D6616">
        <w:t xml:space="preserve"> </w:t>
      </w:r>
      <w:r>
        <w:t>interoperable public application software for energy applications developed by the ZigBee Alliance that enables HAN device interoperability regardless of the device manufacturer. SEP 1.0 provides a set of functionality for energy HANs designed to meet the requirements established in the OpenHAN System Requirements Specification</w:t>
      </w:r>
      <w:r>
        <w:rPr>
          <w:rStyle w:val="FootnoteReference"/>
        </w:rPr>
        <w:footnoteReference w:id="17"/>
      </w:r>
      <w:r>
        <w:t>. The functionality provided by SEP 1.0 include real-time electrical usage data, pricing support, text messaging, direct load control, and demand response capability. Real-time electrical usage is supplied to other devices connected to the HAN directly from the smart meter and the remaining SEP 1.0 capabilities are enabled by the SMT HAN APIs.</w:t>
      </w:r>
    </w:p>
    <w:p w:rsidR="00003A54" w:rsidRDefault="00003A54" w:rsidP="00003A54">
      <w:pPr>
        <w:pStyle w:val="Heading2"/>
        <w:tabs>
          <w:tab w:val="clear" w:pos="576"/>
        </w:tabs>
        <w:spacing w:before="240"/>
        <w:ind w:left="0" w:hanging="720"/>
      </w:pPr>
      <w:bookmarkStart w:id="102" w:name="_Toc348345362"/>
      <w:bookmarkStart w:id="103" w:name="_Toc349222586"/>
      <w:bookmarkStart w:id="104" w:name="_Toc401563560"/>
      <w:bookmarkStart w:id="105" w:name="_Ref347937393"/>
      <w:bookmarkStart w:id="106" w:name="_Ref347937347"/>
      <w:bookmarkStart w:id="107" w:name="_Toc348345351"/>
      <w:bookmarkStart w:id="108" w:name="_Toc349222585"/>
      <w:r>
        <w:t>UCAIug Home Area Network System Requirements Specification</w:t>
      </w:r>
      <w:bookmarkEnd w:id="102"/>
      <w:bookmarkEnd w:id="103"/>
      <w:bookmarkEnd w:id="104"/>
    </w:p>
    <w:p w:rsidR="00003A54" w:rsidRDefault="008546AD" w:rsidP="00002C44">
      <w:pPr>
        <w:pStyle w:val="BodyText"/>
        <w:spacing w:after="0"/>
        <w:jc w:val="both"/>
      </w:pPr>
      <w:r>
        <w:t xml:space="preserve">The UCAIug Home Area Network System Requirements Specification (HAN SRS) is a set of high level business </w:t>
      </w:r>
      <w:r w:rsidRPr="00D54CE4">
        <w:t xml:space="preserve">requirements </w:t>
      </w:r>
      <w:r>
        <w:t>for</w:t>
      </w:r>
      <w:r w:rsidRPr="00D54CE4">
        <w:t xml:space="preserve"> </w:t>
      </w:r>
      <w:r>
        <w:t xml:space="preserve">a Customer energy HAN that is able to engage in </w:t>
      </w:r>
      <w:r w:rsidRPr="00D54CE4">
        <w:t xml:space="preserve">secure </w:t>
      </w:r>
      <w:r>
        <w:t xml:space="preserve">two-way </w:t>
      </w:r>
      <w:r w:rsidRPr="00D54CE4">
        <w:t>communication</w:t>
      </w:r>
      <w:r>
        <w:t>s</w:t>
      </w:r>
      <w:r w:rsidRPr="00D54CE4">
        <w:t xml:space="preserve"> between </w:t>
      </w:r>
      <w:r>
        <w:t>HAN service p</w:t>
      </w:r>
      <w:r w:rsidRPr="00D54CE4">
        <w:t>rovider</w:t>
      </w:r>
      <w:r>
        <w:t>s and</w:t>
      </w:r>
      <w:r w:rsidRPr="00D54CE4">
        <w:t xml:space="preserve"> Customer </w:t>
      </w:r>
      <w:r w:rsidR="00342862">
        <w:t>In-Home D</w:t>
      </w:r>
      <w:r>
        <w:t xml:space="preserve">evices. </w:t>
      </w:r>
      <w:r w:rsidR="00003A54">
        <w:t xml:space="preserve">SMT enables the process described in </w:t>
      </w:r>
      <w:r>
        <w:t>the HAN SRS</w:t>
      </w:r>
      <w:r w:rsidRPr="003D7375">
        <w:t xml:space="preserve"> </w:t>
      </w:r>
      <w:r w:rsidR="00003A54">
        <w:t>version 2.0</w:t>
      </w:r>
      <w:r>
        <w:rPr>
          <w:rStyle w:val="FootnoteReference"/>
        </w:rPr>
        <w:footnoteReference w:id="18"/>
      </w:r>
      <w:r w:rsidR="00003A54">
        <w:t xml:space="preserve"> of adding a</w:t>
      </w:r>
      <w:r w:rsidR="00342862">
        <w:t>n In-Home</w:t>
      </w:r>
      <w:r w:rsidR="00003A54">
        <w:t xml:space="preserve"> </w:t>
      </w:r>
      <w:r w:rsidR="00342862">
        <w:t>D</w:t>
      </w:r>
      <w:r w:rsidR="00003A54">
        <w:t>evice to the Customer HAN (i.e.</w:t>
      </w:r>
      <w:r w:rsidR="00667BE9">
        <w:t>,</w:t>
      </w:r>
      <w:r w:rsidR="00003A54">
        <w:t xml:space="preserve"> commissioning and registration). Once a Customer has accepted a</w:t>
      </w:r>
      <w:r w:rsidR="00342862">
        <w:t>n</w:t>
      </w:r>
      <w:r w:rsidR="00003A54">
        <w:t xml:space="preserve"> </w:t>
      </w:r>
      <w:r w:rsidR="00342862">
        <w:t xml:space="preserve">In-Home </w:t>
      </w:r>
      <w:r w:rsidR="00003A54">
        <w:t>Device Agreement with a Third Party, SMT will automatically initiate the process of adding a</w:t>
      </w:r>
      <w:r w:rsidR="00342862">
        <w:t>n</w:t>
      </w:r>
      <w:r w:rsidR="00003A54">
        <w:t xml:space="preserve"> </w:t>
      </w:r>
      <w:r w:rsidR="00342862">
        <w:t>In-Home D</w:t>
      </w:r>
      <w:r w:rsidR="00003A54">
        <w:t xml:space="preserve">evice to the Customer HAN.  In addition, SMT enables the enrollment of Customer </w:t>
      </w:r>
      <w:r w:rsidR="00342862">
        <w:t>In-Home D</w:t>
      </w:r>
      <w:r w:rsidR="00003A54">
        <w:t xml:space="preserve">evices in Third Party programs, a process discussed in the HAN SRS, through the </w:t>
      </w:r>
      <w:r w:rsidR="00342862">
        <w:t xml:space="preserve">In-Home Device </w:t>
      </w:r>
      <w:r w:rsidR="00003A54">
        <w:t>Services Agreement. Once a</w:t>
      </w:r>
      <w:r w:rsidR="00342862">
        <w:t>n</w:t>
      </w:r>
      <w:r w:rsidR="00003A54">
        <w:t xml:space="preserve"> </w:t>
      </w:r>
      <w:r w:rsidR="00342862">
        <w:t xml:space="preserve">In-Home Device </w:t>
      </w:r>
      <w:r w:rsidR="00003A54">
        <w:t>Services Agreement is in place between a Customer and Third Party, SMT enabl</w:t>
      </w:r>
      <w:r>
        <w:t>es the</w:t>
      </w:r>
      <w:r w:rsidR="00003A54">
        <w:t xml:space="preserve"> Third Party to send messages to a Customer’s </w:t>
      </w:r>
      <w:r w:rsidR="00342862">
        <w:t>In-Home D</w:t>
      </w:r>
      <w:r w:rsidR="00003A54">
        <w:t>evice using one of the standard HAN APIs.</w:t>
      </w:r>
      <w:bookmarkEnd w:id="105"/>
    </w:p>
    <w:p w:rsidR="00EE458B" w:rsidRDefault="00EE458B" w:rsidP="008D3649">
      <w:pPr>
        <w:pStyle w:val="Heading2"/>
        <w:tabs>
          <w:tab w:val="clear" w:pos="576"/>
        </w:tabs>
        <w:spacing w:before="240"/>
        <w:ind w:left="0" w:hanging="720"/>
      </w:pPr>
      <w:bookmarkStart w:id="109" w:name="_Ref355171518"/>
      <w:bookmarkStart w:id="110" w:name="_Toc401563561"/>
      <w:r>
        <w:t>NAESB Third Par</w:t>
      </w:r>
      <w:r w:rsidR="006A29B7">
        <w:t>ty Access to Smart Meter-based I</w:t>
      </w:r>
      <w:r>
        <w:t>nformation</w:t>
      </w:r>
      <w:bookmarkEnd w:id="106"/>
      <w:bookmarkEnd w:id="107"/>
      <w:bookmarkEnd w:id="108"/>
      <w:bookmarkEnd w:id="109"/>
      <w:bookmarkEnd w:id="110"/>
    </w:p>
    <w:p w:rsidR="002003A4" w:rsidRPr="00747B46" w:rsidRDefault="00EE458B" w:rsidP="002003A4">
      <w:pPr>
        <w:jc w:val="both"/>
        <w:rPr>
          <w:rFonts w:cs="Times New Roman"/>
        </w:rPr>
      </w:pPr>
      <w:r>
        <w:t xml:space="preserve">SMT adopted many of the </w:t>
      </w:r>
      <w:r w:rsidR="008D12E1">
        <w:t>model business practices in the</w:t>
      </w:r>
      <w:r>
        <w:t xml:space="preserve"> </w:t>
      </w:r>
      <w:r w:rsidR="008D12E1">
        <w:t xml:space="preserve">NAESB standard </w:t>
      </w:r>
      <w:r w:rsidR="008D12E1" w:rsidRPr="00C56A9C">
        <w:t>REQ.22 - Third Party Access to Smart Meter-based Information Model Business Practices (MBPs)</w:t>
      </w:r>
      <w:r w:rsidR="008D12E1">
        <w:t>.</w:t>
      </w:r>
      <w:r>
        <w:t xml:space="preserve"> </w:t>
      </w:r>
      <w:r w:rsidR="008D12E1">
        <w:t xml:space="preserve"> </w:t>
      </w:r>
      <w:r>
        <w:t xml:space="preserve">SMT conforms to </w:t>
      </w:r>
      <w:r w:rsidR="00E71CBB">
        <w:t>the high level principles in this</w:t>
      </w:r>
      <w:r>
        <w:t xml:space="preserve"> standard related to the ease of granting Third Party access and the accessibility and transparency of the SMT privacy policy. SMT provides an easy to use, traceable method for Customers to grant Third Parties access to their usage information. SMT’s privacy policy is clearly stated in its Terms and Conditions, which are accessible through a link </w:t>
      </w:r>
      <w:r w:rsidR="008D43BB">
        <w:t xml:space="preserve">which is </w:t>
      </w:r>
      <w:r>
        <w:t xml:space="preserve">strategically placed on the SMT web portal and in communications to Customers regarding Third Party access. </w:t>
      </w:r>
      <w:r w:rsidR="002003A4" w:rsidRPr="00747B46">
        <w:rPr>
          <w:rFonts w:cs="Times New Roman"/>
        </w:rPr>
        <w:t xml:space="preserve">In addition, Third Parties </w:t>
      </w:r>
      <w:r w:rsidR="002003A4">
        <w:rPr>
          <w:rFonts w:cs="Times New Roman"/>
        </w:rPr>
        <w:t xml:space="preserve">may voluntarily </w:t>
      </w:r>
      <w:r w:rsidR="00342862" w:rsidRPr="00342862">
        <w:rPr>
          <w:rFonts w:cs="Times New Roman"/>
        </w:rPr>
        <w:t>attest to meeting the requirements of a national privacy seal and provide a link to their privacy policy, both of which are provided in Third Party communications with the Customer</w:t>
      </w:r>
      <w:r w:rsidR="002003A4" w:rsidRPr="00747B46">
        <w:rPr>
          <w:rFonts w:cs="Times New Roman"/>
        </w:rPr>
        <w:t>.</w:t>
      </w:r>
    </w:p>
    <w:p w:rsidR="00093235" w:rsidRDefault="00093235" w:rsidP="00002C44">
      <w:pPr>
        <w:jc w:val="both"/>
      </w:pPr>
      <w:r>
        <w:t xml:space="preserve">The NAESB model business practices for Third Party access to </w:t>
      </w:r>
      <w:r w:rsidR="00E71CBB">
        <w:t xml:space="preserve">smart meter-based </w:t>
      </w:r>
      <w:r>
        <w:t>information are grouped into ten (10) privacy categories which are discussed in the following sections as they relate to SMT Third Party functionality.</w:t>
      </w:r>
    </w:p>
    <w:p w:rsidR="00093235" w:rsidRDefault="00093235" w:rsidP="00AA6DD5">
      <w:pPr>
        <w:pStyle w:val="Heading3"/>
      </w:pPr>
      <w:bookmarkStart w:id="111" w:name="_Toc348345352"/>
      <w:r w:rsidRPr="008D12E1">
        <w:t>Management</w:t>
      </w:r>
      <w:r>
        <w:t xml:space="preserve"> and Accountability</w:t>
      </w:r>
      <w:bookmarkEnd w:id="111"/>
    </w:p>
    <w:p w:rsidR="00AB2771" w:rsidRDefault="00093235" w:rsidP="00002C44">
      <w:pPr>
        <w:jc w:val="both"/>
      </w:pPr>
      <w:r>
        <w:t>Business practices in this category relate to internal policies and best practices on the disclosure of smart meter-based information to Third Parties. SMT conforms to these business practices by allowing only the Customer to authorize</w:t>
      </w:r>
      <w:r w:rsidR="007F16E5">
        <w:t xml:space="preserve"> </w:t>
      </w:r>
      <w:r>
        <w:t xml:space="preserve">a Third Party to access their usage information. </w:t>
      </w:r>
      <w:r w:rsidR="007F16E5">
        <w:t xml:space="preserve">A Customer must accept an invitation to enter into an Energy Data Agreement with </w:t>
      </w:r>
      <w:r w:rsidR="00C150C8">
        <w:t>a</w:t>
      </w:r>
      <w:r w:rsidR="007F16E5">
        <w:t xml:space="preserve"> Third Party prior to the Third Party accessing their usage data. </w:t>
      </w:r>
      <w:r>
        <w:t xml:space="preserve">The NAESB model business practice related to recording and retaining records </w:t>
      </w:r>
      <w:r w:rsidR="00C150C8">
        <w:t>of</w:t>
      </w:r>
      <w:r>
        <w:t xml:space="preserve"> disclosures of information to Third Parties is also part of the SMT process. </w:t>
      </w:r>
      <w:r w:rsidR="00744597">
        <w:t xml:space="preserve">Reports are available from SMT that document how many Energy Data Agreements have been entered into by Customers and how many usage reports are requested by Third Parties. </w:t>
      </w:r>
      <w:r w:rsidR="00AB2771">
        <w:t xml:space="preserve">TDSPs and Regulatory users may view </w:t>
      </w:r>
      <w:r w:rsidR="00744597">
        <w:t xml:space="preserve">these </w:t>
      </w:r>
      <w:r w:rsidR="00AB2771">
        <w:t xml:space="preserve">reports </w:t>
      </w:r>
      <w:r w:rsidR="00744597">
        <w:t xml:space="preserve">and </w:t>
      </w:r>
      <w:r w:rsidR="00AB2771">
        <w:t>Customers may view reports on the number of usage reports a Third Party requests for their data.</w:t>
      </w:r>
    </w:p>
    <w:p w:rsidR="00093235" w:rsidRDefault="00093235" w:rsidP="00002C44">
      <w:pPr>
        <w:jc w:val="both"/>
      </w:pPr>
      <w:r>
        <w:t xml:space="preserve">The model business practice governing unauthorized access by a terminated employee is in the SMT design. </w:t>
      </w:r>
      <w:r w:rsidR="007F16E5">
        <w:t xml:space="preserve">Third Party </w:t>
      </w:r>
      <w:r>
        <w:t>Administrators have the ability to terminate access to any user that is associated with their company account, thus avoiding unauthorized access by a terminated employee.</w:t>
      </w:r>
    </w:p>
    <w:p w:rsidR="00093235" w:rsidRDefault="00093235" w:rsidP="00AA6DD5">
      <w:pPr>
        <w:pStyle w:val="Heading3"/>
      </w:pPr>
      <w:bookmarkStart w:id="112" w:name="_Toc348345353"/>
      <w:r>
        <w:t>Notice and Purpose</w:t>
      </w:r>
      <w:bookmarkEnd w:id="112"/>
    </w:p>
    <w:p w:rsidR="00093235" w:rsidRDefault="00093235" w:rsidP="00002C44">
      <w:pPr>
        <w:jc w:val="both"/>
      </w:pPr>
      <w:r>
        <w:t xml:space="preserve">Business practices in this category relate to providing a clear notice to Customers that their usage information will not be disclosed to a Third Party unless the Customer authorizes such disclosure, providing understandable and easily accessible privacy policies, and providing understandable authorization terms and conditions. SMT has adopted these business practices. </w:t>
      </w:r>
    </w:p>
    <w:p w:rsidR="009D39C9" w:rsidRDefault="00093235" w:rsidP="00002C44">
      <w:pPr>
        <w:jc w:val="both"/>
      </w:pPr>
      <w:r>
        <w:t>SMT has easy to understand Customer User Guides that explain how a Customer may</w:t>
      </w:r>
      <w:r w:rsidR="00FB7DF0">
        <w:t xml:space="preserve"> grant</w:t>
      </w:r>
      <w:r>
        <w:t xml:space="preserve"> a Third Party </w:t>
      </w:r>
      <w:r w:rsidR="00FB7DF0">
        <w:t xml:space="preserve">permission </w:t>
      </w:r>
      <w:r>
        <w:t xml:space="preserve">to access to their usage data. </w:t>
      </w:r>
      <w:r w:rsidR="00C150C8">
        <w:t xml:space="preserve">In the email invitation to the Customer, it </w:t>
      </w:r>
      <w:r w:rsidR="009D39C9">
        <w:t xml:space="preserve">informs the Customer that if they accept the email invitation they are authorizing the Third Party to have access to their </w:t>
      </w:r>
      <w:r w:rsidR="00342862">
        <w:t xml:space="preserve">energy </w:t>
      </w:r>
      <w:r w:rsidR="009D39C9">
        <w:t>data</w:t>
      </w:r>
      <w:r w:rsidR="00342862">
        <w:t xml:space="preserve"> </w:t>
      </w:r>
      <w:r w:rsidR="00342862" w:rsidRPr="00342862">
        <w:t>and encourages the Customer to review the Third Party’s privacy policy, if provided</w:t>
      </w:r>
      <w:r w:rsidR="009D39C9">
        <w:t xml:space="preserve">. The following is </w:t>
      </w:r>
      <w:r w:rsidR="00D32F56">
        <w:t>in</w:t>
      </w:r>
      <w:r w:rsidR="009D39C9">
        <w:t xml:space="preserve"> the email </w:t>
      </w:r>
      <w:r w:rsidR="00D32F56">
        <w:t xml:space="preserve">agreement </w:t>
      </w:r>
      <w:r w:rsidR="009D39C9">
        <w:t xml:space="preserve">invitation </w:t>
      </w:r>
      <w:r w:rsidR="00921E2B">
        <w:t>that a Customer receives:</w:t>
      </w:r>
    </w:p>
    <w:p w:rsidR="00C150C8" w:rsidRPr="00D32F56" w:rsidRDefault="00C150C8" w:rsidP="00002C44">
      <w:pPr>
        <w:ind w:left="180"/>
        <w:jc w:val="both"/>
      </w:pPr>
      <w:r>
        <w:t>“</w:t>
      </w:r>
      <w:r w:rsidR="0015594D" w:rsidRPr="0015594D">
        <w:t>This agreement allows &lt; 3rd Party name&gt; to see and download your energy usage, meter and premise information</w:t>
      </w:r>
      <w:r w:rsidR="009D39C9" w:rsidRPr="00D32F56">
        <w:t>.</w:t>
      </w:r>
      <w:r w:rsidRPr="00D32F56">
        <w:t>”</w:t>
      </w:r>
    </w:p>
    <w:p w:rsidR="009D39C9" w:rsidRDefault="009D39C9" w:rsidP="00002C44">
      <w:pPr>
        <w:ind w:left="180"/>
        <w:jc w:val="both"/>
      </w:pPr>
      <w:r w:rsidRPr="00D32F56">
        <w:t>“</w:t>
      </w:r>
      <w:r w:rsidR="0015594D" w:rsidRPr="0015594D">
        <w:t>If available, you are encouraged to review their privacy policy as it relates to how they manage your information before accepting this agreement</w:t>
      </w:r>
      <w:r w:rsidRPr="00D32F56">
        <w:t>.”</w:t>
      </w:r>
    </w:p>
    <w:p w:rsidR="008D43BB" w:rsidRDefault="008D43BB" w:rsidP="008D43BB">
      <w:pPr>
        <w:jc w:val="both"/>
      </w:pPr>
      <w:r>
        <w:t xml:space="preserve">The email invitation includes all the authorization terms and conditions, a link to the Third Party’s privacy policy, if such link is provided by the Third Party, and a link to SMT’s privacy policy. </w:t>
      </w:r>
      <w:r w:rsidR="002003A4" w:rsidRPr="00747B46">
        <w:rPr>
          <w:rFonts w:cs="Times New Roman"/>
        </w:rPr>
        <w:t xml:space="preserve">In addition, SMT allows a Third Party to state whether they meet the requirements </w:t>
      </w:r>
      <w:r w:rsidR="002003A4">
        <w:rPr>
          <w:rFonts w:cs="Times New Roman"/>
        </w:rPr>
        <w:t xml:space="preserve">of </w:t>
      </w:r>
      <w:r w:rsidR="002003A4" w:rsidRPr="00747B46">
        <w:rPr>
          <w:rFonts w:cs="Times New Roman"/>
        </w:rPr>
        <w:t>a national privacy seal</w:t>
      </w:r>
      <w:r w:rsidRPr="00D32F56">
        <w:t>.</w:t>
      </w:r>
    </w:p>
    <w:p w:rsidR="00093235" w:rsidRDefault="00093235" w:rsidP="00AA6DD5">
      <w:pPr>
        <w:pStyle w:val="Heading3"/>
      </w:pPr>
      <w:bookmarkStart w:id="113" w:name="_Toc348345354"/>
      <w:r>
        <w:t>Choice and Consent</w:t>
      </w:r>
      <w:bookmarkEnd w:id="113"/>
    </w:p>
    <w:p w:rsidR="00093235" w:rsidRPr="009E44A7" w:rsidRDefault="00093235" w:rsidP="00002C44">
      <w:pPr>
        <w:jc w:val="both"/>
      </w:pPr>
      <w:r>
        <w:t xml:space="preserve">Business practices in this category relate to obtaining and verifying the Customer’s authorization or withdrawal of authorization through a clear, concise, understandable, and easily accessible method. A Customer’s authorization is obtained and verified by SMT when the Customer accepts an email invitation </w:t>
      </w:r>
      <w:r w:rsidR="00BE3BFE">
        <w:t>and</w:t>
      </w:r>
      <w:r>
        <w:t xml:space="preserve"> an Energy Data Agreement with a Third Party</w:t>
      </w:r>
      <w:r w:rsidR="00BE3BFE">
        <w:t xml:space="preserve"> is created</w:t>
      </w:r>
      <w:r>
        <w:t>. The Customer may withdraw their authorization at any time without the consent of the Third Party by terminating the Energy Data Agreement on the SMT web portal.</w:t>
      </w:r>
    </w:p>
    <w:p w:rsidR="00093235" w:rsidRDefault="00093235" w:rsidP="00AA6DD5">
      <w:pPr>
        <w:pStyle w:val="Heading3"/>
      </w:pPr>
      <w:bookmarkStart w:id="114" w:name="_Toc348345355"/>
      <w:r>
        <w:t>Collection and Scope</w:t>
      </w:r>
      <w:bookmarkEnd w:id="114"/>
    </w:p>
    <w:p w:rsidR="00093235" w:rsidRDefault="00093235" w:rsidP="00002C44">
      <w:pPr>
        <w:jc w:val="both"/>
      </w:pPr>
      <w:r>
        <w:t>The business practice</w:t>
      </w:r>
      <w:r w:rsidR="009520C0">
        <w:t>s</w:t>
      </w:r>
      <w:r>
        <w:t xml:space="preserve"> in this category limits the Third Party’s collection of smart meter information to only the information and for the stated purpose as set forth in the Customer’s authorization. </w:t>
      </w:r>
      <w:r w:rsidR="007804B9">
        <w:t>SMT will only allow a Third Party access to a Customer’s usage information for the period of time set forth in the Energy Data Agreement.</w:t>
      </w:r>
      <w:r>
        <w:t xml:space="preserve"> SMT will terminate the Third Party’s access immediately following a Customer’s termination of the Energy Data Agreement</w:t>
      </w:r>
      <w:r w:rsidR="00F775F1">
        <w:t xml:space="preserve"> or the end of the term of the agreement, whichever comes first</w:t>
      </w:r>
      <w:r>
        <w:t>.</w:t>
      </w:r>
    </w:p>
    <w:p w:rsidR="00093235" w:rsidRDefault="00093235" w:rsidP="00AA6DD5">
      <w:pPr>
        <w:pStyle w:val="Heading3"/>
      </w:pPr>
      <w:bookmarkStart w:id="115" w:name="_Toc348345356"/>
      <w:r>
        <w:t>Use and Retention</w:t>
      </w:r>
      <w:bookmarkEnd w:id="115"/>
    </w:p>
    <w:p w:rsidR="00093235" w:rsidRPr="00FC35C3" w:rsidRDefault="00093235" w:rsidP="00002C44">
      <w:pPr>
        <w:jc w:val="both"/>
      </w:pPr>
      <w:r>
        <w:t>The business practices in this category relate to a Third Party’s retention of Customer smart meter information. A Third Party data retention policy is out of scope for SMT.</w:t>
      </w:r>
    </w:p>
    <w:p w:rsidR="00093235" w:rsidRDefault="00093235" w:rsidP="00AA6DD5">
      <w:pPr>
        <w:pStyle w:val="Heading3"/>
      </w:pPr>
      <w:bookmarkStart w:id="116" w:name="_Toc348345357"/>
      <w:r>
        <w:t>Individual Access</w:t>
      </w:r>
      <w:bookmarkEnd w:id="116"/>
    </w:p>
    <w:p w:rsidR="00093235" w:rsidRPr="00FC35C3" w:rsidRDefault="00093235" w:rsidP="00002C44">
      <w:pPr>
        <w:jc w:val="both"/>
      </w:pPr>
      <w:r>
        <w:t xml:space="preserve">The business practices in this category relate to providing Customers access to their smart meter information. Providing Customers access to their usage information is one of the primary functions of SMT. SMT provides this access through the SMT web portal so Customers can view and export their data. </w:t>
      </w:r>
    </w:p>
    <w:p w:rsidR="00093235" w:rsidRDefault="00093235" w:rsidP="00AA6DD5">
      <w:pPr>
        <w:pStyle w:val="Heading3"/>
      </w:pPr>
      <w:bookmarkStart w:id="117" w:name="_Toc348345358"/>
      <w:r>
        <w:t>Disclosure and Limiting Use</w:t>
      </w:r>
      <w:bookmarkEnd w:id="117"/>
    </w:p>
    <w:p w:rsidR="00093235" w:rsidRDefault="00093235" w:rsidP="00002C44">
      <w:pPr>
        <w:jc w:val="both"/>
      </w:pPr>
      <w:r>
        <w:t xml:space="preserve">The business practices in this category relate to disclosing Customer usage information to authorized Third Parties, disclosing aggregated usage information, not disclosing the usage information of a previous resident, and disclosing usage information to a law enforcement agency or court of law.   </w:t>
      </w:r>
    </w:p>
    <w:p w:rsidR="00093235" w:rsidRDefault="00093235" w:rsidP="00002C44">
      <w:pPr>
        <w:jc w:val="both"/>
      </w:pPr>
      <w:r>
        <w:t xml:space="preserve">SMT has a defined process for Third Party access to Customer usage information and only allows a Third Party access when an Energy Data Agreement is active between the Third Party and the Customer. When a Customer moves into a premise, that information </w:t>
      </w:r>
      <w:r w:rsidR="007243E9">
        <w:t xml:space="preserve">is conveyed to SMT through a </w:t>
      </w:r>
      <w:r>
        <w:t>daily file</w:t>
      </w:r>
      <w:r w:rsidR="007243E9">
        <w:t xml:space="preserve"> of market transactions sent by each TDSP</w:t>
      </w:r>
      <w:r>
        <w:t xml:space="preserve"> and </w:t>
      </w:r>
      <w:r w:rsidR="007243E9">
        <w:t xml:space="preserve">SMT will block a </w:t>
      </w:r>
      <w:r>
        <w:t>new resident</w:t>
      </w:r>
      <w:r w:rsidR="007243E9">
        <w:t xml:space="preserve">’s </w:t>
      </w:r>
      <w:r>
        <w:t xml:space="preserve">access </w:t>
      </w:r>
      <w:r w:rsidR="007804B9">
        <w:t xml:space="preserve">to </w:t>
      </w:r>
      <w:r w:rsidR="007243E9">
        <w:t>t</w:t>
      </w:r>
      <w:r>
        <w:t>he previous resident’s usage information. SMT website Terms and Conditions, which all users must agree to prior to accessing SMT functionality, states that SMT will only disclose Customer usage information to a governmental agency or entity when required to by law, regulation, rule, or court order.</w:t>
      </w:r>
    </w:p>
    <w:p w:rsidR="00093235" w:rsidRDefault="00093235" w:rsidP="00AA6DD5">
      <w:pPr>
        <w:pStyle w:val="Heading3"/>
      </w:pPr>
      <w:bookmarkStart w:id="118" w:name="_Toc348345359"/>
      <w:r>
        <w:t>Security and Safeguards</w:t>
      </w:r>
      <w:bookmarkEnd w:id="118"/>
    </w:p>
    <w:p w:rsidR="00093235" w:rsidRDefault="00093235" w:rsidP="00002C44">
      <w:pPr>
        <w:jc w:val="both"/>
      </w:pPr>
      <w:r>
        <w:t xml:space="preserve">The business practices in this category relate to the use of information privacy protections, performing a risk assessment related to unauthorized access, developing a comprehensive set of privacy use cases to track smart meter information, and measures to protect the accuracy of the data. </w:t>
      </w:r>
    </w:p>
    <w:p w:rsidR="00D33949" w:rsidRDefault="00093235" w:rsidP="00002C44">
      <w:pPr>
        <w:jc w:val="both"/>
        <w:rPr>
          <w:szCs w:val="20"/>
        </w:rPr>
      </w:pPr>
      <w:r>
        <w:t>SMT adheres to best practices as defined by PCI and NERC CIP cyber security standards for protection of Customer privacy. SMT has implemented a number of technologies to mitigate the risk of unauthorized access. The PUCT Advanced Metering rule required that “</w:t>
      </w:r>
      <w:r>
        <w:rPr>
          <w:szCs w:val="20"/>
        </w:rPr>
        <w:t>an independent security audit of the mechanism for Custom</w:t>
      </w:r>
      <w:r w:rsidRPr="00002C44">
        <w:rPr>
          <w:b/>
          <w:szCs w:val="20"/>
        </w:rPr>
        <w:t>e</w:t>
      </w:r>
      <w:r>
        <w:rPr>
          <w:szCs w:val="20"/>
        </w:rPr>
        <w:t xml:space="preserve">r and REP access to meter data </w:t>
      </w:r>
      <w:r w:rsidRPr="00D15E93">
        <w:rPr>
          <w:i/>
          <w:szCs w:val="20"/>
        </w:rPr>
        <w:t xml:space="preserve">[be] </w:t>
      </w:r>
      <w:r>
        <w:rPr>
          <w:szCs w:val="20"/>
        </w:rPr>
        <w:t>conducted within one year of initiating such access and promptly report the results to the commission.”</w:t>
      </w:r>
      <w:r>
        <w:rPr>
          <w:rStyle w:val="FootnoteReference"/>
          <w:szCs w:val="20"/>
        </w:rPr>
        <w:footnoteReference w:id="19"/>
      </w:r>
      <w:r>
        <w:rPr>
          <w:szCs w:val="20"/>
        </w:rPr>
        <w:t xml:space="preserve"> This security audit had been conducted. </w:t>
      </w:r>
    </w:p>
    <w:p w:rsidR="00D33949" w:rsidRDefault="00F43A92" w:rsidP="00002C44">
      <w:pPr>
        <w:jc w:val="both"/>
        <w:rPr>
          <w:szCs w:val="20"/>
        </w:rPr>
      </w:pPr>
      <w:r>
        <w:rPr>
          <w:szCs w:val="20"/>
        </w:rPr>
        <w:t>E</w:t>
      </w:r>
      <w:r w:rsidR="00093235">
        <w:rPr>
          <w:szCs w:val="20"/>
        </w:rPr>
        <w:t xml:space="preserve">xtensive storyboards </w:t>
      </w:r>
      <w:r>
        <w:rPr>
          <w:szCs w:val="20"/>
        </w:rPr>
        <w:t xml:space="preserve">have been created </w:t>
      </w:r>
      <w:r w:rsidR="00093235">
        <w:rPr>
          <w:szCs w:val="20"/>
        </w:rPr>
        <w:t xml:space="preserve">that detail the flow of smart meter information to Third Parties beginning with the Customer authorization through the Energy Data Agreement and ending with the termination of the Energy Data Agreement or when a Customer moves out of a residence. </w:t>
      </w:r>
      <w:r w:rsidR="00D33949">
        <w:rPr>
          <w:szCs w:val="20"/>
        </w:rPr>
        <w:t>To protect the privacy of the Customer information usage reports requested by Third Parties are sent to the Third Party’s SMT FTPS folder rather than by email.</w:t>
      </w:r>
    </w:p>
    <w:p w:rsidR="00093235" w:rsidRPr="00662CF8" w:rsidRDefault="00093235" w:rsidP="00002C44">
      <w:pPr>
        <w:jc w:val="both"/>
      </w:pPr>
      <w:r>
        <w:rPr>
          <w:szCs w:val="20"/>
        </w:rPr>
        <w:t>The accuracy of the usage information is a function of the TDSPS and is out of scope for SMT.</w:t>
      </w:r>
    </w:p>
    <w:p w:rsidR="00093235" w:rsidRDefault="00093235" w:rsidP="00AA6DD5">
      <w:pPr>
        <w:pStyle w:val="Heading3"/>
      </w:pPr>
      <w:bookmarkStart w:id="119" w:name="_Toc348345360"/>
      <w:r>
        <w:t>Accuracy and Quality</w:t>
      </w:r>
      <w:bookmarkEnd w:id="119"/>
    </w:p>
    <w:p w:rsidR="00093235" w:rsidRPr="00930EE9" w:rsidRDefault="00093235" w:rsidP="00002C44">
      <w:pPr>
        <w:jc w:val="both"/>
      </w:pPr>
      <w:r>
        <w:t>The business practices in this category relate to the accuracy and quality of the usage information. The TDSP is responsible for the accuracy and quality of t</w:t>
      </w:r>
      <w:r w:rsidR="00013D9C">
        <w:t xml:space="preserve">he usage information </w:t>
      </w:r>
      <w:r>
        <w:t>and SMT is responsible for making the data available</w:t>
      </w:r>
      <w:r w:rsidR="00013D9C">
        <w:t>; therefore</w:t>
      </w:r>
      <w:r>
        <w:t xml:space="preserve"> this </w:t>
      </w:r>
      <w:r w:rsidR="00013D9C">
        <w:t xml:space="preserve">category </w:t>
      </w:r>
      <w:r>
        <w:t>is out of scope for SMT.</w:t>
      </w:r>
    </w:p>
    <w:p w:rsidR="00093235" w:rsidRDefault="00093235" w:rsidP="00AA6DD5">
      <w:pPr>
        <w:pStyle w:val="Heading3"/>
      </w:pPr>
      <w:bookmarkStart w:id="120" w:name="_Toc348345361"/>
      <w:r>
        <w:t>Openness, Monitoring, and Challenging Compliance</w:t>
      </w:r>
      <w:bookmarkEnd w:id="120"/>
    </w:p>
    <w:p w:rsidR="00093235" w:rsidRDefault="00093235" w:rsidP="00002C44">
      <w:pPr>
        <w:spacing w:after="0"/>
        <w:jc w:val="both"/>
      </w:pPr>
      <w:r>
        <w:t>The business practices in this category relate to providing Customer education and establishing complaint procedures to address Customer disputes regarding disclosure of smart meter information to Third Parties. Prior to implementation of the SMT Third Party access function, Customer’s will be notified and the Customer User Guides will be updated. Establishing complaint procedures is done through Texas law or PUCT rules and is out of scope for SMT.</w:t>
      </w:r>
    </w:p>
    <w:p w:rsidR="007D3C41" w:rsidRDefault="007D3C41" w:rsidP="00002C44">
      <w:pPr>
        <w:spacing w:after="0"/>
        <w:jc w:val="both"/>
      </w:pPr>
      <w:r>
        <w:t>In addition to adopting many of these model business practices for the SMT functions related to energy usage information, SMT has adopted as many as are applicable to the SMT HAN functions.</w:t>
      </w:r>
    </w:p>
    <w:p w:rsidR="0054098B" w:rsidRDefault="001F4C32" w:rsidP="001838F4">
      <w:pPr>
        <w:pStyle w:val="Heading1"/>
        <w:spacing w:before="480"/>
      </w:pPr>
      <w:bookmarkStart w:id="121" w:name="_Toc349556827"/>
      <w:bookmarkStart w:id="122" w:name="_Toc349556828"/>
      <w:bookmarkStart w:id="123" w:name="_Toc349556829"/>
      <w:bookmarkStart w:id="124" w:name="_Toc349556830"/>
      <w:bookmarkStart w:id="125" w:name="_Toc349556831"/>
      <w:bookmarkStart w:id="126" w:name="_Toc349556832"/>
      <w:bookmarkStart w:id="127" w:name="_Toc349556833"/>
      <w:bookmarkStart w:id="128" w:name="_Toc349556834"/>
      <w:bookmarkStart w:id="129" w:name="_Toc349556835"/>
      <w:bookmarkStart w:id="130" w:name="_Toc349556836"/>
      <w:bookmarkStart w:id="131" w:name="_Toc349556837"/>
      <w:bookmarkStart w:id="132" w:name="_Toc349556838"/>
      <w:bookmarkStart w:id="133" w:name="_Toc349556839"/>
      <w:bookmarkStart w:id="134" w:name="_Toc349556840"/>
      <w:bookmarkStart w:id="135" w:name="_Toc349556841"/>
      <w:bookmarkStart w:id="136" w:name="_Toc349556842"/>
      <w:bookmarkStart w:id="137" w:name="_Toc349556843"/>
      <w:bookmarkStart w:id="138" w:name="_Toc349556844"/>
      <w:bookmarkStart w:id="139" w:name="_Toc348345373"/>
      <w:bookmarkStart w:id="140" w:name="_Ref348518242"/>
      <w:bookmarkStart w:id="141" w:name="_Ref348518272"/>
      <w:bookmarkStart w:id="142" w:name="_Toc401563562"/>
      <w:bookmarkEnd w:id="91"/>
      <w:bookmarkEnd w:id="92"/>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t>Acronyms</w:t>
      </w:r>
      <w:bookmarkEnd w:id="139"/>
      <w:bookmarkEnd w:id="140"/>
      <w:bookmarkEnd w:id="141"/>
      <w:r w:rsidR="003865A5" w:rsidRPr="003865A5">
        <w:t xml:space="preserve"> </w:t>
      </w:r>
      <w:r w:rsidR="003865A5">
        <w:t>and Definitions</w:t>
      </w:r>
      <w:bookmarkEnd w:id="142"/>
      <w:r w:rsidR="003865A5">
        <w:t xml:space="preserve"> </w:t>
      </w:r>
    </w:p>
    <w:p w:rsidR="003865A5" w:rsidRDefault="003865A5" w:rsidP="003865A5">
      <w:pPr>
        <w:pStyle w:val="Heading2"/>
      </w:pPr>
      <w:bookmarkStart w:id="143" w:name="_Toc401563563"/>
      <w:r>
        <w:t>Acronyms</w:t>
      </w:r>
      <w:bookmarkEnd w:id="143"/>
    </w:p>
    <w:tbl>
      <w:tblPr>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7127"/>
      </w:tblGrid>
      <w:tr w:rsidR="003865A5" w:rsidTr="00682211">
        <w:trPr>
          <w:tblHeader/>
        </w:trPr>
        <w:tc>
          <w:tcPr>
            <w:tcW w:w="13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865A5" w:rsidRPr="00A139CA" w:rsidRDefault="003865A5" w:rsidP="00682211">
            <w:pPr>
              <w:spacing w:before="60" w:after="60" w:line="240" w:lineRule="auto"/>
              <w:rPr>
                <w:rFonts w:ascii="Arial" w:hAnsi="Arial"/>
                <w:b/>
                <w:sz w:val="22"/>
              </w:rPr>
            </w:pPr>
            <w:r w:rsidRPr="00A139CA">
              <w:rPr>
                <w:rFonts w:ascii="Arial" w:hAnsi="Arial"/>
                <w:b/>
                <w:sz w:val="22"/>
              </w:rPr>
              <w:t>Acronym</w:t>
            </w:r>
          </w:p>
        </w:tc>
        <w:tc>
          <w:tcPr>
            <w:tcW w:w="7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865A5" w:rsidRPr="00A139CA" w:rsidRDefault="003865A5" w:rsidP="00682211">
            <w:pPr>
              <w:spacing w:before="60" w:after="60" w:line="240" w:lineRule="auto"/>
              <w:rPr>
                <w:rFonts w:ascii="Arial" w:hAnsi="Arial"/>
                <w:b/>
                <w:sz w:val="22"/>
              </w:rPr>
            </w:pPr>
            <w:r w:rsidRPr="00A139CA">
              <w:rPr>
                <w:rFonts w:ascii="Arial" w:hAnsi="Arial"/>
                <w:b/>
                <w:sz w:val="22"/>
              </w:rPr>
              <w:t>Term</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F43A92">
            <w:pPr>
              <w:spacing w:before="60" w:after="60" w:line="240" w:lineRule="auto"/>
              <w:rPr>
                <w:rFonts w:ascii="Arial" w:hAnsi="Arial"/>
                <w:sz w:val="20"/>
                <w:szCs w:val="20"/>
              </w:rPr>
            </w:pPr>
            <w:r w:rsidRPr="00A139CA">
              <w:rPr>
                <w:rFonts w:ascii="Arial" w:hAnsi="Arial"/>
                <w:sz w:val="20"/>
                <w:szCs w:val="20"/>
              </w:rPr>
              <w:t>AMS</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F43A92">
            <w:pPr>
              <w:spacing w:before="60" w:after="60" w:line="240" w:lineRule="auto"/>
            </w:pPr>
            <w:r>
              <w:t xml:space="preserve">Advanced Metering System </w:t>
            </w:r>
          </w:p>
        </w:tc>
      </w:tr>
      <w:tr w:rsidR="003865A5" w:rsidTr="00682211">
        <w:trPr>
          <w:trHeight w:val="359"/>
        </w:trPr>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API</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Application Programming Interface</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CSV</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Comma Separated Values</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ERCOT</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Electric Reliability Council of Texas</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ESIID</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Electric Service Identifier</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FTPS</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File Transport Protocol Secure</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FAQs</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Frequently Asked Questions</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GUI</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Graphical User Interface</w:t>
            </w:r>
          </w:p>
        </w:tc>
      </w:tr>
      <w:tr w:rsidR="003865A5" w:rsidTr="00682211">
        <w:trPr>
          <w:trHeight w:val="377"/>
        </w:trPr>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GWAC</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Gridwise Architecture Council</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HAN</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Home Area Network</w:t>
            </w:r>
          </w:p>
        </w:tc>
      </w:tr>
      <w:tr w:rsidR="00003A54" w:rsidTr="00682211">
        <w:tc>
          <w:tcPr>
            <w:tcW w:w="1351" w:type="dxa"/>
            <w:tcBorders>
              <w:top w:val="single" w:sz="4" w:space="0" w:color="auto"/>
              <w:left w:val="single" w:sz="4" w:space="0" w:color="auto"/>
              <w:bottom w:val="single" w:sz="4" w:space="0" w:color="auto"/>
              <w:right w:val="single" w:sz="4" w:space="0" w:color="auto"/>
            </w:tcBorders>
          </w:tcPr>
          <w:p w:rsidR="00003A54" w:rsidRPr="00A139CA" w:rsidRDefault="00003A54" w:rsidP="00682211">
            <w:pPr>
              <w:spacing w:before="60" w:after="60" w:line="240" w:lineRule="auto"/>
              <w:rPr>
                <w:rFonts w:ascii="Arial" w:hAnsi="Arial"/>
                <w:sz w:val="20"/>
                <w:szCs w:val="20"/>
              </w:rPr>
            </w:pPr>
            <w:r w:rsidRPr="00A139CA">
              <w:rPr>
                <w:rFonts w:ascii="Arial" w:hAnsi="Arial"/>
                <w:sz w:val="20"/>
                <w:szCs w:val="20"/>
              </w:rPr>
              <w:t>HB</w:t>
            </w:r>
          </w:p>
        </w:tc>
        <w:tc>
          <w:tcPr>
            <w:tcW w:w="7127" w:type="dxa"/>
            <w:tcBorders>
              <w:top w:val="single" w:sz="4" w:space="0" w:color="auto"/>
              <w:left w:val="single" w:sz="4" w:space="0" w:color="auto"/>
              <w:bottom w:val="single" w:sz="4" w:space="0" w:color="auto"/>
              <w:right w:val="single" w:sz="4" w:space="0" w:color="auto"/>
            </w:tcBorders>
          </w:tcPr>
          <w:p w:rsidR="00003A54" w:rsidRDefault="00003A54" w:rsidP="00682211">
            <w:pPr>
              <w:spacing w:before="60" w:after="60" w:line="240" w:lineRule="auto"/>
            </w:pPr>
            <w:r>
              <w:t>House Bill</w:t>
            </w:r>
          </w:p>
        </w:tc>
      </w:tr>
      <w:tr w:rsidR="003865A5" w:rsidTr="00682211">
        <w:tc>
          <w:tcPr>
            <w:tcW w:w="1351" w:type="dxa"/>
            <w:tcBorders>
              <w:top w:val="single" w:sz="4" w:space="0" w:color="auto"/>
              <w:left w:val="single" w:sz="4" w:space="0" w:color="auto"/>
              <w:bottom w:val="single" w:sz="4" w:space="0" w:color="auto"/>
              <w:right w:val="single" w:sz="4" w:space="0" w:color="auto"/>
            </w:tcBorders>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NIST</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National Institute of Standards and Technology</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Oncor</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Oncor Electric Delivery Company LLC</w:t>
            </w:r>
          </w:p>
        </w:tc>
      </w:tr>
      <w:tr w:rsidR="00002C44" w:rsidTr="00682211">
        <w:trPr>
          <w:trHeight w:val="341"/>
        </w:trPr>
        <w:tc>
          <w:tcPr>
            <w:tcW w:w="1351" w:type="dxa"/>
            <w:tcBorders>
              <w:top w:val="single" w:sz="4" w:space="0" w:color="auto"/>
              <w:left w:val="single" w:sz="4" w:space="0" w:color="auto"/>
              <w:bottom w:val="single" w:sz="4" w:space="0" w:color="auto"/>
              <w:right w:val="single" w:sz="4" w:space="0" w:color="auto"/>
            </w:tcBorders>
            <w:hideMark/>
          </w:tcPr>
          <w:p w:rsidR="00002C44" w:rsidRPr="00A139CA" w:rsidRDefault="00002C44" w:rsidP="00682211">
            <w:pPr>
              <w:spacing w:before="60" w:after="60" w:line="240" w:lineRule="auto"/>
              <w:rPr>
                <w:rFonts w:ascii="Arial" w:hAnsi="Arial"/>
                <w:sz w:val="20"/>
                <w:szCs w:val="20"/>
              </w:rPr>
            </w:pPr>
            <w:r w:rsidRPr="00A139CA">
              <w:rPr>
                <w:rFonts w:ascii="Arial" w:hAnsi="Arial"/>
                <w:sz w:val="20"/>
                <w:szCs w:val="20"/>
              </w:rPr>
              <w:t>OSTP</w:t>
            </w:r>
          </w:p>
        </w:tc>
        <w:tc>
          <w:tcPr>
            <w:tcW w:w="7127" w:type="dxa"/>
            <w:tcBorders>
              <w:top w:val="single" w:sz="4" w:space="0" w:color="auto"/>
              <w:left w:val="single" w:sz="4" w:space="0" w:color="auto"/>
              <w:bottom w:val="single" w:sz="4" w:space="0" w:color="auto"/>
              <w:right w:val="single" w:sz="4" w:space="0" w:color="auto"/>
            </w:tcBorders>
          </w:tcPr>
          <w:p w:rsidR="00002C44" w:rsidRDefault="00002C44" w:rsidP="00682211">
            <w:pPr>
              <w:spacing w:before="60" w:after="60" w:line="240" w:lineRule="auto"/>
            </w:pPr>
            <w:r>
              <w:t>White House Office of Science and Technology Policy</w:t>
            </w:r>
          </w:p>
        </w:tc>
      </w:tr>
      <w:tr w:rsidR="003865A5" w:rsidTr="00682211">
        <w:trPr>
          <w:trHeight w:val="341"/>
        </w:trPr>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ROR</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REP of Record</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REP</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Retail Electric Provider</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PUCT</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Public Utility Commission of Texas</w:t>
            </w:r>
          </w:p>
        </w:tc>
      </w:tr>
      <w:tr w:rsidR="003865A5" w:rsidTr="00682211">
        <w:trPr>
          <w:trHeight w:val="350"/>
        </w:trPr>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SMT</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Smart Meter Texas</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TNMP</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Texas-New Mexico Power Company</w:t>
            </w:r>
          </w:p>
        </w:tc>
      </w:tr>
      <w:tr w:rsidR="003865A5" w:rsidTr="00682211">
        <w:tc>
          <w:tcPr>
            <w:tcW w:w="1351" w:type="dxa"/>
            <w:tcBorders>
              <w:top w:val="single" w:sz="4" w:space="0" w:color="auto"/>
              <w:left w:val="single" w:sz="4" w:space="0" w:color="auto"/>
              <w:bottom w:val="single" w:sz="4" w:space="0" w:color="auto"/>
              <w:right w:val="single" w:sz="4" w:space="0" w:color="auto"/>
            </w:tcBorders>
            <w:hideMark/>
          </w:tcPr>
          <w:p w:rsidR="003865A5" w:rsidRPr="00A139CA" w:rsidRDefault="003865A5" w:rsidP="00682211">
            <w:pPr>
              <w:spacing w:before="60" w:after="60" w:line="240" w:lineRule="auto"/>
              <w:rPr>
                <w:rFonts w:ascii="Arial" w:hAnsi="Arial"/>
                <w:sz w:val="20"/>
                <w:szCs w:val="20"/>
              </w:rPr>
            </w:pPr>
            <w:r w:rsidRPr="00A139CA">
              <w:rPr>
                <w:rFonts w:ascii="Arial" w:hAnsi="Arial"/>
                <w:sz w:val="20"/>
                <w:szCs w:val="20"/>
              </w:rPr>
              <w:t>TDSP</w:t>
            </w:r>
          </w:p>
        </w:tc>
        <w:tc>
          <w:tcPr>
            <w:tcW w:w="7127" w:type="dxa"/>
            <w:tcBorders>
              <w:top w:val="single" w:sz="4" w:space="0" w:color="auto"/>
              <w:left w:val="single" w:sz="4" w:space="0" w:color="auto"/>
              <w:bottom w:val="single" w:sz="4" w:space="0" w:color="auto"/>
              <w:right w:val="single" w:sz="4" w:space="0" w:color="auto"/>
            </w:tcBorders>
          </w:tcPr>
          <w:p w:rsidR="003865A5" w:rsidRDefault="003865A5" w:rsidP="00682211">
            <w:pPr>
              <w:spacing w:before="60" w:after="60" w:line="240" w:lineRule="auto"/>
            </w:pPr>
            <w:r>
              <w:t>Transmission and Distribution Service Provider</w:t>
            </w:r>
          </w:p>
        </w:tc>
      </w:tr>
    </w:tbl>
    <w:p w:rsidR="009C5F95" w:rsidRDefault="009C5F95" w:rsidP="009C5F95">
      <w:pPr>
        <w:pStyle w:val="Heading2"/>
      </w:pPr>
      <w:bookmarkStart w:id="144" w:name="_Ref352051770"/>
      <w:bookmarkStart w:id="145" w:name="_Toc401563564"/>
      <w:r>
        <w:t>Definitions</w:t>
      </w:r>
      <w:bookmarkEnd w:id="144"/>
      <w:bookmarkEnd w:id="145"/>
    </w:p>
    <w:tbl>
      <w:tblPr>
        <w:tblW w:w="8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7"/>
        <w:gridCol w:w="5941"/>
      </w:tblGrid>
      <w:tr w:rsidR="009C5F95" w:rsidTr="00C46EFF">
        <w:trPr>
          <w:trHeight w:val="827"/>
          <w:tblHeader/>
        </w:trPr>
        <w:tc>
          <w:tcPr>
            <w:tcW w:w="2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C5F95" w:rsidRPr="00A139CA" w:rsidRDefault="009C5F95" w:rsidP="002C6CF9">
            <w:pPr>
              <w:spacing w:before="60" w:after="60"/>
              <w:rPr>
                <w:rFonts w:ascii="Arial" w:hAnsi="Arial"/>
                <w:b/>
              </w:rPr>
            </w:pPr>
            <w:r w:rsidRPr="00A139CA">
              <w:rPr>
                <w:rFonts w:ascii="Arial" w:hAnsi="Arial"/>
                <w:b/>
              </w:rPr>
              <w:t>Term</w:t>
            </w:r>
          </w:p>
        </w:tc>
        <w:tc>
          <w:tcPr>
            <w:tcW w:w="59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C5F95" w:rsidRPr="00A139CA" w:rsidRDefault="009C5F95" w:rsidP="002C6CF9">
            <w:pPr>
              <w:spacing w:before="60" w:after="60"/>
              <w:rPr>
                <w:rFonts w:ascii="Arial" w:hAnsi="Arial"/>
                <w:b/>
              </w:rPr>
            </w:pPr>
            <w:r w:rsidRPr="00A139CA">
              <w:rPr>
                <w:rFonts w:ascii="Arial" w:hAnsi="Arial"/>
                <w:b/>
              </w:rPr>
              <w:t>Definition</w:t>
            </w:r>
          </w:p>
        </w:tc>
      </w:tr>
      <w:tr w:rsidR="00C46EFF" w:rsidTr="002C6CF9">
        <w:tc>
          <w:tcPr>
            <w:tcW w:w="2357" w:type="dxa"/>
            <w:tcBorders>
              <w:top w:val="single" w:sz="4" w:space="0" w:color="auto"/>
              <w:left w:val="single" w:sz="4" w:space="0" w:color="auto"/>
              <w:bottom w:val="single" w:sz="4" w:space="0" w:color="auto"/>
              <w:right w:val="single" w:sz="4" w:space="0" w:color="auto"/>
            </w:tcBorders>
            <w:hideMark/>
          </w:tcPr>
          <w:p w:rsidR="00C46EFF" w:rsidRPr="00A139CA" w:rsidRDefault="00C46EFF" w:rsidP="00F43A92">
            <w:pPr>
              <w:spacing w:before="60" w:after="60"/>
              <w:rPr>
                <w:rFonts w:ascii="Arial" w:hAnsi="Arial"/>
                <w:sz w:val="20"/>
                <w:szCs w:val="20"/>
              </w:rPr>
            </w:pPr>
            <w:r w:rsidRPr="00A139CA">
              <w:rPr>
                <w:rFonts w:ascii="Arial" w:hAnsi="Arial"/>
                <w:sz w:val="20"/>
                <w:szCs w:val="20"/>
              </w:rPr>
              <w:t>Activity Diagram</w:t>
            </w:r>
          </w:p>
        </w:tc>
        <w:tc>
          <w:tcPr>
            <w:tcW w:w="5941" w:type="dxa"/>
            <w:tcBorders>
              <w:top w:val="single" w:sz="4" w:space="0" w:color="auto"/>
              <w:left w:val="single" w:sz="4" w:space="0" w:color="auto"/>
              <w:bottom w:val="single" w:sz="4" w:space="0" w:color="auto"/>
              <w:right w:val="single" w:sz="4" w:space="0" w:color="auto"/>
            </w:tcBorders>
            <w:hideMark/>
          </w:tcPr>
          <w:p w:rsidR="00C46EFF" w:rsidRDefault="001271AF" w:rsidP="00002C44">
            <w:pPr>
              <w:spacing w:before="60" w:after="60"/>
            </w:pPr>
            <w:r>
              <w:t>A graphical representation</w:t>
            </w:r>
            <w:r w:rsidR="00C46EFF">
              <w:t xml:space="preserve"> used to describe the business and operational step-by-step workflows of components in a system. </w:t>
            </w:r>
          </w:p>
        </w:tc>
      </w:tr>
      <w:tr w:rsidR="009C5F95" w:rsidTr="002C6CF9">
        <w:tc>
          <w:tcPr>
            <w:tcW w:w="2357" w:type="dxa"/>
            <w:tcBorders>
              <w:top w:val="single" w:sz="4" w:space="0" w:color="auto"/>
              <w:left w:val="single" w:sz="4" w:space="0" w:color="auto"/>
              <w:bottom w:val="single" w:sz="4" w:space="0" w:color="auto"/>
              <w:right w:val="single" w:sz="4" w:space="0" w:color="auto"/>
            </w:tcBorders>
            <w:hideMark/>
          </w:tcPr>
          <w:p w:rsidR="009C5F95" w:rsidRPr="00A139CA" w:rsidRDefault="009C5F95" w:rsidP="00F43A92">
            <w:pPr>
              <w:spacing w:before="60" w:after="60"/>
              <w:rPr>
                <w:rFonts w:ascii="Arial" w:hAnsi="Arial"/>
                <w:sz w:val="20"/>
                <w:szCs w:val="20"/>
              </w:rPr>
            </w:pPr>
            <w:r w:rsidRPr="00A139CA">
              <w:rPr>
                <w:rFonts w:ascii="Arial" w:hAnsi="Arial"/>
                <w:sz w:val="20"/>
                <w:szCs w:val="20"/>
              </w:rPr>
              <w:t xml:space="preserve">Advanced Metering System </w:t>
            </w:r>
          </w:p>
        </w:tc>
        <w:tc>
          <w:tcPr>
            <w:tcW w:w="5941" w:type="dxa"/>
            <w:tcBorders>
              <w:top w:val="single" w:sz="4" w:space="0" w:color="auto"/>
              <w:left w:val="single" w:sz="4" w:space="0" w:color="auto"/>
              <w:bottom w:val="single" w:sz="4" w:space="0" w:color="auto"/>
              <w:right w:val="single" w:sz="4" w:space="0" w:color="auto"/>
            </w:tcBorders>
            <w:hideMark/>
          </w:tcPr>
          <w:p w:rsidR="009C5F95" w:rsidRDefault="009C5F95" w:rsidP="00002C44">
            <w:pPr>
              <w:spacing w:before="60" w:after="60"/>
            </w:pPr>
            <w:r>
              <w:t xml:space="preserve">A utility system that measures, collects, and analyzes energy usage </w:t>
            </w:r>
            <w:r w:rsidR="001071D3">
              <w:t>using</w:t>
            </w:r>
            <w:r>
              <w:t xml:space="preserve"> advanced electric meters, through various communication technologies. This infrastructure includes hardware, software, communications, customer service systems, meter data management software, metering system, network distribution business systems, etc. </w:t>
            </w:r>
          </w:p>
        </w:tc>
      </w:tr>
      <w:tr w:rsidR="009C5F95" w:rsidTr="002C6CF9">
        <w:tc>
          <w:tcPr>
            <w:tcW w:w="2357" w:type="dxa"/>
            <w:tcBorders>
              <w:top w:val="single" w:sz="4" w:space="0" w:color="auto"/>
              <w:left w:val="single" w:sz="4" w:space="0" w:color="auto"/>
              <w:bottom w:val="single" w:sz="4" w:space="0" w:color="auto"/>
              <w:right w:val="single" w:sz="4" w:space="0" w:color="auto"/>
            </w:tcBorders>
            <w:hideMark/>
          </w:tcPr>
          <w:p w:rsidR="009C5F95" w:rsidRPr="00A139CA" w:rsidRDefault="009C5F95" w:rsidP="002C6CF9">
            <w:pPr>
              <w:spacing w:before="60" w:after="60"/>
              <w:rPr>
                <w:rFonts w:ascii="Arial" w:hAnsi="Arial"/>
                <w:sz w:val="20"/>
                <w:szCs w:val="20"/>
              </w:rPr>
            </w:pPr>
            <w:r w:rsidRPr="00A139CA">
              <w:rPr>
                <w:rFonts w:ascii="Arial" w:hAnsi="Arial"/>
                <w:sz w:val="20"/>
                <w:szCs w:val="20"/>
              </w:rPr>
              <w:t>AEP Texas Central Company and AEP Texas North Company</w:t>
            </w:r>
            <w:r w:rsidR="00AC48B5" w:rsidRPr="00A139CA">
              <w:rPr>
                <w:rFonts w:ascii="Arial" w:hAnsi="Arial"/>
                <w:sz w:val="20"/>
                <w:szCs w:val="20"/>
              </w:rPr>
              <w:t>, or “AEP Texas”</w:t>
            </w:r>
          </w:p>
        </w:tc>
        <w:tc>
          <w:tcPr>
            <w:tcW w:w="5941" w:type="dxa"/>
            <w:tcBorders>
              <w:top w:val="single" w:sz="4" w:space="0" w:color="auto"/>
              <w:left w:val="single" w:sz="4" w:space="0" w:color="auto"/>
              <w:bottom w:val="single" w:sz="4" w:space="0" w:color="auto"/>
              <w:right w:val="single" w:sz="4" w:space="0" w:color="auto"/>
            </w:tcBorders>
            <w:hideMark/>
          </w:tcPr>
          <w:p w:rsidR="009C5F95" w:rsidRDefault="009C5F95" w:rsidP="002C6CF9">
            <w:pPr>
              <w:spacing w:before="60" w:after="60"/>
            </w:pPr>
            <w:r>
              <w:t>Two TDSPs that are operating companies of AEP serving a total of almost 1 million retail electric customers in portions of west Texas and south Texas including areas along the Texas gulf coast southwest of Houston.</w:t>
            </w:r>
          </w:p>
        </w:tc>
      </w:tr>
      <w:tr w:rsidR="00211CFB" w:rsidTr="002C6CF9">
        <w:trPr>
          <w:trHeight w:val="737"/>
        </w:trPr>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Application Programming Interface</w:t>
            </w:r>
          </w:p>
        </w:tc>
        <w:tc>
          <w:tcPr>
            <w:tcW w:w="5941" w:type="dxa"/>
            <w:tcBorders>
              <w:top w:val="single" w:sz="4" w:space="0" w:color="auto"/>
              <w:left w:val="single" w:sz="4" w:space="0" w:color="auto"/>
              <w:bottom w:val="single" w:sz="4" w:space="0" w:color="auto"/>
              <w:right w:val="single" w:sz="4" w:space="0" w:color="auto"/>
            </w:tcBorders>
          </w:tcPr>
          <w:p w:rsidR="00211CFB" w:rsidRDefault="001071D3" w:rsidP="002C6CF9">
            <w:pPr>
              <w:spacing w:before="60" w:after="60"/>
            </w:pPr>
            <w:r w:rsidRPr="001071D3">
              <w:t>A protocol intended to be used as an interface by software components to communicate with each other.</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Business Customer</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An electric Customer who is a business company with one or more ESIIDs.</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Business Process</w:t>
            </w:r>
          </w:p>
        </w:tc>
        <w:tc>
          <w:tcPr>
            <w:tcW w:w="5941" w:type="dxa"/>
            <w:tcBorders>
              <w:top w:val="single" w:sz="4" w:space="0" w:color="auto"/>
              <w:left w:val="single" w:sz="4" w:space="0" w:color="auto"/>
              <w:bottom w:val="single" w:sz="4" w:space="0" w:color="auto"/>
              <w:right w:val="single" w:sz="4" w:space="0" w:color="auto"/>
            </w:tcBorders>
            <w:hideMark/>
          </w:tcPr>
          <w:p w:rsidR="00211CFB" w:rsidRPr="003A4493" w:rsidRDefault="00211CFB" w:rsidP="002C6CF9">
            <w:pPr>
              <w:spacing w:before="60" w:after="60"/>
            </w:pPr>
            <w:r>
              <w:t>An activity or set of activities designed to produce a specific output. Business Processes describe large groupings of work (functionality / capabilities) that will be available (created or impacted) as a result of the project.</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Business Requirement</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High-level statements of the goals, objectives, or needs of a project.</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CenterPoint Energy Houston Electric, LLC</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 xml:space="preserve">A TDSP serving 2.1 million retail electric customers (1.9 million residential customers) in a 5,000-square-mile electric service territory in the Houston metropolitan area. </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Comma Separated Values</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A common file format in which the data is presented as a list of fields that are separated by commas. CSV files are typically opened with an application or spreadsheet software, such as MS-Excel.</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Customer</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A Residential or B</w:t>
            </w:r>
            <w:r w:rsidR="000B0C1C">
              <w:t>usiness Customer with a premise</w:t>
            </w:r>
            <w:r>
              <w:t xml:space="preserve"> connected to one of the Joint TDSPs and has a smart meter installed. </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Electric Reliability Council of Texas</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1071D3" w:rsidP="002C6CF9">
            <w:pPr>
              <w:spacing w:before="60" w:after="60"/>
            </w:pPr>
            <w:r>
              <w:t>The</w:t>
            </w:r>
            <w:r w:rsidR="00211CFB">
              <w:t xml:space="preserve"> independent system operator that operates the electric grid and manages the deregulated market for 75 % of the state of Texas.</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Electric Service Identifier</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312236" w:rsidP="00312236">
            <w:pPr>
              <w:spacing w:before="60" w:after="60"/>
            </w:pPr>
            <w:r>
              <w:t xml:space="preserve">A 17 or 22-digit number used to identify a unique point of electric service delivery to a premise (home or business) and is found on the Customer electric bill. </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Energy Data Agreement</w:t>
            </w:r>
          </w:p>
        </w:tc>
        <w:tc>
          <w:tcPr>
            <w:tcW w:w="5941" w:type="dxa"/>
            <w:tcBorders>
              <w:top w:val="single" w:sz="4" w:space="0" w:color="auto"/>
              <w:left w:val="single" w:sz="4" w:space="0" w:color="auto"/>
              <w:bottom w:val="single" w:sz="4" w:space="0" w:color="auto"/>
              <w:right w:val="single" w:sz="4" w:space="0" w:color="auto"/>
            </w:tcBorders>
          </w:tcPr>
          <w:p w:rsidR="00211CFB" w:rsidRDefault="00211CFB" w:rsidP="002C6CF9">
            <w:pPr>
              <w:spacing w:before="60" w:after="60"/>
            </w:pPr>
            <w:r>
              <w:t xml:space="preserve">An Agreement between a Customer and a Third Party granting the Third Party the ability to view and download usage information, meter information, and premise information for one or more of the Customer’s ESIIDs. </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File Transport Protocol Secure</w:t>
            </w:r>
          </w:p>
        </w:tc>
        <w:tc>
          <w:tcPr>
            <w:tcW w:w="5941" w:type="dxa"/>
            <w:tcBorders>
              <w:top w:val="single" w:sz="4" w:space="0" w:color="auto"/>
              <w:left w:val="single" w:sz="4" w:space="0" w:color="auto"/>
              <w:bottom w:val="single" w:sz="4" w:space="0" w:color="auto"/>
              <w:right w:val="single" w:sz="4" w:space="0" w:color="auto"/>
            </w:tcBorders>
          </w:tcPr>
          <w:p w:rsidR="00211CFB" w:rsidRDefault="001071D3" w:rsidP="002C6CF9">
            <w:pPr>
              <w:spacing w:before="60" w:after="60"/>
            </w:pPr>
            <w:r w:rsidRPr="001071D3">
              <w:t>An extension to the commonly used File Transfer Protocol (FTP) that adds support for the Transport Layer Security (TLS) and the Secure Sockets Layer (SSL) cryptographic protocols. FTP is a standard communication protocol used to transfer files from one host or to another host over the internet built on a client-server architecture and uses separate control and data connections between the client and the server.</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Frequently Asked Questions</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A set of question and answers on the SMT web portal relating to SMT, meters, HAN devices, customer accounts, reading reports and using data, and importing files.</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Graphical User Interface</w:t>
            </w:r>
          </w:p>
        </w:tc>
        <w:tc>
          <w:tcPr>
            <w:tcW w:w="5941" w:type="dxa"/>
            <w:tcBorders>
              <w:top w:val="single" w:sz="4" w:space="0" w:color="auto"/>
              <w:left w:val="single" w:sz="4" w:space="0" w:color="auto"/>
              <w:bottom w:val="single" w:sz="4" w:space="0" w:color="auto"/>
              <w:right w:val="single" w:sz="4" w:space="0" w:color="auto"/>
            </w:tcBorders>
          </w:tcPr>
          <w:p w:rsidR="00211CFB" w:rsidRDefault="001071D3" w:rsidP="002C6CF9">
            <w:pPr>
              <w:spacing w:before="60" w:after="60"/>
            </w:pPr>
            <w:r w:rsidRPr="001071D3">
              <w:t>A type of user interface used by the SMT web portal that allows users to interact with SMT using images for the tasks of gathering and producing information.</w:t>
            </w:r>
          </w:p>
        </w:tc>
      </w:tr>
      <w:tr w:rsidR="00211CFB" w:rsidTr="002C6CF9">
        <w:trPr>
          <w:trHeight w:val="2168"/>
        </w:trPr>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Gridwise Architecture Council</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A team of industry leaders who are helping to identify areas for standardization in the smart electrical grid that allow significant levels of interoperation between system components and  to outline a philosophy of inter-system operation that preserves the freedom to innovate, design, implement and maintain each organization's portion of the electrical system.</w:t>
            </w:r>
            <w:r>
              <w:rPr>
                <w:rFonts w:ascii="Verdana" w:hAnsi="Verdana"/>
                <w:color w:val="000000"/>
                <w:sz w:val="18"/>
                <w:szCs w:val="18"/>
              </w:rPr>
              <w:t xml:space="preserve"> </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Home Area Network</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1071D3" w:rsidP="001071D3">
            <w:pPr>
              <w:spacing w:before="60" w:after="60"/>
            </w:pPr>
            <w:r>
              <w:t>In Texas, a</w:t>
            </w:r>
            <w:r w:rsidR="00211CFB">
              <w:t>n energy related network using the ZigBee Smart Energy Profile v1.0 protocol for communicating with HAN devices within the premises. The HAN, in the context of this document, is created by the smart meter installed at the Customer premises.</w:t>
            </w:r>
          </w:p>
        </w:tc>
      </w:tr>
      <w:tr w:rsidR="00211CFB" w:rsidTr="00184EC7">
        <w:trPr>
          <w:trHeight w:val="1052"/>
        </w:trPr>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15594D" w:rsidP="003A5F8F">
            <w:pPr>
              <w:spacing w:before="60" w:after="60"/>
              <w:rPr>
                <w:rFonts w:ascii="Arial" w:hAnsi="Arial"/>
                <w:sz w:val="20"/>
                <w:szCs w:val="20"/>
              </w:rPr>
            </w:pPr>
            <w:r>
              <w:rPr>
                <w:rFonts w:ascii="Arial" w:hAnsi="Arial"/>
                <w:sz w:val="20"/>
                <w:szCs w:val="20"/>
              </w:rPr>
              <w:t>In-</w:t>
            </w:r>
            <w:r w:rsidR="00211CFB" w:rsidRPr="00A139CA">
              <w:rPr>
                <w:rFonts w:ascii="Arial" w:hAnsi="Arial"/>
                <w:sz w:val="20"/>
                <w:szCs w:val="20"/>
              </w:rPr>
              <w:t xml:space="preserve">Home Device  </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3A5F8F">
            <w:pPr>
              <w:spacing w:before="60" w:after="60"/>
            </w:pPr>
            <w:r>
              <w:t>A device (e.g.</w:t>
            </w:r>
            <w:r w:rsidR="00667BE9">
              <w:t>,</w:t>
            </w:r>
            <w:r>
              <w:t xml:space="preserve"> in-home display, programmable communicating thermostat, smart appliances, etc.) that communicates on the </w:t>
            </w:r>
            <w:r w:rsidR="0015594D">
              <w:t xml:space="preserve">Customer </w:t>
            </w:r>
            <w:r>
              <w:t>HAN.</w:t>
            </w:r>
            <w:r w:rsidR="0015594D">
              <w:t xml:space="preserve"> </w:t>
            </w:r>
            <w:r w:rsidR="0015594D" w:rsidRPr="0015594D">
              <w:t>Sometimes referred to as a HAN Device.</w:t>
            </w:r>
          </w:p>
        </w:tc>
      </w:tr>
      <w:tr w:rsidR="0015594D" w:rsidTr="00026EAD">
        <w:trPr>
          <w:trHeight w:val="1097"/>
        </w:trPr>
        <w:tc>
          <w:tcPr>
            <w:tcW w:w="2357" w:type="dxa"/>
            <w:tcBorders>
              <w:top w:val="single" w:sz="4" w:space="0" w:color="auto"/>
              <w:left w:val="single" w:sz="4" w:space="0" w:color="auto"/>
              <w:bottom w:val="single" w:sz="4" w:space="0" w:color="auto"/>
              <w:right w:val="single" w:sz="4" w:space="0" w:color="auto"/>
            </w:tcBorders>
            <w:hideMark/>
          </w:tcPr>
          <w:p w:rsidR="0015594D" w:rsidRPr="00A139CA" w:rsidRDefault="0015594D" w:rsidP="00026EAD">
            <w:pPr>
              <w:spacing w:before="60" w:after="60"/>
              <w:rPr>
                <w:rFonts w:ascii="Arial" w:hAnsi="Arial"/>
                <w:sz w:val="20"/>
                <w:szCs w:val="20"/>
              </w:rPr>
            </w:pPr>
            <w:r>
              <w:rPr>
                <w:rFonts w:ascii="Arial" w:hAnsi="Arial"/>
                <w:sz w:val="20"/>
                <w:szCs w:val="20"/>
              </w:rPr>
              <w:t>In-Home</w:t>
            </w:r>
            <w:r w:rsidRPr="00A139CA">
              <w:rPr>
                <w:rFonts w:ascii="Arial" w:hAnsi="Arial"/>
                <w:sz w:val="20"/>
                <w:szCs w:val="20"/>
              </w:rPr>
              <w:t xml:space="preserve"> Device Agreement</w:t>
            </w:r>
          </w:p>
        </w:tc>
        <w:tc>
          <w:tcPr>
            <w:tcW w:w="5941" w:type="dxa"/>
            <w:tcBorders>
              <w:top w:val="single" w:sz="4" w:space="0" w:color="auto"/>
              <w:left w:val="single" w:sz="4" w:space="0" w:color="auto"/>
              <w:bottom w:val="single" w:sz="4" w:space="0" w:color="auto"/>
              <w:right w:val="single" w:sz="4" w:space="0" w:color="auto"/>
            </w:tcBorders>
            <w:hideMark/>
          </w:tcPr>
          <w:p w:rsidR="0015594D" w:rsidRDefault="0015594D" w:rsidP="00026EAD">
            <w:pPr>
              <w:spacing w:before="60" w:after="60"/>
            </w:pPr>
            <w:r>
              <w:t>An Agreement between a Customer and a Third Party granting a Third Party the ability to add or remove an In-Home Device on the Customer HAN.</w:t>
            </w:r>
          </w:p>
        </w:tc>
      </w:tr>
      <w:tr w:rsidR="0015594D" w:rsidTr="00026EAD">
        <w:tc>
          <w:tcPr>
            <w:tcW w:w="2357" w:type="dxa"/>
            <w:tcBorders>
              <w:top w:val="single" w:sz="4" w:space="0" w:color="auto"/>
              <w:left w:val="single" w:sz="4" w:space="0" w:color="auto"/>
              <w:bottom w:val="single" w:sz="4" w:space="0" w:color="auto"/>
              <w:right w:val="single" w:sz="4" w:space="0" w:color="auto"/>
            </w:tcBorders>
            <w:hideMark/>
          </w:tcPr>
          <w:p w:rsidR="0015594D" w:rsidRPr="00A139CA" w:rsidRDefault="0015594D" w:rsidP="00026EAD">
            <w:pPr>
              <w:spacing w:before="60" w:after="60"/>
              <w:rPr>
                <w:rFonts w:ascii="Arial" w:hAnsi="Arial"/>
                <w:sz w:val="20"/>
                <w:szCs w:val="20"/>
              </w:rPr>
            </w:pPr>
            <w:r>
              <w:rPr>
                <w:rFonts w:ascii="Arial" w:hAnsi="Arial"/>
                <w:sz w:val="20"/>
                <w:szCs w:val="20"/>
              </w:rPr>
              <w:t>In-Home Device</w:t>
            </w:r>
            <w:r w:rsidRPr="00A139CA">
              <w:rPr>
                <w:rFonts w:ascii="Arial" w:hAnsi="Arial"/>
                <w:sz w:val="20"/>
                <w:szCs w:val="20"/>
              </w:rPr>
              <w:t xml:space="preserve"> Services Agreement</w:t>
            </w:r>
          </w:p>
        </w:tc>
        <w:tc>
          <w:tcPr>
            <w:tcW w:w="5941" w:type="dxa"/>
            <w:tcBorders>
              <w:top w:val="single" w:sz="4" w:space="0" w:color="auto"/>
              <w:left w:val="single" w:sz="4" w:space="0" w:color="auto"/>
              <w:bottom w:val="single" w:sz="4" w:space="0" w:color="auto"/>
              <w:right w:val="single" w:sz="4" w:space="0" w:color="auto"/>
            </w:tcBorders>
            <w:hideMark/>
          </w:tcPr>
          <w:p w:rsidR="0015594D" w:rsidRDefault="0015594D" w:rsidP="00026EAD">
            <w:pPr>
              <w:spacing w:before="60" w:after="60"/>
            </w:pPr>
            <w:r>
              <w:t xml:space="preserve">An Agreement between a Customer and a Third Party granting a Third Party the ability to send messages to a Customer’s In-Home Device. </w:t>
            </w:r>
          </w:p>
        </w:tc>
      </w:tr>
      <w:tr w:rsidR="00211CFB" w:rsidTr="006823BE">
        <w:trPr>
          <w:trHeight w:val="629"/>
        </w:trPr>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A2514A" w:rsidP="000B0C1C">
            <w:pPr>
              <w:spacing w:before="60" w:after="60"/>
              <w:rPr>
                <w:rFonts w:ascii="Arial" w:hAnsi="Arial"/>
                <w:sz w:val="20"/>
                <w:szCs w:val="20"/>
              </w:rPr>
            </w:pPr>
            <w:r w:rsidRPr="00A139CA">
              <w:rPr>
                <w:rFonts w:ascii="Arial" w:hAnsi="Arial"/>
                <w:sz w:val="20"/>
                <w:szCs w:val="20"/>
              </w:rPr>
              <w:t>I</w:t>
            </w:r>
            <w:r w:rsidR="00211CFB" w:rsidRPr="00A139CA">
              <w:rPr>
                <w:rFonts w:ascii="Arial" w:hAnsi="Arial"/>
                <w:sz w:val="20"/>
                <w:szCs w:val="20"/>
              </w:rPr>
              <w:t>nteroperab</w:t>
            </w:r>
            <w:r w:rsidR="000B0C1C" w:rsidRPr="00A139CA">
              <w:rPr>
                <w:rFonts w:ascii="Arial" w:hAnsi="Arial"/>
                <w:sz w:val="20"/>
                <w:szCs w:val="20"/>
              </w:rPr>
              <w:t>le</w:t>
            </w:r>
            <w:r w:rsidR="00211CFB" w:rsidRPr="00A139CA">
              <w:rPr>
                <w:rStyle w:val="FootnoteReference"/>
                <w:rFonts w:ascii="Arial" w:hAnsi="Arial"/>
                <w:sz w:val="20"/>
                <w:szCs w:val="20"/>
              </w:rPr>
              <w:footnoteReference w:id="20"/>
            </w:r>
          </w:p>
        </w:tc>
        <w:tc>
          <w:tcPr>
            <w:tcW w:w="5941" w:type="dxa"/>
            <w:tcBorders>
              <w:top w:val="single" w:sz="4" w:space="0" w:color="auto"/>
              <w:left w:val="single" w:sz="4" w:space="0" w:color="auto"/>
              <w:bottom w:val="single" w:sz="4" w:space="0" w:color="auto"/>
              <w:right w:val="single" w:sz="4" w:space="0" w:color="auto"/>
            </w:tcBorders>
            <w:hideMark/>
          </w:tcPr>
          <w:p w:rsidR="00211CFB" w:rsidRPr="00FC6683" w:rsidRDefault="00211CFB" w:rsidP="002C6CF9">
            <w:pPr>
              <w:spacing w:before="60" w:after="60"/>
            </w:pPr>
            <w:r w:rsidRPr="006823BE">
              <w:t>The capability of two or more networks, systems, devices, applications, or components to interwork, and to exchange and readily use information—securely, effectively, and with little or no inconvenience to the user. The Smart Grid will be a system of interoperable systems; that is, different systems will be able to exchange meaningful, actionable information in support of the safe, secure, efficient, and reliable operations of electric systems. The systems will share a common meaning of the exchanged information, and this information will elicit agreed-upon types of response. The reliability, fidelity, and security of information exchanges between and among Smart Grid systems must achieve requisite performance levels.</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Joint TDSPs</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AC48B5">
            <w:pPr>
              <w:spacing w:before="60" w:after="60"/>
            </w:pPr>
            <w:r>
              <w:t xml:space="preserve">The TDSPs, </w:t>
            </w:r>
            <w:r w:rsidR="00184EC7">
              <w:t xml:space="preserve">AEP Texas, </w:t>
            </w:r>
            <w:r>
              <w:t xml:space="preserve">CenterPoint, Oncor, and TNMP, who </w:t>
            </w:r>
            <w:r w:rsidR="00AC48B5">
              <w:t>own, operate and maintain SMT.</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Oncor Electric Delivery Company LLC</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A TDSP serving more than 3 million retail electric customers in an electric service area that includes the Dallas-Fort Worth metroplex and portions of east, central and west Texas.</w:t>
            </w:r>
          </w:p>
        </w:tc>
      </w:tr>
      <w:tr w:rsidR="00211CFB" w:rsidTr="002C6CF9">
        <w:trPr>
          <w:trHeight w:val="593"/>
        </w:trPr>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REP of Record</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 xml:space="preserve">The customer’s current REP </w:t>
            </w:r>
            <w:r w:rsidR="005847E5">
              <w:t xml:space="preserve">as recorded </w:t>
            </w:r>
            <w:r>
              <w:t>in the ERCOT settlement system.</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Residential Account</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1071D3">
            <w:pPr>
              <w:spacing w:before="60" w:after="60"/>
            </w:pPr>
            <w:r>
              <w:t xml:space="preserve">An SMT account associated with one or more ESIIDs for a </w:t>
            </w:r>
            <w:r w:rsidR="001071D3">
              <w:t>user</w:t>
            </w:r>
            <w:r>
              <w:t xml:space="preserve"> who is a Residential Customer.</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Retail Electric Provider</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An entity that sells electric energy to retail customers in the competitive regions of Texas but does not own or operate generation assets. REPs register with the PUCT and lists of registered REPs are located on the PUCT website.</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Public Utility Commission of Texas</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The entity, created by Texas legislation, to provide statewide regulation of the rates and services of electric and telecommunications utilities and implement respective legislation.</w:t>
            </w:r>
          </w:p>
        </w:tc>
      </w:tr>
      <w:tr w:rsidR="00211CFB" w:rsidTr="002C6CF9">
        <w:trPr>
          <w:trHeight w:val="755"/>
        </w:trPr>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Smart Meter Texas</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7B3D86" w:rsidP="002C6CF9">
            <w:pPr>
              <w:spacing w:before="60" w:after="60"/>
            </w:pPr>
            <w:r w:rsidRPr="007B3D86">
              <w:t>An internet-based interoperable smart grid solution hosting a common data repository, providing access to smart meter information, providing a method for Customers to grant Third Parties ac</w:t>
            </w:r>
            <w:r>
              <w:t>cess to their usage data and In-Home D</w:t>
            </w:r>
            <w:r w:rsidRPr="007B3D86">
              <w:t>evices, and providing an interoperable method for HAN communications using the TDSP AMS communication network.</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Third Party</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3A5F8F">
            <w:pPr>
              <w:spacing w:before="60" w:after="60"/>
            </w:pPr>
            <w:r>
              <w:t>A company that offers energy efficiency</w:t>
            </w:r>
            <w:r w:rsidR="000B0C1C">
              <w:t xml:space="preserve"> products</w:t>
            </w:r>
            <w:r>
              <w:t xml:space="preserve"> and HAN services to Customers. Third Parties include REPs when REPs are offering energy efficiency </w:t>
            </w:r>
            <w:r w:rsidR="000B0C1C">
              <w:t>products</w:t>
            </w:r>
            <w:r>
              <w:t xml:space="preserve"> to Customers who do not buy electricity from them (i.e.</w:t>
            </w:r>
            <w:r w:rsidR="00667BE9">
              <w:t>,</w:t>
            </w:r>
            <w:r>
              <w:t xml:space="preserve"> not the ROR). REPs are considered Third Parties to all Customers, including the ROR Customers, when the REP is offering </w:t>
            </w:r>
            <w:r w:rsidR="00F6615D">
              <w:t xml:space="preserve">In-Home Device </w:t>
            </w:r>
            <w:r>
              <w:t>services to Customers.</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Texas-New Mexico Power Company</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 xml:space="preserve">A TDSP serving 230,000 retail electric customers in a diverse electric service area that includes north-central and west Texas and an area along the Texas gulf coast south of Houston. </w:t>
            </w:r>
          </w:p>
        </w:tc>
      </w:tr>
      <w:tr w:rsidR="00211CFB" w:rsidTr="002C6CF9">
        <w:tc>
          <w:tcPr>
            <w:tcW w:w="2357" w:type="dxa"/>
            <w:tcBorders>
              <w:top w:val="single" w:sz="4" w:space="0" w:color="auto"/>
              <w:left w:val="single" w:sz="4" w:space="0" w:color="auto"/>
              <w:bottom w:val="single" w:sz="4" w:space="0" w:color="auto"/>
              <w:right w:val="single" w:sz="4" w:space="0" w:color="auto"/>
            </w:tcBorders>
            <w:hideMark/>
          </w:tcPr>
          <w:p w:rsidR="00211CFB" w:rsidRPr="00A139CA" w:rsidRDefault="00211CFB" w:rsidP="002C6CF9">
            <w:pPr>
              <w:spacing w:before="60" w:after="60"/>
              <w:rPr>
                <w:rFonts w:ascii="Arial" w:hAnsi="Arial"/>
                <w:sz w:val="20"/>
                <w:szCs w:val="20"/>
              </w:rPr>
            </w:pPr>
            <w:r w:rsidRPr="00A139CA">
              <w:rPr>
                <w:rFonts w:ascii="Arial" w:hAnsi="Arial"/>
                <w:sz w:val="20"/>
                <w:szCs w:val="20"/>
              </w:rPr>
              <w:t>Transmission and Distribution Service Provider</w:t>
            </w:r>
          </w:p>
        </w:tc>
        <w:tc>
          <w:tcPr>
            <w:tcW w:w="5941" w:type="dxa"/>
            <w:tcBorders>
              <w:top w:val="single" w:sz="4" w:space="0" w:color="auto"/>
              <w:left w:val="single" w:sz="4" w:space="0" w:color="auto"/>
              <w:bottom w:val="single" w:sz="4" w:space="0" w:color="auto"/>
              <w:right w:val="single" w:sz="4" w:space="0" w:color="auto"/>
            </w:tcBorders>
            <w:hideMark/>
          </w:tcPr>
          <w:p w:rsidR="00211CFB" w:rsidRDefault="00211CFB" w:rsidP="002C6CF9">
            <w:pPr>
              <w:spacing w:before="60" w:after="60"/>
            </w:pPr>
            <w:r>
              <w:t>An entity that has owns and operates electrical transmission and distribution facilities and is regulated by the PUCT.</w:t>
            </w:r>
          </w:p>
        </w:tc>
      </w:tr>
    </w:tbl>
    <w:p w:rsidR="0054098B" w:rsidRPr="006E227C" w:rsidRDefault="0054098B" w:rsidP="00507592"/>
    <w:sectPr w:rsidR="0054098B" w:rsidRPr="006E227C" w:rsidSect="00CB31EF">
      <w:pgSz w:w="12240" w:h="15840" w:code="1"/>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1C5" w:rsidRDefault="002461C5" w:rsidP="00507592">
      <w:r>
        <w:separator/>
      </w:r>
    </w:p>
  </w:endnote>
  <w:endnote w:type="continuationSeparator" w:id="0">
    <w:p w:rsidR="002461C5" w:rsidRDefault="002461C5" w:rsidP="00507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38557"/>
      <w:docPartObj>
        <w:docPartGallery w:val="Page Numbers (Bottom of Page)"/>
        <w:docPartUnique/>
      </w:docPartObj>
    </w:sdtPr>
    <w:sdtEndPr/>
    <w:sdtContent>
      <w:p w:rsidR="00026EAD" w:rsidRDefault="00026EAD">
        <w:pPr>
          <w:pStyle w:val="Footer"/>
          <w:jc w:val="right"/>
        </w:pPr>
        <w:r w:rsidRPr="005C3BCB">
          <w:rPr>
            <w:rFonts w:ascii="Arial" w:hAnsi="Arial"/>
            <w:sz w:val="20"/>
            <w:szCs w:val="20"/>
          </w:rPr>
          <w:t xml:space="preserve">Page | </w:t>
        </w:r>
        <w:r w:rsidRPr="005C3BCB">
          <w:rPr>
            <w:rFonts w:ascii="Arial" w:hAnsi="Arial"/>
            <w:sz w:val="20"/>
            <w:szCs w:val="20"/>
          </w:rPr>
          <w:fldChar w:fldCharType="begin"/>
        </w:r>
        <w:r w:rsidRPr="005C3BCB">
          <w:rPr>
            <w:rFonts w:ascii="Arial" w:hAnsi="Arial"/>
            <w:sz w:val="20"/>
            <w:szCs w:val="20"/>
          </w:rPr>
          <w:instrText xml:space="preserve"> PAGE   \* MERGEFORMAT </w:instrText>
        </w:r>
        <w:r w:rsidRPr="005C3BCB">
          <w:rPr>
            <w:rFonts w:ascii="Arial" w:hAnsi="Arial"/>
            <w:sz w:val="20"/>
            <w:szCs w:val="20"/>
          </w:rPr>
          <w:fldChar w:fldCharType="separate"/>
        </w:r>
        <w:r w:rsidR="00D40631">
          <w:rPr>
            <w:rFonts w:ascii="Arial" w:hAnsi="Arial"/>
            <w:noProof/>
            <w:sz w:val="20"/>
            <w:szCs w:val="20"/>
          </w:rPr>
          <w:t>54</w:t>
        </w:r>
        <w:r w:rsidRPr="005C3BCB">
          <w:rPr>
            <w:rFonts w:ascii="Arial" w:hAnsi="Arial"/>
            <w:sz w:val="20"/>
            <w:szCs w:val="20"/>
          </w:rPr>
          <w:fldChar w:fldCharType="end"/>
        </w:r>
        <w:r>
          <w:t xml:space="preserve"> </w:t>
        </w:r>
      </w:p>
    </w:sdtContent>
  </w:sdt>
  <w:p w:rsidR="00026EAD" w:rsidRDefault="00026E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38542"/>
      <w:docPartObj>
        <w:docPartGallery w:val="Page Numbers (Bottom of Page)"/>
        <w:docPartUnique/>
      </w:docPartObj>
    </w:sdtPr>
    <w:sdtEndPr/>
    <w:sdtContent>
      <w:p w:rsidR="00026EAD" w:rsidRDefault="00026EAD">
        <w:pPr>
          <w:pStyle w:val="Footer"/>
          <w:jc w:val="right"/>
        </w:pPr>
        <w:r w:rsidRPr="005C3BCB">
          <w:rPr>
            <w:rFonts w:ascii="Arial" w:hAnsi="Arial"/>
            <w:sz w:val="20"/>
            <w:szCs w:val="20"/>
          </w:rPr>
          <w:t xml:space="preserve">Page | </w:t>
        </w:r>
        <w:r w:rsidRPr="005C3BCB">
          <w:rPr>
            <w:rFonts w:ascii="Arial" w:hAnsi="Arial"/>
            <w:sz w:val="20"/>
            <w:szCs w:val="20"/>
          </w:rPr>
          <w:fldChar w:fldCharType="begin"/>
        </w:r>
        <w:r w:rsidRPr="005C3BCB">
          <w:rPr>
            <w:rFonts w:ascii="Arial" w:hAnsi="Arial"/>
            <w:sz w:val="20"/>
            <w:szCs w:val="20"/>
          </w:rPr>
          <w:instrText xml:space="preserve"> PAGE   \* MERGEFORMAT </w:instrText>
        </w:r>
        <w:r w:rsidRPr="005C3BCB">
          <w:rPr>
            <w:rFonts w:ascii="Arial" w:hAnsi="Arial"/>
            <w:sz w:val="20"/>
            <w:szCs w:val="20"/>
          </w:rPr>
          <w:fldChar w:fldCharType="separate"/>
        </w:r>
        <w:r w:rsidR="00D40631">
          <w:rPr>
            <w:rFonts w:ascii="Arial" w:hAnsi="Arial"/>
            <w:noProof/>
            <w:sz w:val="20"/>
            <w:szCs w:val="20"/>
          </w:rPr>
          <w:t>1</w:t>
        </w:r>
        <w:r w:rsidRPr="005C3BCB">
          <w:rPr>
            <w:rFonts w:ascii="Arial" w:hAnsi="Arial"/>
            <w:sz w:val="20"/>
            <w:szCs w:val="20"/>
          </w:rPr>
          <w:fldChar w:fldCharType="end"/>
        </w:r>
        <w:r>
          <w:t xml:space="preserve"> </w:t>
        </w:r>
      </w:p>
    </w:sdtContent>
  </w:sdt>
  <w:p w:rsidR="00026EAD" w:rsidRDefault="00026E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86252"/>
      <w:docPartObj>
        <w:docPartGallery w:val="Page Numbers (Bottom of Page)"/>
        <w:docPartUnique/>
      </w:docPartObj>
    </w:sdtPr>
    <w:sdtEndPr/>
    <w:sdtContent>
      <w:p w:rsidR="00026EAD" w:rsidRDefault="00026EAD">
        <w:pPr>
          <w:pStyle w:val="Footer"/>
          <w:jc w:val="right"/>
        </w:pPr>
        <w:r w:rsidRPr="005C3BCB">
          <w:rPr>
            <w:rFonts w:ascii="Arial" w:hAnsi="Arial"/>
            <w:sz w:val="20"/>
            <w:szCs w:val="20"/>
          </w:rPr>
          <w:t xml:space="preserve">Page | </w:t>
        </w:r>
        <w:r w:rsidRPr="005C3BCB">
          <w:rPr>
            <w:rFonts w:ascii="Arial" w:hAnsi="Arial"/>
            <w:sz w:val="20"/>
            <w:szCs w:val="20"/>
          </w:rPr>
          <w:fldChar w:fldCharType="begin"/>
        </w:r>
        <w:r w:rsidRPr="005C3BCB">
          <w:rPr>
            <w:rFonts w:ascii="Arial" w:hAnsi="Arial"/>
            <w:sz w:val="20"/>
            <w:szCs w:val="20"/>
          </w:rPr>
          <w:instrText xml:space="preserve"> PAGE   \* MERGEFORMAT </w:instrText>
        </w:r>
        <w:r w:rsidRPr="005C3BCB">
          <w:rPr>
            <w:rFonts w:ascii="Arial" w:hAnsi="Arial"/>
            <w:sz w:val="20"/>
            <w:szCs w:val="20"/>
          </w:rPr>
          <w:fldChar w:fldCharType="separate"/>
        </w:r>
        <w:r w:rsidR="00D40631">
          <w:rPr>
            <w:rFonts w:ascii="Arial" w:hAnsi="Arial"/>
            <w:noProof/>
            <w:sz w:val="20"/>
            <w:szCs w:val="20"/>
          </w:rPr>
          <w:t>2</w:t>
        </w:r>
        <w:r w:rsidRPr="005C3BCB">
          <w:rPr>
            <w:rFonts w:ascii="Arial" w:hAnsi="Arial"/>
            <w:sz w:val="20"/>
            <w:szCs w:val="20"/>
          </w:rPr>
          <w:fldChar w:fldCharType="end"/>
        </w:r>
        <w:r>
          <w:t xml:space="preserve"> </w:t>
        </w:r>
      </w:p>
    </w:sdtContent>
  </w:sdt>
  <w:p w:rsidR="00026EAD" w:rsidRDefault="00026E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1C5" w:rsidRDefault="002461C5" w:rsidP="00507592">
      <w:r>
        <w:separator/>
      </w:r>
    </w:p>
  </w:footnote>
  <w:footnote w:type="continuationSeparator" w:id="0">
    <w:p w:rsidR="002461C5" w:rsidRDefault="002461C5" w:rsidP="00507592">
      <w:r>
        <w:continuationSeparator/>
      </w:r>
    </w:p>
  </w:footnote>
  <w:footnote w:id="1">
    <w:p w:rsidR="00026EAD" w:rsidRPr="005C3BCB" w:rsidRDefault="00026EAD" w:rsidP="006B6DD9">
      <w:pPr>
        <w:pStyle w:val="FootnoteText"/>
        <w:rPr>
          <w:sz w:val="18"/>
          <w:szCs w:val="18"/>
        </w:rPr>
      </w:pPr>
      <w:r w:rsidRPr="005C3BCB">
        <w:rPr>
          <w:rStyle w:val="FootnoteReference"/>
          <w:sz w:val="18"/>
          <w:szCs w:val="18"/>
        </w:rPr>
        <w:footnoteRef/>
      </w:r>
      <w:r w:rsidRPr="005C3BCB">
        <w:rPr>
          <w:sz w:val="18"/>
          <w:szCs w:val="18"/>
        </w:rPr>
        <w:t xml:space="preserve"> PUCT § 25.130 - Advanced Metering (</w:t>
      </w:r>
      <w:hyperlink r:id="rId1" w:history="1">
        <w:r w:rsidRPr="005C3BCB">
          <w:rPr>
            <w:rStyle w:val="Hyperlink"/>
            <w:sz w:val="18"/>
            <w:szCs w:val="18"/>
          </w:rPr>
          <w:t>http://www.puc.texas.gov/agency/rulesnlaws/subrules/electric/25.130/25.130.pdf</w:t>
        </w:r>
      </w:hyperlink>
      <w:r w:rsidRPr="005C3BCB">
        <w:rPr>
          <w:sz w:val="18"/>
          <w:szCs w:val="18"/>
        </w:rPr>
        <w:t>)</w:t>
      </w:r>
    </w:p>
  </w:footnote>
  <w:footnote w:id="2">
    <w:p w:rsidR="00026EAD" w:rsidRPr="00C16FC7" w:rsidRDefault="00026EAD" w:rsidP="006B6DD9">
      <w:pPr>
        <w:pStyle w:val="FootnoteText"/>
        <w:spacing w:after="240"/>
        <w:contextualSpacing/>
      </w:pPr>
      <w:r w:rsidRPr="005C3BCB">
        <w:rPr>
          <w:rStyle w:val="FootnoteReference"/>
          <w:sz w:val="18"/>
          <w:szCs w:val="18"/>
        </w:rPr>
        <w:footnoteRef/>
      </w:r>
      <w:r w:rsidRPr="005C3BCB">
        <w:rPr>
          <w:sz w:val="18"/>
          <w:szCs w:val="18"/>
        </w:rPr>
        <w:t xml:space="preserve"> Project #34610 Implementation Project Relating to Advanced Metering  </w:t>
      </w:r>
      <w:hyperlink r:id="rId2" w:history="1">
        <w:r w:rsidRPr="005C3BCB">
          <w:rPr>
            <w:rStyle w:val="Hyperlink"/>
            <w:sz w:val="18"/>
            <w:szCs w:val="18"/>
          </w:rPr>
          <w:t>http://www.puc.texas.gov/industry/projects/electric/34610/34610.aspx</w:t>
        </w:r>
      </w:hyperlink>
    </w:p>
  </w:footnote>
  <w:footnote w:id="3">
    <w:p w:rsidR="00026EAD" w:rsidRPr="006E14DA" w:rsidRDefault="00026EAD" w:rsidP="000E1678">
      <w:pPr>
        <w:pStyle w:val="FootnoteText"/>
        <w:rPr>
          <w:sz w:val="18"/>
          <w:szCs w:val="18"/>
        </w:rPr>
      </w:pPr>
      <w:r w:rsidRPr="006E14DA">
        <w:rPr>
          <w:rStyle w:val="FootnoteReference"/>
          <w:sz w:val="18"/>
          <w:szCs w:val="18"/>
        </w:rPr>
        <w:footnoteRef/>
      </w:r>
      <w:r w:rsidRPr="006E14DA">
        <w:rPr>
          <w:sz w:val="18"/>
          <w:szCs w:val="18"/>
        </w:rPr>
        <w:t xml:space="preserve"> PURA 2011 Section 39.107(b) </w:t>
      </w:r>
      <w:hyperlink r:id="rId3" w:history="1">
        <w:r w:rsidRPr="006E14DA">
          <w:rPr>
            <w:rStyle w:val="Hyperlink"/>
            <w:sz w:val="18"/>
            <w:szCs w:val="18"/>
          </w:rPr>
          <w:t>(http://www.puc.texas.gov/agency/rulesnlaws/statutes/Pura11.pdf)</w:t>
        </w:r>
      </w:hyperlink>
    </w:p>
  </w:footnote>
  <w:footnote w:id="4">
    <w:p w:rsidR="00026EAD" w:rsidRPr="006E14DA" w:rsidRDefault="00026EAD" w:rsidP="00C16FC7">
      <w:pPr>
        <w:pStyle w:val="FootnoteText"/>
        <w:rPr>
          <w:sz w:val="18"/>
          <w:szCs w:val="18"/>
        </w:rPr>
      </w:pPr>
      <w:r w:rsidRPr="006E14DA">
        <w:rPr>
          <w:rStyle w:val="FootnoteReference"/>
          <w:sz w:val="18"/>
          <w:szCs w:val="18"/>
        </w:rPr>
        <w:footnoteRef/>
      </w:r>
      <w:r w:rsidRPr="006E14DA">
        <w:rPr>
          <w:sz w:val="18"/>
          <w:szCs w:val="18"/>
        </w:rPr>
        <w:t xml:space="preserve"> PUCT </w:t>
      </w:r>
      <w:r w:rsidRPr="006E14DA">
        <w:rPr>
          <w:rFonts w:cs="Calibri"/>
          <w:sz w:val="18"/>
          <w:szCs w:val="18"/>
        </w:rPr>
        <w:t>§</w:t>
      </w:r>
      <w:r w:rsidRPr="006E14DA">
        <w:rPr>
          <w:sz w:val="18"/>
          <w:szCs w:val="18"/>
        </w:rPr>
        <w:t>25.130(j) (</w:t>
      </w:r>
      <w:hyperlink r:id="rId4" w:history="1">
        <w:r w:rsidRPr="006E14DA">
          <w:rPr>
            <w:rStyle w:val="Hyperlink"/>
            <w:sz w:val="18"/>
            <w:szCs w:val="18"/>
          </w:rPr>
          <w:t>http://www.puc.texas.gov/agency/rulesnlaws/subrules/electric/25.130/25.130.pdf</w:t>
        </w:r>
      </w:hyperlink>
      <w:r w:rsidRPr="006E14DA">
        <w:rPr>
          <w:sz w:val="18"/>
          <w:szCs w:val="18"/>
        </w:rPr>
        <w:t>)</w:t>
      </w:r>
    </w:p>
  </w:footnote>
  <w:footnote w:id="5">
    <w:p w:rsidR="00026EAD" w:rsidRDefault="00026EAD" w:rsidP="00C16FC7">
      <w:pPr>
        <w:pStyle w:val="FootnoteText"/>
      </w:pPr>
      <w:r w:rsidRPr="006E14DA">
        <w:rPr>
          <w:rStyle w:val="FootnoteReference"/>
          <w:sz w:val="18"/>
          <w:szCs w:val="18"/>
        </w:rPr>
        <w:footnoteRef/>
      </w:r>
      <w:r w:rsidRPr="006E14DA">
        <w:rPr>
          <w:sz w:val="18"/>
          <w:szCs w:val="18"/>
        </w:rPr>
        <w:t xml:space="preserve"> Introducing Green Button Association for Demand Response and Smart Grid webinar January 20, 2012 (</w:t>
      </w:r>
      <w:hyperlink r:id="rId5" w:history="1">
        <w:r w:rsidRPr="006E14DA">
          <w:rPr>
            <w:rStyle w:val="Hyperlink"/>
            <w:sz w:val="18"/>
            <w:szCs w:val="18"/>
          </w:rPr>
          <w:t>http:/www.nist.gov/smartgrid/upload/1-20-12_Green_Button_Webinar_-_Wollman_and_Irwin.pdf</w:t>
        </w:r>
      </w:hyperlink>
      <w:r w:rsidRPr="006E14DA">
        <w:rPr>
          <w:sz w:val="18"/>
          <w:szCs w:val="18"/>
        </w:rPr>
        <w:t>)</w:t>
      </w:r>
    </w:p>
  </w:footnote>
  <w:footnote w:id="6">
    <w:p w:rsidR="00026EAD" w:rsidRPr="006E14DA" w:rsidRDefault="00026EAD" w:rsidP="001B66F8">
      <w:pPr>
        <w:pStyle w:val="FootnoteText"/>
        <w:rPr>
          <w:sz w:val="18"/>
          <w:szCs w:val="18"/>
        </w:rPr>
      </w:pPr>
      <w:r w:rsidRPr="006E14DA">
        <w:rPr>
          <w:rStyle w:val="FootnoteReference"/>
          <w:sz w:val="18"/>
          <w:szCs w:val="18"/>
        </w:rPr>
        <w:footnoteRef/>
      </w:r>
      <w:r w:rsidRPr="006E14DA">
        <w:rPr>
          <w:sz w:val="18"/>
          <w:szCs w:val="18"/>
        </w:rPr>
        <w:t xml:space="preserve"> Figure 1 includes all the retail customers who are part of the Texas competitive market structure; however, SMT is currently only applicable to residential and business customers.</w:t>
      </w:r>
    </w:p>
  </w:footnote>
  <w:footnote w:id="7">
    <w:p w:rsidR="00026EAD" w:rsidRPr="006E14DA" w:rsidRDefault="00026EAD" w:rsidP="001B66F8">
      <w:pPr>
        <w:pStyle w:val="FootnoteText"/>
        <w:rPr>
          <w:sz w:val="18"/>
          <w:szCs w:val="18"/>
        </w:rPr>
      </w:pPr>
      <w:r w:rsidRPr="006E14DA">
        <w:rPr>
          <w:rStyle w:val="FootnoteReference"/>
          <w:sz w:val="18"/>
          <w:szCs w:val="18"/>
        </w:rPr>
        <w:footnoteRef/>
      </w:r>
      <w:r w:rsidRPr="006E14DA">
        <w:rPr>
          <w:sz w:val="18"/>
          <w:szCs w:val="18"/>
        </w:rPr>
        <w:t xml:space="preserve"> The participating Texas TDSPs are AEP Texas Central Company and AEP Texas North Company (jointly “AEP”), CenterPoint Energy Houston Electric, LLC (“CenterPoint”), Oncor Electric Delivery Company LLC (“Oncor”), and Texas-New Mexico Power Company ("TNMP") collectively referred to as the “Joint TDSPs”.</w:t>
      </w:r>
    </w:p>
  </w:footnote>
  <w:footnote w:id="8">
    <w:p w:rsidR="00026EAD" w:rsidRPr="006E14DA" w:rsidRDefault="00026EAD" w:rsidP="00C16FC7">
      <w:pPr>
        <w:pStyle w:val="FootnoteText"/>
        <w:rPr>
          <w:sz w:val="18"/>
          <w:szCs w:val="18"/>
        </w:rPr>
      </w:pPr>
      <w:r w:rsidRPr="006E14DA">
        <w:rPr>
          <w:rStyle w:val="FootnoteReference"/>
          <w:sz w:val="18"/>
          <w:szCs w:val="18"/>
        </w:rPr>
        <w:footnoteRef/>
      </w:r>
      <w:r w:rsidRPr="006E14DA">
        <w:rPr>
          <w:sz w:val="18"/>
          <w:szCs w:val="18"/>
        </w:rPr>
        <w:t xml:space="preserve"> A REP may also act as a Third Party, see Section </w:t>
      </w:r>
      <w:r>
        <w:fldChar w:fldCharType="begin"/>
      </w:r>
      <w:r>
        <w:instrText xml:space="preserve"> REF _Ref351552860 \r \h  \* MERGEFORMAT </w:instrText>
      </w:r>
      <w:r>
        <w:fldChar w:fldCharType="separate"/>
      </w:r>
      <w:r w:rsidRPr="006E14DA">
        <w:rPr>
          <w:sz w:val="18"/>
          <w:szCs w:val="18"/>
        </w:rPr>
        <w:t>2.3.5</w:t>
      </w:r>
      <w:r>
        <w:fldChar w:fldCharType="end"/>
      </w:r>
    </w:p>
  </w:footnote>
  <w:footnote w:id="9">
    <w:p w:rsidR="00026EAD" w:rsidRPr="006E14DA" w:rsidRDefault="00026EAD" w:rsidP="00715EE8">
      <w:pPr>
        <w:pStyle w:val="FootnoteText"/>
        <w:jc w:val="both"/>
        <w:rPr>
          <w:sz w:val="18"/>
          <w:szCs w:val="18"/>
        </w:rPr>
      </w:pPr>
      <w:r w:rsidRPr="006E14DA">
        <w:rPr>
          <w:rStyle w:val="FootnoteReference"/>
          <w:sz w:val="18"/>
          <w:szCs w:val="18"/>
        </w:rPr>
        <w:footnoteRef/>
      </w:r>
      <w:r w:rsidRPr="006E14DA">
        <w:rPr>
          <w:sz w:val="18"/>
          <w:szCs w:val="18"/>
        </w:rPr>
        <w:t xml:space="preserve"> Only a ROR may access up to 7 years of historical usage information. Customers may access up to 13 months </w:t>
      </w:r>
      <w:r>
        <w:rPr>
          <w:sz w:val="18"/>
          <w:szCs w:val="18"/>
        </w:rPr>
        <w:t xml:space="preserve">and Third Parties may access up to 12 months </w:t>
      </w:r>
      <w:r w:rsidRPr="006E14DA">
        <w:rPr>
          <w:sz w:val="18"/>
          <w:szCs w:val="18"/>
        </w:rPr>
        <w:t>of historical usage information.</w:t>
      </w:r>
    </w:p>
  </w:footnote>
  <w:footnote w:id="10">
    <w:p w:rsidR="00026EAD" w:rsidRDefault="00026EAD" w:rsidP="00715EE8">
      <w:pPr>
        <w:pStyle w:val="FootnoteText"/>
        <w:jc w:val="both"/>
      </w:pPr>
      <w:r w:rsidRPr="006E14DA">
        <w:rPr>
          <w:rStyle w:val="FootnoteReference"/>
          <w:sz w:val="18"/>
          <w:szCs w:val="18"/>
        </w:rPr>
        <w:footnoteRef/>
      </w:r>
      <w:r w:rsidRPr="006E14DA">
        <w:rPr>
          <w:sz w:val="18"/>
          <w:szCs w:val="18"/>
        </w:rPr>
        <w:t xml:space="preserve"> The Customer HAN is an energy home area network and is created by the Zigbee SEP</w:t>
      </w:r>
      <w:r>
        <w:rPr>
          <w:sz w:val="18"/>
          <w:szCs w:val="18"/>
        </w:rPr>
        <w:t xml:space="preserve"> HAN protocol located</w:t>
      </w:r>
      <w:r w:rsidRPr="006E14DA">
        <w:rPr>
          <w:sz w:val="18"/>
          <w:szCs w:val="18"/>
        </w:rPr>
        <w:t xml:space="preserve"> in the smart meter that is installed at the Customer premise. See definition of HAN in Section </w:t>
      </w:r>
      <w:r>
        <w:fldChar w:fldCharType="begin"/>
      </w:r>
      <w:r>
        <w:instrText xml:space="preserve"> REF _Ref352051770 \r \h  \* MERGEFORMAT </w:instrText>
      </w:r>
      <w:r>
        <w:fldChar w:fldCharType="separate"/>
      </w:r>
      <w:r w:rsidRPr="006E14DA">
        <w:rPr>
          <w:sz w:val="18"/>
          <w:szCs w:val="18"/>
        </w:rPr>
        <w:t>11.2</w:t>
      </w:r>
      <w:r>
        <w:fldChar w:fldCharType="end"/>
      </w:r>
      <w:r w:rsidRPr="006E14DA">
        <w:rPr>
          <w:sz w:val="18"/>
          <w:szCs w:val="18"/>
        </w:rPr>
        <w:t>.</w:t>
      </w:r>
    </w:p>
  </w:footnote>
  <w:footnote w:id="11">
    <w:p w:rsidR="00026EAD" w:rsidRPr="006E14DA" w:rsidRDefault="00026EAD" w:rsidP="006E0578">
      <w:pPr>
        <w:pStyle w:val="FootnoteText"/>
        <w:rPr>
          <w:sz w:val="18"/>
          <w:szCs w:val="18"/>
        </w:rPr>
      </w:pPr>
      <w:r w:rsidRPr="006E14DA">
        <w:rPr>
          <w:rStyle w:val="FootnoteReference"/>
          <w:sz w:val="18"/>
          <w:szCs w:val="18"/>
        </w:rPr>
        <w:footnoteRef/>
      </w:r>
      <w:r w:rsidRPr="006E14DA">
        <w:rPr>
          <w:sz w:val="18"/>
          <w:szCs w:val="18"/>
        </w:rPr>
        <w:t xml:space="preserve"> Stakeholders included the Joint TDSPs, REPs, PUCT staff, consumer advocates, smart meter manufacturers, </w:t>
      </w:r>
      <w:r>
        <w:rPr>
          <w:sz w:val="18"/>
          <w:szCs w:val="18"/>
        </w:rPr>
        <w:t>In-Home D</w:t>
      </w:r>
      <w:r w:rsidRPr="006E14DA">
        <w:rPr>
          <w:sz w:val="18"/>
          <w:szCs w:val="18"/>
        </w:rPr>
        <w:t>evice manufacturers, HAN service providers, solutions vendors, and ERCOT staff.</w:t>
      </w:r>
    </w:p>
  </w:footnote>
  <w:footnote w:id="12">
    <w:p w:rsidR="00026EAD" w:rsidRPr="001B66F8" w:rsidRDefault="00026EAD" w:rsidP="006E0578">
      <w:pPr>
        <w:pStyle w:val="FootnoteText"/>
      </w:pPr>
      <w:r w:rsidRPr="006E14DA">
        <w:rPr>
          <w:rStyle w:val="FootnoteReference"/>
          <w:sz w:val="18"/>
          <w:szCs w:val="18"/>
        </w:rPr>
        <w:footnoteRef/>
      </w:r>
      <w:r w:rsidRPr="006E14DA">
        <w:rPr>
          <w:sz w:val="18"/>
          <w:szCs w:val="18"/>
        </w:rPr>
        <w:t xml:space="preserve"> IEC 62559 Publicly Available Specification </w:t>
      </w:r>
      <w:hyperlink r:id="rId6" w:history="1">
        <w:r w:rsidRPr="006E14DA">
          <w:rPr>
            <w:rStyle w:val="Hyperlink"/>
            <w:sz w:val="18"/>
            <w:szCs w:val="18"/>
          </w:rPr>
          <w:t>http://webstore.iec.ch/webstore/webstore.nsf/Artnum_PK/38920</w:t>
        </w:r>
      </w:hyperlink>
    </w:p>
  </w:footnote>
  <w:footnote w:id="13">
    <w:p w:rsidR="00026EAD" w:rsidRPr="006E14DA" w:rsidRDefault="00026EAD">
      <w:pPr>
        <w:pStyle w:val="FootnoteText"/>
        <w:rPr>
          <w:sz w:val="18"/>
          <w:szCs w:val="18"/>
        </w:rPr>
      </w:pPr>
      <w:r w:rsidRPr="006E14DA">
        <w:rPr>
          <w:rStyle w:val="FootnoteReference"/>
          <w:sz w:val="18"/>
          <w:szCs w:val="18"/>
        </w:rPr>
        <w:footnoteRef/>
      </w:r>
      <w:r w:rsidRPr="006E14DA">
        <w:rPr>
          <w:sz w:val="18"/>
          <w:szCs w:val="18"/>
        </w:rPr>
        <w:t xml:space="preserve"> Understanding Smart Meter Texas is filed in Project #41171 Repository of Advanced Metering Implementation Documents </w:t>
      </w:r>
      <w:hyperlink r:id="rId7" w:history="1">
        <w:r w:rsidRPr="006E14DA">
          <w:rPr>
            <w:rStyle w:val="Hyperlink"/>
            <w:sz w:val="18"/>
            <w:szCs w:val="18"/>
          </w:rPr>
          <w:t>http://interchange.puc.texas.gov/WebApp/Interchange/application/dbapps/filings/pgSearch.asp</w:t>
        </w:r>
      </w:hyperlink>
    </w:p>
  </w:footnote>
  <w:footnote w:id="14">
    <w:p w:rsidR="00026EAD" w:rsidRPr="006E14DA" w:rsidRDefault="00026EAD" w:rsidP="006F76C3">
      <w:pPr>
        <w:pStyle w:val="FootnoteText"/>
        <w:rPr>
          <w:rFonts w:cs="Times New Roman"/>
          <w:sz w:val="18"/>
          <w:szCs w:val="18"/>
        </w:rPr>
      </w:pPr>
      <w:r w:rsidRPr="006E14DA">
        <w:rPr>
          <w:rStyle w:val="FootnoteReference"/>
          <w:rFonts w:cs="Times New Roman"/>
          <w:sz w:val="18"/>
          <w:szCs w:val="18"/>
        </w:rPr>
        <w:footnoteRef/>
      </w:r>
      <w:r w:rsidRPr="006E14DA">
        <w:rPr>
          <w:rFonts w:cs="Times New Roman"/>
          <w:sz w:val="18"/>
          <w:szCs w:val="18"/>
        </w:rPr>
        <w:t xml:space="preserve"> The final SMT business requirements are filed in Project #41171 Repository of Advanced Metering Implementation Documents </w:t>
      </w:r>
      <w:hyperlink r:id="rId8" w:history="1">
        <w:r w:rsidRPr="006E14DA">
          <w:rPr>
            <w:rStyle w:val="Hyperlink"/>
            <w:rFonts w:cs="Times New Roman"/>
            <w:sz w:val="18"/>
            <w:szCs w:val="18"/>
          </w:rPr>
          <w:t>http://interchange.puc.texas.gov/WebApp/Interchange/application/dbapps/filings/pgSearch.asp</w:t>
        </w:r>
      </w:hyperlink>
    </w:p>
  </w:footnote>
  <w:footnote w:id="15">
    <w:p w:rsidR="00026EAD" w:rsidRDefault="00026EAD" w:rsidP="00715EE8">
      <w:pPr>
        <w:pStyle w:val="FootnoteText"/>
        <w:jc w:val="both"/>
      </w:pPr>
      <w:r>
        <w:rPr>
          <w:rStyle w:val="FootnoteReference"/>
        </w:rPr>
        <w:footnoteRef/>
      </w:r>
      <w:r>
        <w:t xml:space="preserve"> The process to add an In-Home Device to a Customer’s HAN is automatically initiated when a Customer accepts an In-Home Device Agreement and if this process fails, the Third Party may resend the request to add the device</w:t>
      </w:r>
    </w:p>
  </w:footnote>
  <w:footnote w:id="16">
    <w:p w:rsidR="00026EAD" w:rsidRPr="00553935" w:rsidRDefault="00026EAD">
      <w:pPr>
        <w:pStyle w:val="FootnoteText"/>
        <w:rPr>
          <w:sz w:val="18"/>
          <w:szCs w:val="18"/>
        </w:rPr>
      </w:pPr>
      <w:r w:rsidRPr="00553935">
        <w:rPr>
          <w:rStyle w:val="FootnoteReference"/>
          <w:sz w:val="18"/>
          <w:szCs w:val="18"/>
        </w:rPr>
        <w:footnoteRef/>
      </w:r>
      <w:r w:rsidRPr="00553935">
        <w:rPr>
          <w:sz w:val="18"/>
          <w:szCs w:val="18"/>
        </w:rPr>
        <w:t xml:space="preserve"> See the discussion in Section </w:t>
      </w:r>
      <w:r>
        <w:fldChar w:fldCharType="begin"/>
      </w:r>
      <w:r>
        <w:instrText xml:space="preserve"> REF _Ref352080145 \r \h  \* MERGEFORMAT </w:instrText>
      </w:r>
      <w:r>
        <w:fldChar w:fldCharType="separate"/>
      </w:r>
      <w:r w:rsidRPr="00553935">
        <w:rPr>
          <w:sz w:val="18"/>
          <w:szCs w:val="18"/>
        </w:rPr>
        <w:t>2.3.4</w:t>
      </w:r>
      <w:r>
        <w:fldChar w:fldCharType="end"/>
      </w:r>
      <w:r w:rsidRPr="00553935">
        <w:rPr>
          <w:sz w:val="18"/>
          <w:szCs w:val="18"/>
        </w:rPr>
        <w:t xml:space="preserve"> of this document and in Section 10 of Understanding Smart Meter Texas which is filed in Project #41171 Repository of Advanced Metering Implementation Documents </w:t>
      </w:r>
      <w:hyperlink r:id="rId9" w:history="1">
        <w:r w:rsidRPr="00553935">
          <w:rPr>
            <w:rStyle w:val="Hyperlink"/>
            <w:sz w:val="18"/>
            <w:szCs w:val="18"/>
          </w:rPr>
          <w:t>http://interchange.puc.texas.gov/WebApp/Interchange/application/dbapps/filings/pgSearch.asp</w:t>
        </w:r>
      </w:hyperlink>
    </w:p>
  </w:footnote>
  <w:footnote w:id="17">
    <w:p w:rsidR="00026EAD" w:rsidRPr="00A139CA" w:rsidRDefault="00026EAD" w:rsidP="008D12E1">
      <w:pPr>
        <w:pStyle w:val="FootnoteText"/>
        <w:spacing w:after="0"/>
        <w:jc w:val="both"/>
        <w:rPr>
          <w:rFonts w:ascii="Calibri" w:hAnsi="Calibri" w:cs="Times New Roman"/>
          <w:sz w:val="18"/>
          <w:szCs w:val="18"/>
        </w:rPr>
      </w:pPr>
      <w:r w:rsidRPr="00A139CA">
        <w:rPr>
          <w:rStyle w:val="FootnoteReference"/>
          <w:sz w:val="18"/>
          <w:szCs w:val="18"/>
        </w:rPr>
        <w:footnoteRef/>
      </w:r>
      <w:r w:rsidRPr="00A139CA">
        <w:rPr>
          <w:sz w:val="18"/>
          <w:szCs w:val="18"/>
        </w:rPr>
        <w:t xml:space="preserve"> </w:t>
      </w:r>
      <w:hyperlink r:id="rId10" w:history="1">
        <w:r w:rsidRPr="00A139CA">
          <w:rPr>
            <w:rStyle w:val="Hyperlink"/>
            <w:sz w:val="18"/>
            <w:szCs w:val="18"/>
          </w:rPr>
          <w:t>UtilityAMI 2008 Home Area Network v1.04</w:t>
        </w:r>
      </w:hyperlink>
      <w:r w:rsidRPr="00A139CA">
        <w:rPr>
          <w:sz w:val="18"/>
          <w:szCs w:val="18"/>
        </w:rPr>
        <w:t xml:space="preserve"> (produced by the Utility Communications Architecture International Users Group (UCAIug))</w:t>
      </w:r>
    </w:p>
  </w:footnote>
  <w:footnote w:id="18">
    <w:p w:rsidR="00026EAD" w:rsidRDefault="00026EAD" w:rsidP="008546AD">
      <w:pPr>
        <w:pStyle w:val="FootnoteText"/>
        <w:spacing w:after="0"/>
      </w:pPr>
      <w:r w:rsidRPr="00A139CA">
        <w:rPr>
          <w:rStyle w:val="FootnoteReference"/>
          <w:sz w:val="18"/>
          <w:szCs w:val="18"/>
        </w:rPr>
        <w:footnoteRef/>
      </w:r>
      <w:r w:rsidRPr="00A139CA">
        <w:rPr>
          <w:sz w:val="18"/>
          <w:szCs w:val="18"/>
        </w:rPr>
        <w:t xml:space="preserve"> </w:t>
      </w:r>
      <w:hyperlink r:id="rId11" w:history="1">
        <w:r w:rsidRPr="00A139CA">
          <w:rPr>
            <w:rStyle w:val="Hyperlink"/>
            <w:sz w:val="18"/>
            <w:szCs w:val="18"/>
          </w:rPr>
          <w:t>UCAIug Home Area Network System Requirements Specification v2.0</w:t>
        </w:r>
      </w:hyperlink>
    </w:p>
  </w:footnote>
  <w:footnote w:id="19">
    <w:p w:rsidR="00026EAD" w:rsidRPr="00A139CA" w:rsidRDefault="00026EAD" w:rsidP="006F76C3">
      <w:pPr>
        <w:pStyle w:val="FootnoteText"/>
        <w:rPr>
          <w:rFonts w:cs="Times New Roman"/>
          <w:sz w:val="18"/>
          <w:szCs w:val="18"/>
        </w:rPr>
      </w:pPr>
      <w:r w:rsidRPr="00A139CA">
        <w:rPr>
          <w:rStyle w:val="FootnoteReference"/>
          <w:rFonts w:cs="Times New Roman"/>
          <w:sz w:val="18"/>
          <w:szCs w:val="18"/>
        </w:rPr>
        <w:footnoteRef/>
      </w:r>
      <w:r w:rsidRPr="00A139CA">
        <w:rPr>
          <w:rFonts w:cs="Times New Roman"/>
          <w:sz w:val="18"/>
          <w:szCs w:val="18"/>
        </w:rPr>
        <w:t xml:space="preserve"> PUCT §25.130(j)(3)</w:t>
      </w:r>
    </w:p>
  </w:footnote>
  <w:footnote w:id="20">
    <w:p w:rsidR="00026EAD" w:rsidRPr="00553935" w:rsidRDefault="00026EAD" w:rsidP="00C16FC7">
      <w:pPr>
        <w:pStyle w:val="FootnoteText"/>
        <w:rPr>
          <w:sz w:val="18"/>
          <w:szCs w:val="18"/>
        </w:rPr>
      </w:pPr>
      <w:r w:rsidRPr="00553935">
        <w:rPr>
          <w:rStyle w:val="FootnoteReference"/>
          <w:sz w:val="18"/>
          <w:szCs w:val="18"/>
        </w:rPr>
        <w:footnoteRef/>
      </w:r>
      <w:r w:rsidRPr="00553935">
        <w:rPr>
          <w:sz w:val="18"/>
          <w:szCs w:val="18"/>
        </w:rPr>
        <w:t xml:space="preserve"> NIST Framework and Roadmap for Smart Grid Interoperability Standards, Release 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EAD" w:rsidRDefault="00026EAD">
    <w:pPr>
      <w:pStyle w:val="Header"/>
    </w:pPr>
  </w:p>
  <w:p w:rsidR="00026EAD" w:rsidRDefault="00026EAD" w:rsidP="000817E1">
    <w:pPr>
      <w:pStyle w:val="Header"/>
      <w:jc w:val="center"/>
    </w:pPr>
    <w:r w:rsidRPr="005C3BCB">
      <w:rPr>
        <w:noProof/>
      </w:rPr>
      <w:drawing>
        <wp:inline distT="0" distB="0" distL="0" distR="0" wp14:anchorId="7F39842D" wp14:editId="5C90AE5A">
          <wp:extent cx="1594884" cy="678704"/>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 White BAr.png"/>
                  <pic:cNvPicPr/>
                </pic:nvPicPr>
                <pic:blipFill rotWithShape="1">
                  <a:blip r:embed="rId1">
                    <a:extLst>
                      <a:ext uri="{28A0092B-C50C-407E-A947-70E740481C1C}">
                        <a14:useLocalDpi xmlns:a14="http://schemas.microsoft.com/office/drawing/2010/main" val="0"/>
                      </a:ext>
                    </a:extLst>
                  </a:blip>
                  <a:srcRect r="65647"/>
                  <a:stretch/>
                </pic:blipFill>
                <pic:spPr bwMode="auto">
                  <a:xfrm>
                    <a:off x="0" y="0"/>
                    <a:ext cx="1604206" cy="68267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EAD" w:rsidRDefault="00026EAD" w:rsidP="000817E1">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EAD" w:rsidRDefault="00026EAD">
    <w:pPr>
      <w:pStyle w:val="Header"/>
    </w:pPr>
  </w:p>
  <w:p w:rsidR="00026EAD" w:rsidRDefault="00026EAD" w:rsidP="000817E1">
    <w:pPr>
      <w:pStyle w:val="Header"/>
      <w:jc w:val="center"/>
    </w:pPr>
    <w:r>
      <w:rPr>
        <w:noProof/>
      </w:rPr>
      <w:drawing>
        <wp:inline distT="0" distB="0" distL="0" distR="0" wp14:anchorId="5EF0E346">
          <wp:extent cx="1359535" cy="5607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535" cy="560705"/>
                  </a:xfrm>
                  <a:prstGeom prst="rect">
                    <a:avLst/>
                  </a:prstGeom>
                  <a:noFill/>
                </pic:spPr>
              </pic:pic>
            </a:graphicData>
          </a:graphic>
        </wp:inline>
      </w:drawing>
    </w:r>
  </w:p>
  <w:p w:rsidR="00026EAD" w:rsidRDefault="00026EAD" w:rsidP="000817E1">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EAD" w:rsidRDefault="00026EAD" w:rsidP="000817E1">
    <w:pPr>
      <w:pStyle w:val="Header"/>
      <w:jc w:val="center"/>
    </w:pPr>
    <w:r>
      <w:rPr>
        <w:noProof/>
      </w:rPr>
      <w:drawing>
        <wp:inline distT="0" distB="0" distL="0" distR="0" wp14:anchorId="2471ED65" wp14:editId="41AD0186">
          <wp:extent cx="1362075" cy="56301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5466" cy="589218"/>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013"/>
    <w:multiLevelType w:val="hybridMultilevel"/>
    <w:tmpl w:val="3B32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64A91"/>
    <w:multiLevelType w:val="hybridMultilevel"/>
    <w:tmpl w:val="E16ED2BA"/>
    <w:lvl w:ilvl="0" w:tplc="0409000F">
      <w:start w:val="1"/>
      <w:numFmt w:val="decimal"/>
      <w:lvlText w:val="%1."/>
      <w:lvlJc w:val="left"/>
      <w:pPr>
        <w:ind w:left="720" w:hanging="360"/>
      </w:pPr>
    </w:lvl>
    <w:lvl w:ilvl="1" w:tplc="8844FEAA">
      <w:start w:val="1"/>
      <w:numFmt w:val="bullet"/>
      <w:lvlText w:val="-"/>
      <w:lvlJc w:val="left"/>
      <w:pPr>
        <w:ind w:left="1440" w:hanging="360"/>
      </w:pPr>
      <w:rPr>
        <w:rFonts w:ascii="Calibri" w:hAnsi="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F6B6A"/>
    <w:multiLevelType w:val="hybridMultilevel"/>
    <w:tmpl w:val="0EC4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645387"/>
    <w:multiLevelType w:val="hybridMultilevel"/>
    <w:tmpl w:val="371E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E013E"/>
    <w:multiLevelType w:val="multilevel"/>
    <w:tmpl w:val="0409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AA60137"/>
    <w:multiLevelType w:val="hybridMultilevel"/>
    <w:tmpl w:val="792E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0F4D03"/>
    <w:multiLevelType w:val="hybridMultilevel"/>
    <w:tmpl w:val="5A3E8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937762"/>
    <w:multiLevelType w:val="hybridMultilevel"/>
    <w:tmpl w:val="83FCE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EEC7149"/>
    <w:multiLevelType w:val="hybridMultilevel"/>
    <w:tmpl w:val="B4CED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125F32"/>
    <w:multiLevelType w:val="hybridMultilevel"/>
    <w:tmpl w:val="A10E2AE8"/>
    <w:lvl w:ilvl="0" w:tplc="6D7EE3F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176240"/>
    <w:multiLevelType w:val="hybridMultilevel"/>
    <w:tmpl w:val="783AC59E"/>
    <w:lvl w:ilvl="0" w:tplc="714E2D7A">
      <w:start w:val="1"/>
      <w:numFmt w:val="bullet"/>
      <w:pStyle w:val="BulletsLevel1"/>
      <w:lvlText w:val=""/>
      <w:lvlJc w:val="left"/>
      <w:pPr>
        <w:tabs>
          <w:tab w:val="num" w:pos="720"/>
        </w:tabs>
        <w:ind w:left="720" w:hanging="360"/>
      </w:pPr>
      <w:rPr>
        <w:rFonts w:ascii="Symbol" w:hAnsi="Symbol" w:hint="default"/>
      </w:rPr>
    </w:lvl>
    <w:lvl w:ilvl="1" w:tplc="7ADE2ECE">
      <w:start w:val="1"/>
      <w:numFmt w:val="bullet"/>
      <w:pStyle w:val="BulletsLevel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1C1E60"/>
    <w:multiLevelType w:val="hybridMultilevel"/>
    <w:tmpl w:val="B5003BE4"/>
    <w:lvl w:ilvl="0" w:tplc="18468FB6">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0876B5B"/>
    <w:multiLevelType w:val="hybridMultilevel"/>
    <w:tmpl w:val="903E1FE6"/>
    <w:lvl w:ilvl="0" w:tplc="8844FEAA">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56E0619"/>
    <w:multiLevelType w:val="hybridMultilevel"/>
    <w:tmpl w:val="1E18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BE4CF3"/>
    <w:multiLevelType w:val="multilevel"/>
    <w:tmpl w:val="7CC05A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3AE22020"/>
    <w:multiLevelType w:val="hybridMultilevel"/>
    <w:tmpl w:val="6D2227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3CE65BE"/>
    <w:multiLevelType w:val="hybridMultilevel"/>
    <w:tmpl w:val="ED4049A8"/>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7">
    <w:nsid w:val="5362113A"/>
    <w:multiLevelType w:val="hybridMultilevel"/>
    <w:tmpl w:val="44C48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9652F39"/>
    <w:multiLevelType w:val="hybridMultilevel"/>
    <w:tmpl w:val="FA680320"/>
    <w:lvl w:ilvl="0" w:tplc="06B21656">
      <w:start w:val="1"/>
      <w:numFmt w:val="decimal"/>
      <w:pStyle w:val="NumberedList"/>
      <w:lvlText w:val="%1."/>
      <w:lvlJc w:val="left"/>
      <w:pPr>
        <w:tabs>
          <w:tab w:val="num" w:pos="720"/>
        </w:tabs>
        <w:ind w:left="720" w:hanging="360"/>
      </w:pPr>
      <w:rPr>
        <w:rFonts w:hint="default"/>
      </w:rPr>
    </w:lvl>
    <w:lvl w:ilvl="1" w:tplc="587876DC">
      <w:start w:val="1"/>
      <w:numFmt w:val="lowerLetter"/>
      <w:pStyle w:val="NumberedListLevel2"/>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96F47FC"/>
    <w:multiLevelType w:val="hybridMultilevel"/>
    <w:tmpl w:val="5F862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3429BC"/>
    <w:multiLevelType w:val="hybridMultilevel"/>
    <w:tmpl w:val="9D565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CE354A"/>
    <w:multiLevelType w:val="hybridMultilevel"/>
    <w:tmpl w:val="8848CF52"/>
    <w:lvl w:ilvl="0" w:tplc="04090001">
      <w:start w:val="1"/>
      <w:numFmt w:val="bullet"/>
      <w:lvlText w:val=""/>
      <w:lvlJc w:val="left"/>
      <w:pPr>
        <w:ind w:left="720" w:hanging="360"/>
      </w:pPr>
      <w:rPr>
        <w:rFonts w:ascii="Symbol" w:hAnsi="Symbol" w:hint="default"/>
      </w:rPr>
    </w:lvl>
    <w:lvl w:ilvl="1" w:tplc="8844FEAA">
      <w:start w:val="1"/>
      <w:numFmt w:val="bullet"/>
      <w:lvlText w:val="-"/>
      <w:lvlJc w:val="left"/>
      <w:pPr>
        <w:ind w:left="1440" w:hanging="360"/>
      </w:pPr>
      <w:rPr>
        <w:rFonts w:ascii="Calibri" w:hAnsi="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2643CE1"/>
    <w:multiLevelType w:val="hybridMultilevel"/>
    <w:tmpl w:val="71846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EB4554"/>
    <w:multiLevelType w:val="multilevel"/>
    <w:tmpl w:val="EB40A73A"/>
    <w:lvl w:ilvl="0">
      <w:start w:val="1"/>
      <w:numFmt w:val="decimal"/>
      <w:pStyle w:val="Heading1"/>
      <w:lvlText w:val="%1"/>
      <w:lvlJc w:val="left"/>
      <w:pPr>
        <w:tabs>
          <w:tab w:val="num" w:pos="-288"/>
        </w:tabs>
        <w:ind w:left="-288" w:hanging="432"/>
      </w:pPr>
      <w:rPr>
        <w:rFonts w:hint="default"/>
        <w:b/>
      </w:rPr>
    </w:lvl>
    <w:lvl w:ilvl="1">
      <w:start w:val="1"/>
      <w:numFmt w:val="decimal"/>
      <w:pStyle w:val="Heading2"/>
      <w:lvlText w:val="%1.%2"/>
      <w:lvlJc w:val="left"/>
      <w:pPr>
        <w:tabs>
          <w:tab w:val="num" w:pos="576"/>
        </w:tabs>
        <w:ind w:left="576" w:hanging="576"/>
      </w:pPr>
      <w:rPr>
        <w:b/>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0"/>
        </w:tabs>
        <w:ind w:left="0" w:hanging="720"/>
      </w:pPr>
      <w:rPr>
        <w:rFonts w:hint="default"/>
      </w:rPr>
    </w:lvl>
    <w:lvl w:ilvl="3">
      <w:start w:val="1"/>
      <w:numFmt w:val="decimal"/>
      <w:pStyle w:val="Heading4"/>
      <w:lvlText w:val="%1.%2.%3.%4"/>
      <w:lvlJc w:val="left"/>
      <w:pPr>
        <w:tabs>
          <w:tab w:val="num" w:pos="144"/>
        </w:tabs>
        <w:ind w:left="144" w:hanging="864"/>
      </w:pPr>
      <w:rPr>
        <w:rFonts w:hint="default"/>
      </w:rPr>
    </w:lvl>
    <w:lvl w:ilvl="4">
      <w:start w:val="1"/>
      <w:numFmt w:val="decimal"/>
      <w:pStyle w:val="Heading5"/>
      <w:lvlText w:val="%1.%2.%3.%4.%5"/>
      <w:lvlJc w:val="left"/>
      <w:pPr>
        <w:tabs>
          <w:tab w:val="num" w:pos="288"/>
        </w:tabs>
        <w:ind w:left="288" w:hanging="1008"/>
      </w:pPr>
      <w:rPr>
        <w:rFonts w:hint="default"/>
      </w:rPr>
    </w:lvl>
    <w:lvl w:ilvl="5">
      <w:start w:val="1"/>
      <w:numFmt w:val="decimal"/>
      <w:pStyle w:val="Heading6"/>
      <w:lvlText w:val="%1.%2.%3.%4.%5.%6"/>
      <w:lvlJc w:val="left"/>
      <w:pPr>
        <w:tabs>
          <w:tab w:val="num" w:pos="432"/>
        </w:tabs>
        <w:ind w:left="432" w:hanging="1152"/>
      </w:pPr>
      <w:rPr>
        <w:rFonts w:hint="default"/>
      </w:rPr>
    </w:lvl>
    <w:lvl w:ilvl="6">
      <w:start w:val="1"/>
      <w:numFmt w:val="upperLetter"/>
      <w:pStyle w:val="Heading7"/>
      <w:lvlText w:val="Appendix %7 "/>
      <w:lvlJc w:val="left"/>
      <w:pPr>
        <w:tabs>
          <w:tab w:val="num" w:pos="576"/>
        </w:tabs>
        <w:ind w:left="576" w:hanging="1296"/>
      </w:pPr>
      <w:rPr>
        <w:rFonts w:hint="default"/>
      </w:rPr>
    </w:lvl>
    <w:lvl w:ilvl="7">
      <w:start w:val="1"/>
      <w:numFmt w:val="decimal"/>
      <w:lvlText w:val="%7.%8"/>
      <w:lvlJc w:val="left"/>
      <w:pPr>
        <w:tabs>
          <w:tab w:val="num" w:pos="720"/>
        </w:tabs>
        <w:ind w:left="720" w:hanging="1440"/>
      </w:pPr>
      <w:rPr>
        <w:rFonts w:hint="default"/>
      </w:rPr>
    </w:lvl>
    <w:lvl w:ilvl="8">
      <w:start w:val="1"/>
      <w:numFmt w:val="decimal"/>
      <w:pStyle w:val="Heading9"/>
      <w:lvlText w:val="%7.%8.%9"/>
      <w:lvlJc w:val="left"/>
      <w:pPr>
        <w:tabs>
          <w:tab w:val="num" w:pos="864"/>
        </w:tabs>
        <w:ind w:left="864" w:hanging="1584"/>
      </w:pPr>
      <w:rPr>
        <w:rFonts w:hint="default"/>
      </w:rPr>
    </w:lvl>
  </w:abstractNum>
  <w:abstractNum w:abstractNumId="24">
    <w:nsid w:val="77704E32"/>
    <w:multiLevelType w:val="hybridMultilevel"/>
    <w:tmpl w:val="E51A9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10"/>
  </w:num>
  <w:num w:numId="3">
    <w:abstractNumId w:val="18"/>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1"/>
  </w:num>
  <w:num w:numId="7">
    <w:abstractNumId w:val="15"/>
  </w:num>
  <w:num w:numId="8">
    <w:abstractNumId w:val="7"/>
  </w:num>
  <w:num w:numId="9">
    <w:abstractNumId w:val="8"/>
  </w:num>
  <w:num w:numId="10">
    <w:abstractNumId w:val="17"/>
  </w:num>
  <w:num w:numId="11">
    <w:abstractNumId w:val="13"/>
  </w:num>
  <w:num w:numId="12">
    <w:abstractNumId w:val="2"/>
  </w:num>
  <w:num w:numId="13">
    <w:abstractNumId w:val="24"/>
  </w:num>
  <w:num w:numId="14">
    <w:abstractNumId w:val="9"/>
  </w:num>
  <w:num w:numId="15">
    <w:abstractNumId w:val="3"/>
  </w:num>
  <w:num w:numId="16">
    <w:abstractNumId w:val="6"/>
  </w:num>
  <w:num w:numId="17">
    <w:abstractNumId w:val="20"/>
  </w:num>
  <w:num w:numId="18">
    <w:abstractNumId w:val="5"/>
  </w:num>
  <w:num w:numId="19">
    <w:abstractNumId w:val="16"/>
  </w:num>
  <w:num w:numId="20">
    <w:abstractNumId w:val="1"/>
  </w:num>
  <w:num w:numId="21">
    <w:abstractNumId w:val="19"/>
  </w:num>
  <w:num w:numId="22">
    <w:abstractNumId w:val="0"/>
  </w:num>
  <w:num w:numId="23">
    <w:abstractNumId w:val="22"/>
  </w:num>
  <w:num w:numId="24">
    <w:abstractNumId w:val="11"/>
  </w:num>
  <w:num w:numId="2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F67"/>
    <w:rsid w:val="00002C44"/>
    <w:rsid w:val="00003782"/>
    <w:rsid w:val="00003A54"/>
    <w:rsid w:val="000059C7"/>
    <w:rsid w:val="00006B9D"/>
    <w:rsid w:val="000104F7"/>
    <w:rsid w:val="00010781"/>
    <w:rsid w:val="00010E18"/>
    <w:rsid w:val="00010F84"/>
    <w:rsid w:val="00013D9C"/>
    <w:rsid w:val="000150AA"/>
    <w:rsid w:val="00015884"/>
    <w:rsid w:val="000167A5"/>
    <w:rsid w:val="00017776"/>
    <w:rsid w:val="00020945"/>
    <w:rsid w:val="00021864"/>
    <w:rsid w:val="00021B5D"/>
    <w:rsid w:val="00023568"/>
    <w:rsid w:val="000238FA"/>
    <w:rsid w:val="00026022"/>
    <w:rsid w:val="0002618C"/>
    <w:rsid w:val="000262B2"/>
    <w:rsid w:val="00026C5F"/>
    <w:rsid w:val="00026EAD"/>
    <w:rsid w:val="00027097"/>
    <w:rsid w:val="0002798E"/>
    <w:rsid w:val="00031C73"/>
    <w:rsid w:val="00032756"/>
    <w:rsid w:val="000328D5"/>
    <w:rsid w:val="00033015"/>
    <w:rsid w:val="000345AB"/>
    <w:rsid w:val="00035723"/>
    <w:rsid w:val="000370BC"/>
    <w:rsid w:val="000376B2"/>
    <w:rsid w:val="000378D9"/>
    <w:rsid w:val="00040188"/>
    <w:rsid w:val="00040197"/>
    <w:rsid w:val="000402B1"/>
    <w:rsid w:val="000409A2"/>
    <w:rsid w:val="00041535"/>
    <w:rsid w:val="00041FE6"/>
    <w:rsid w:val="00042C72"/>
    <w:rsid w:val="00045247"/>
    <w:rsid w:val="000474C7"/>
    <w:rsid w:val="00047AFE"/>
    <w:rsid w:val="0005058D"/>
    <w:rsid w:val="00050D5F"/>
    <w:rsid w:val="00051071"/>
    <w:rsid w:val="00051245"/>
    <w:rsid w:val="00051406"/>
    <w:rsid w:val="0005161E"/>
    <w:rsid w:val="00051B27"/>
    <w:rsid w:val="00052797"/>
    <w:rsid w:val="00052ECC"/>
    <w:rsid w:val="000530CE"/>
    <w:rsid w:val="00053CB2"/>
    <w:rsid w:val="00054E0C"/>
    <w:rsid w:val="00056342"/>
    <w:rsid w:val="000568CF"/>
    <w:rsid w:val="00057AFD"/>
    <w:rsid w:val="00060302"/>
    <w:rsid w:val="00060456"/>
    <w:rsid w:val="00061063"/>
    <w:rsid w:val="000631A8"/>
    <w:rsid w:val="000633FE"/>
    <w:rsid w:val="00063A33"/>
    <w:rsid w:val="00064719"/>
    <w:rsid w:val="00064AD6"/>
    <w:rsid w:val="00064E88"/>
    <w:rsid w:val="000656C3"/>
    <w:rsid w:val="0006599C"/>
    <w:rsid w:val="00065D82"/>
    <w:rsid w:val="0006697C"/>
    <w:rsid w:val="00066F51"/>
    <w:rsid w:val="00070377"/>
    <w:rsid w:val="00070E39"/>
    <w:rsid w:val="00070E97"/>
    <w:rsid w:val="00071A2B"/>
    <w:rsid w:val="00072993"/>
    <w:rsid w:val="000733BB"/>
    <w:rsid w:val="00073469"/>
    <w:rsid w:val="00075030"/>
    <w:rsid w:val="00075ED5"/>
    <w:rsid w:val="0007613F"/>
    <w:rsid w:val="000764C8"/>
    <w:rsid w:val="000766C0"/>
    <w:rsid w:val="000774BB"/>
    <w:rsid w:val="000817E1"/>
    <w:rsid w:val="00081F92"/>
    <w:rsid w:val="00083B4E"/>
    <w:rsid w:val="0008585E"/>
    <w:rsid w:val="00085CAC"/>
    <w:rsid w:val="00086609"/>
    <w:rsid w:val="00086CC9"/>
    <w:rsid w:val="000872A9"/>
    <w:rsid w:val="0008793B"/>
    <w:rsid w:val="00090797"/>
    <w:rsid w:val="00091A54"/>
    <w:rsid w:val="00093235"/>
    <w:rsid w:val="00094299"/>
    <w:rsid w:val="000943D0"/>
    <w:rsid w:val="00095075"/>
    <w:rsid w:val="000954AC"/>
    <w:rsid w:val="00096129"/>
    <w:rsid w:val="0009720C"/>
    <w:rsid w:val="000A00A2"/>
    <w:rsid w:val="000A237A"/>
    <w:rsid w:val="000A2B32"/>
    <w:rsid w:val="000A32FF"/>
    <w:rsid w:val="000A35BA"/>
    <w:rsid w:val="000A3F67"/>
    <w:rsid w:val="000A4C03"/>
    <w:rsid w:val="000A59E4"/>
    <w:rsid w:val="000A706D"/>
    <w:rsid w:val="000A7B33"/>
    <w:rsid w:val="000B0C1C"/>
    <w:rsid w:val="000B0C4A"/>
    <w:rsid w:val="000B1360"/>
    <w:rsid w:val="000B13CF"/>
    <w:rsid w:val="000B192F"/>
    <w:rsid w:val="000B1AB0"/>
    <w:rsid w:val="000B38D2"/>
    <w:rsid w:val="000B44A8"/>
    <w:rsid w:val="000B556E"/>
    <w:rsid w:val="000B6476"/>
    <w:rsid w:val="000B691D"/>
    <w:rsid w:val="000C20DC"/>
    <w:rsid w:val="000C2221"/>
    <w:rsid w:val="000C373D"/>
    <w:rsid w:val="000C3788"/>
    <w:rsid w:val="000C3831"/>
    <w:rsid w:val="000C45B1"/>
    <w:rsid w:val="000C4863"/>
    <w:rsid w:val="000C5D00"/>
    <w:rsid w:val="000D053B"/>
    <w:rsid w:val="000D116B"/>
    <w:rsid w:val="000D16C6"/>
    <w:rsid w:val="000D228F"/>
    <w:rsid w:val="000D2DB8"/>
    <w:rsid w:val="000D3E72"/>
    <w:rsid w:val="000D46CC"/>
    <w:rsid w:val="000D47CC"/>
    <w:rsid w:val="000D4836"/>
    <w:rsid w:val="000D49C7"/>
    <w:rsid w:val="000D62D4"/>
    <w:rsid w:val="000D6646"/>
    <w:rsid w:val="000D6B2A"/>
    <w:rsid w:val="000D7158"/>
    <w:rsid w:val="000D7192"/>
    <w:rsid w:val="000D7B08"/>
    <w:rsid w:val="000D7FA2"/>
    <w:rsid w:val="000E1678"/>
    <w:rsid w:val="000E2862"/>
    <w:rsid w:val="000E2966"/>
    <w:rsid w:val="000E468B"/>
    <w:rsid w:val="000E57EB"/>
    <w:rsid w:val="000E5C46"/>
    <w:rsid w:val="000E656C"/>
    <w:rsid w:val="000E6983"/>
    <w:rsid w:val="000E6A30"/>
    <w:rsid w:val="000E70B8"/>
    <w:rsid w:val="000F0C77"/>
    <w:rsid w:val="000F0F77"/>
    <w:rsid w:val="000F146D"/>
    <w:rsid w:val="000F3A46"/>
    <w:rsid w:val="000F4A4F"/>
    <w:rsid w:val="000F4CBE"/>
    <w:rsid w:val="000F54FD"/>
    <w:rsid w:val="000F67DB"/>
    <w:rsid w:val="000F6968"/>
    <w:rsid w:val="000F6EEF"/>
    <w:rsid w:val="000F79A1"/>
    <w:rsid w:val="00100575"/>
    <w:rsid w:val="00100908"/>
    <w:rsid w:val="001019A3"/>
    <w:rsid w:val="00103531"/>
    <w:rsid w:val="00103FC6"/>
    <w:rsid w:val="00104ADC"/>
    <w:rsid w:val="00104FC1"/>
    <w:rsid w:val="00105CD6"/>
    <w:rsid w:val="001071D3"/>
    <w:rsid w:val="00107429"/>
    <w:rsid w:val="00107584"/>
    <w:rsid w:val="00107651"/>
    <w:rsid w:val="001104CF"/>
    <w:rsid w:val="00110662"/>
    <w:rsid w:val="00110D51"/>
    <w:rsid w:val="00111365"/>
    <w:rsid w:val="00112D90"/>
    <w:rsid w:val="00113E78"/>
    <w:rsid w:val="00114664"/>
    <w:rsid w:val="00115566"/>
    <w:rsid w:val="00115E92"/>
    <w:rsid w:val="0011648B"/>
    <w:rsid w:val="0011665C"/>
    <w:rsid w:val="001166EA"/>
    <w:rsid w:val="00116B11"/>
    <w:rsid w:val="00117BDF"/>
    <w:rsid w:val="00117EE2"/>
    <w:rsid w:val="00120155"/>
    <w:rsid w:val="0012186C"/>
    <w:rsid w:val="00121C89"/>
    <w:rsid w:val="001225D9"/>
    <w:rsid w:val="00122A25"/>
    <w:rsid w:val="001231D5"/>
    <w:rsid w:val="001233B0"/>
    <w:rsid w:val="0012368E"/>
    <w:rsid w:val="0012393D"/>
    <w:rsid w:val="00123B31"/>
    <w:rsid w:val="00124BDA"/>
    <w:rsid w:val="00124FA2"/>
    <w:rsid w:val="00125ACA"/>
    <w:rsid w:val="0012637E"/>
    <w:rsid w:val="001271AF"/>
    <w:rsid w:val="001272D4"/>
    <w:rsid w:val="0012754F"/>
    <w:rsid w:val="0012767C"/>
    <w:rsid w:val="00127C8B"/>
    <w:rsid w:val="00130830"/>
    <w:rsid w:val="00130E52"/>
    <w:rsid w:val="001312ED"/>
    <w:rsid w:val="00132723"/>
    <w:rsid w:val="00132732"/>
    <w:rsid w:val="001336D5"/>
    <w:rsid w:val="0013438C"/>
    <w:rsid w:val="0013538D"/>
    <w:rsid w:val="001355B4"/>
    <w:rsid w:val="001407A4"/>
    <w:rsid w:val="00141729"/>
    <w:rsid w:val="001422C9"/>
    <w:rsid w:val="001426C0"/>
    <w:rsid w:val="00142B9F"/>
    <w:rsid w:val="00142DFC"/>
    <w:rsid w:val="0014357E"/>
    <w:rsid w:val="00143695"/>
    <w:rsid w:val="001439C2"/>
    <w:rsid w:val="00145D25"/>
    <w:rsid w:val="00146BC1"/>
    <w:rsid w:val="00147868"/>
    <w:rsid w:val="00150A45"/>
    <w:rsid w:val="00150C8A"/>
    <w:rsid w:val="00150CF0"/>
    <w:rsid w:val="00153161"/>
    <w:rsid w:val="0015348B"/>
    <w:rsid w:val="00155670"/>
    <w:rsid w:val="0015594D"/>
    <w:rsid w:val="00161D07"/>
    <w:rsid w:val="001628E4"/>
    <w:rsid w:val="00162B4A"/>
    <w:rsid w:val="00163028"/>
    <w:rsid w:val="001642C1"/>
    <w:rsid w:val="0016496C"/>
    <w:rsid w:val="00165689"/>
    <w:rsid w:val="00166A98"/>
    <w:rsid w:val="00167D90"/>
    <w:rsid w:val="00170142"/>
    <w:rsid w:val="00170878"/>
    <w:rsid w:val="00172990"/>
    <w:rsid w:val="00172A11"/>
    <w:rsid w:val="0017475F"/>
    <w:rsid w:val="00175007"/>
    <w:rsid w:val="00176021"/>
    <w:rsid w:val="001763EF"/>
    <w:rsid w:val="00181C02"/>
    <w:rsid w:val="00181C1E"/>
    <w:rsid w:val="001827A7"/>
    <w:rsid w:val="001838A7"/>
    <w:rsid w:val="001838F4"/>
    <w:rsid w:val="001849D3"/>
    <w:rsid w:val="00184CF0"/>
    <w:rsid w:val="00184E7B"/>
    <w:rsid w:val="00184EC7"/>
    <w:rsid w:val="00185F7A"/>
    <w:rsid w:val="00185FD2"/>
    <w:rsid w:val="00190A93"/>
    <w:rsid w:val="001911C1"/>
    <w:rsid w:val="00192DD8"/>
    <w:rsid w:val="00194F17"/>
    <w:rsid w:val="0019705D"/>
    <w:rsid w:val="001A0F0D"/>
    <w:rsid w:val="001A118E"/>
    <w:rsid w:val="001A14CC"/>
    <w:rsid w:val="001A16A6"/>
    <w:rsid w:val="001A1974"/>
    <w:rsid w:val="001A3554"/>
    <w:rsid w:val="001A3737"/>
    <w:rsid w:val="001A3E92"/>
    <w:rsid w:val="001A47E0"/>
    <w:rsid w:val="001A5293"/>
    <w:rsid w:val="001A5DCD"/>
    <w:rsid w:val="001A7E3B"/>
    <w:rsid w:val="001B000E"/>
    <w:rsid w:val="001B09CD"/>
    <w:rsid w:val="001B0ECA"/>
    <w:rsid w:val="001B1D83"/>
    <w:rsid w:val="001B26B4"/>
    <w:rsid w:val="001B2A92"/>
    <w:rsid w:val="001B2CFD"/>
    <w:rsid w:val="001B2D92"/>
    <w:rsid w:val="001B32D6"/>
    <w:rsid w:val="001B39E1"/>
    <w:rsid w:val="001B3E9B"/>
    <w:rsid w:val="001B47ED"/>
    <w:rsid w:val="001B66D0"/>
    <w:rsid w:val="001B66F8"/>
    <w:rsid w:val="001B7132"/>
    <w:rsid w:val="001B7CD1"/>
    <w:rsid w:val="001C01A6"/>
    <w:rsid w:val="001C0877"/>
    <w:rsid w:val="001C2941"/>
    <w:rsid w:val="001C2BF9"/>
    <w:rsid w:val="001C3716"/>
    <w:rsid w:val="001C3A58"/>
    <w:rsid w:val="001C3C3F"/>
    <w:rsid w:val="001C4314"/>
    <w:rsid w:val="001C4FE8"/>
    <w:rsid w:val="001C755A"/>
    <w:rsid w:val="001D0151"/>
    <w:rsid w:val="001D0AAF"/>
    <w:rsid w:val="001D0C28"/>
    <w:rsid w:val="001D104F"/>
    <w:rsid w:val="001D25D5"/>
    <w:rsid w:val="001D3F01"/>
    <w:rsid w:val="001D4320"/>
    <w:rsid w:val="001D4736"/>
    <w:rsid w:val="001E036C"/>
    <w:rsid w:val="001E076A"/>
    <w:rsid w:val="001E0DFF"/>
    <w:rsid w:val="001E2FBD"/>
    <w:rsid w:val="001E372E"/>
    <w:rsid w:val="001E3757"/>
    <w:rsid w:val="001E5B1F"/>
    <w:rsid w:val="001E6F5A"/>
    <w:rsid w:val="001F00AF"/>
    <w:rsid w:val="001F0F67"/>
    <w:rsid w:val="001F1BAF"/>
    <w:rsid w:val="001F2460"/>
    <w:rsid w:val="001F30AA"/>
    <w:rsid w:val="001F36EF"/>
    <w:rsid w:val="001F4C32"/>
    <w:rsid w:val="001F4D45"/>
    <w:rsid w:val="001F5042"/>
    <w:rsid w:val="001F50AE"/>
    <w:rsid w:val="001F5CB7"/>
    <w:rsid w:val="001F7092"/>
    <w:rsid w:val="001F73D9"/>
    <w:rsid w:val="0020037D"/>
    <w:rsid w:val="002003A4"/>
    <w:rsid w:val="00201F99"/>
    <w:rsid w:val="00202621"/>
    <w:rsid w:val="00202709"/>
    <w:rsid w:val="002028B9"/>
    <w:rsid w:val="00202E55"/>
    <w:rsid w:val="00204356"/>
    <w:rsid w:val="00204924"/>
    <w:rsid w:val="00205EAB"/>
    <w:rsid w:val="00206A81"/>
    <w:rsid w:val="002070AE"/>
    <w:rsid w:val="00207758"/>
    <w:rsid w:val="002077C7"/>
    <w:rsid w:val="002077FB"/>
    <w:rsid w:val="00207997"/>
    <w:rsid w:val="00207C1C"/>
    <w:rsid w:val="002114EA"/>
    <w:rsid w:val="00211CFB"/>
    <w:rsid w:val="0021397A"/>
    <w:rsid w:val="00215C75"/>
    <w:rsid w:val="0021677E"/>
    <w:rsid w:val="002176AE"/>
    <w:rsid w:val="00220BD2"/>
    <w:rsid w:val="0022149B"/>
    <w:rsid w:val="002215EA"/>
    <w:rsid w:val="00221808"/>
    <w:rsid w:val="00222E9B"/>
    <w:rsid w:val="00222F83"/>
    <w:rsid w:val="00223FB8"/>
    <w:rsid w:val="002253F4"/>
    <w:rsid w:val="00225405"/>
    <w:rsid w:val="00225472"/>
    <w:rsid w:val="00225982"/>
    <w:rsid w:val="00225D82"/>
    <w:rsid w:val="00226F28"/>
    <w:rsid w:val="00227A44"/>
    <w:rsid w:val="0023051B"/>
    <w:rsid w:val="00230C98"/>
    <w:rsid w:val="00231128"/>
    <w:rsid w:val="00233569"/>
    <w:rsid w:val="00235224"/>
    <w:rsid w:val="002362E4"/>
    <w:rsid w:val="00237364"/>
    <w:rsid w:val="00240B72"/>
    <w:rsid w:val="00240BAC"/>
    <w:rsid w:val="002421AA"/>
    <w:rsid w:val="002437A5"/>
    <w:rsid w:val="002461C5"/>
    <w:rsid w:val="002462CF"/>
    <w:rsid w:val="002467AF"/>
    <w:rsid w:val="00246905"/>
    <w:rsid w:val="00246E07"/>
    <w:rsid w:val="00247D17"/>
    <w:rsid w:val="0025044C"/>
    <w:rsid w:val="00250779"/>
    <w:rsid w:val="00250CFB"/>
    <w:rsid w:val="002521AC"/>
    <w:rsid w:val="00254600"/>
    <w:rsid w:val="00254B48"/>
    <w:rsid w:val="00254CBC"/>
    <w:rsid w:val="00255126"/>
    <w:rsid w:val="002556C4"/>
    <w:rsid w:val="00256476"/>
    <w:rsid w:val="002567E3"/>
    <w:rsid w:val="00256CA6"/>
    <w:rsid w:val="00257BD0"/>
    <w:rsid w:val="002608FB"/>
    <w:rsid w:val="002624D7"/>
    <w:rsid w:val="00262C0B"/>
    <w:rsid w:val="00262E29"/>
    <w:rsid w:val="00263F89"/>
    <w:rsid w:val="002640B4"/>
    <w:rsid w:val="00264A1D"/>
    <w:rsid w:val="002661DA"/>
    <w:rsid w:val="00266227"/>
    <w:rsid w:val="002677F8"/>
    <w:rsid w:val="002705A8"/>
    <w:rsid w:val="00272EDA"/>
    <w:rsid w:val="00274B4C"/>
    <w:rsid w:val="00277031"/>
    <w:rsid w:val="002773F5"/>
    <w:rsid w:val="00277525"/>
    <w:rsid w:val="002776F3"/>
    <w:rsid w:val="00277BA6"/>
    <w:rsid w:val="00280791"/>
    <w:rsid w:val="00282E10"/>
    <w:rsid w:val="00283462"/>
    <w:rsid w:val="00283717"/>
    <w:rsid w:val="00283E6C"/>
    <w:rsid w:val="00284639"/>
    <w:rsid w:val="0028552B"/>
    <w:rsid w:val="00285F50"/>
    <w:rsid w:val="002864AA"/>
    <w:rsid w:val="00286C06"/>
    <w:rsid w:val="00287AD6"/>
    <w:rsid w:val="00290766"/>
    <w:rsid w:val="00290B1A"/>
    <w:rsid w:val="00292903"/>
    <w:rsid w:val="00294C13"/>
    <w:rsid w:val="002954A9"/>
    <w:rsid w:val="00295CE6"/>
    <w:rsid w:val="00295DFB"/>
    <w:rsid w:val="00295E62"/>
    <w:rsid w:val="00296C1A"/>
    <w:rsid w:val="00296EF6"/>
    <w:rsid w:val="0029753E"/>
    <w:rsid w:val="0029782D"/>
    <w:rsid w:val="002A06BC"/>
    <w:rsid w:val="002A0B93"/>
    <w:rsid w:val="002A29D3"/>
    <w:rsid w:val="002A31E6"/>
    <w:rsid w:val="002A3781"/>
    <w:rsid w:val="002A3886"/>
    <w:rsid w:val="002A448D"/>
    <w:rsid w:val="002A46E1"/>
    <w:rsid w:val="002A4CFB"/>
    <w:rsid w:val="002A4D8F"/>
    <w:rsid w:val="002A5235"/>
    <w:rsid w:val="002A5316"/>
    <w:rsid w:val="002A5A76"/>
    <w:rsid w:val="002A5B38"/>
    <w:rsid w:val="002A6729"/>
    <w:rsid w:val="002B09AB"/>
    <w:rsid w:val="002B09D8"/>
    <w:rsid w:val="002B19E0"/>
    <w:rsid w:val="002B1D1A"/>
    <w:rsid w:val="002B2D14"/>
    <w:rsid w:val="002B2FFB"/>
    <w:rsid w:val="002B3D1D"/>
    <w:rsid w:val="002B43BB"/>
    <w:rsid w:val="002B4B22"/>
    <w:rsid w:val="002B53F5"/>
    <w:rsid w:val="002B6052"/>
    <w:rsid w:val="002B708B"/>
    <w:rsid w:val="002C1503"/>
    <w:rsid w:val="002C3299"/>
    <w:rsid w:val="002C42AE"/>
    <w:rsid w:val="002C4CC4"/>
    <w:rsid w:val="002C4D18"/>
    <w:rsid w:val="002C59AB"/>
    <w:rsid w:val="002C633B"/>
    <w:rsid w:val="002C6CF9"/>
    <w:rsid w:val="002C6FA2"/>
    <w:rsid w:val="002D0811"/>
    <w:rsid w:val="002D129F"/>
    <w:rsid w:val="002D36EF"/>
    <w:rsid w:val="002D381D"/>
    <w:rsid w:val="002D4449"/>
    <w:rsid w:val="002D4724"/>
    <w:rsid w:val="002D4BE9"/>
    <w:rsid w:val="002D5255"/>
    <w:rsid w:val="002D5567"/>
    <w:rsid w:val="002D56A6"/>
    <w:rsid w:val="002D75C6"/>
    <w:rsid w:val="002E1CF9"/>
    <w:rsid w:val="002E20D9"/>
    <w:rsid w:val="002E3469"/>
    <w:rsid w:val="002E4731"/>
    <w:rsid w:val="002E58A0"/>
    <w:rsid w:val="002E5DE8"/>
    <w:rsid w:val="002E6C56"/>
    <w:rsid w:val="002E7222"/>
    <w:rsid w:val="002E784D"/>
    <w:rsid w:val="002F1242"/>
    <w:rsid w:val="002F15DD"/>
    <w:rsid w:val="002F2BDD"/>
    <w:rsid w:val="002F3EA0"/>
    <w:rsid w:val="002F4154"/>
    <w:rsid w:val="002F4531"/>
    <w:rsid w:val="002F4599"/>
    <w:rsid w:val="002F4F74"/>
    <w:rsid w:val="002F520C"/>
    <w:rsid w:val="002F57BC"/>
    <w:rsid w:val="002F5C13"/>
    <w:rsid w:val="002F6564"/>
    <w:rsid w:val="002F766B"/>
    <w:rsid w:val="00300502"/>
    <w:rsid w:val="0030052E"/>
    <w:rsid w:val="003008E0"/>
    <w:rsid w:val="00305AE5"/>
    <w:rsid w:val="00305E4B"/>
    <w:rsid w:val="00305E97"/>
    <w:rsid w:val="00305EE0"/>
    <w:rsid w:val="00307941"/>
    <w:rsid w:val="00307EB5"/>
    <w:rsid w:val="00310018"/>
    <w:rsid w:val="00310495"/>
    <w:rsid w:val="0031136D"/>
    <w:rsid w:val="00311882"/>
    <w:rsid w:val="00311B95"/>
    <w:rsid w:val="00311C1A"/>
    <w:rsid w:val="00312236"/>
    <w:rsid w:val="00312C82"/>
    <w:rsid w:val="00312C8A"/>
    <w:rsid w:val="00313795"/>
    <w:rsid w:val="00313B2E"/>
    <w:rsid w:val="0031587C"/>
    <w:rsid w:val="00315A3B"/>
    <w:rsid w:val="00315B51"/>
    <w:rsid w:val="00317996"/>
    <w:rsid w:val="00317D91"/>
    <w:rsid w:val="00317F91"/>
    <w:rsid w:val="00320BD4"/>
    <w:rsid w:val="00321A33"/>
    <w:rsid w:val="00322CC5"/>
    <w:rsid w:val="003232A7"/>
    <w:rsid w:val="003232E2"/>
    <w:rsid w:val="003240F4"/>
    <w:rsid w:val="00324439"/>
    <w:rsid w:val="003249FD"/>
    <w:rsid w:val="00324E55"/>
    <w:rsid w:val="0032550D"/>
    <w:rsid w:val="00325B70"/>
    <w:rsid w:val="00326785"/>
    <w:rsid w:val="00326A21"/>
    <w:rsid w:val="00326B9A"/>
    <w:rsid w:val="00326CE8"/>
    <w:rsid w:val="00327557"/>
    <w:rsid w:val="003276BD"/>
    <w:rsid w:val="00327740"/>
    <w:rsid w:val="00327FAF"/>
    <w:rsid w:val="00331763"/>
    <w:rsid w:val="003322E9"/>
    <w:rsid w:val="00335DC9"/>
    <w:rsid w:val="00336382"/>
    <w:rsid w:val="00340D91"/>
    <w:rsid w:val="00341721"/>
    <w:rsid w:val="00342862"/>
    <w:rsid w:val="0034309F"/>
    <w:rsid w:val="00343C62"/>
    <w:rsid w:val="003447A7"/>
    <w:rsid w:val="0034517D"/>
    <w:rsid w:val="00346745"/>
    <w:rsid w:val="00347CF2"/>
    <w:rsid w:val="00350118"/>
    <w:rsid w:val="00351587"/>
    <w:rsid w:val="00351D8B"/>
    <w:rsid w:val="0035211C"/>
    <w:rsid w:val="00352F53"/>
    <w:rsid w:val="00353DE8"/>
    <w:rsid w:val="003540ED"/>
    <w:rsid w:val="003543C1"/>
    <w:rsid w:val="00354A9B"/>
    <w:rsid w:val="00354F57"/>
    <w:rsid w:val="00354F9A"/>
    <w:rsid w:val="00355BCA"/>
    <w:rsid w:val="00356D50"/>
    <w:rsid w:val="003575E3"/>
    <w:rsid w:val="00360B0E"/>
    <w:rsid w:val="00361190"/>
    <w:rsid w:val="00361B76"/>
    <w:rsid w:val="00362415"/>
    <w:rsid w:val="00362930"/>
    <w:rsid w:val="00363020"/>
    <w:rsid w:val="0036366C"/>
    <w:rsid w:val="00363B72"/>
    <w:rsid w:val="00363B91"/>
    <w:rsid w:val="0036426B"/>
    <w:rsid w:val="00364358"/>
    <w:rsid w:val="00365BB4"/>
    <w:rsid w:val="00370E8E"/>
    <w:rsid w:val="003714A4"/>
    <w:rsid w:val="00371F22"/>
    <w:rsid w:val="0037210B"/>
    <w:rsid w:val="0037221E"/>
    <w:rsid w:val="00372B2D"/>
    <w:rsid w:val="00372F3D"/>
    <w:rsid w:val="003740E3"/>
    <w:rsid w:val="00374C55"/>
    <w:rsid w:val="00375B5B"/>
    <w:rsid w:val="0037637B"/>
    <w:rsid w:val="00376635"/>
    <w:rsid w:val="00377B38"/>
    <w:rsid w:val="0038074F"/>
    <w:rsid w:val="00381443"/>
    <w:rsid w:val="00381F30"/>
    <w:rsid w:val="003821BB"/>
    <w:rsid w:val="00382373"/>
    <w:rsid w:val="00383115"/>
    <w:rsid w:val="003833C6"/>
    <w:rsid w:val="00384038"/>
    <w:rsid w:val="003865A5"/>
    <w:rsid w:val="00386ACA"/>
    <w:rsid w:val="003877D6"/>
    <w:rsid w:val="00387E20"/>
    <w:rsid w:val="00387ED7"/>
    <w:rsid w:val="0039041B"/>
    <w:rsid w:val="00390B9E"/>
    <w:rsid w:val="003913A8"/>
    <w:rsid w:val="00391430"/>
    <w:rsid w:val="00391AE7"/>
    <w:rsid w:val="00391E42"/>
    <w:rsid w:val="00391E45"/>
    <w:rsid w:val="00391ED9"/>
    <w:rsid w:val="003928FD"/>
    <w:rsid w:val="00392C7B"/>
    <w:rsid w:val="003944E3"/>
    <w:rsid w:val="00394936"/>
    <w:rsid w:val="003950CC"/>
    <w:rsid w:val="00396079"/>
    <w:rsid w:val="00396DEC"/>
    <w:rsid w:val="003A0C56"/>
    <w:rsid w:val="003A14CB"/>
    <w:rsid w:val="003A1B29"/>
    <w:rsid w:val="003A1F7B"/>
    <w:rsid w:val="003A238F"/>
    <w:rsid w:val="003A23B5"/>
    <w:rsid w:val="003A28F8"/>
    <w:rsid w:val="003A38EF"/>
    <w:rsid w:val="003A3C68"/>
    <w:rsid w:val="003A430B"/>
    <w:rsid w:val="003A4493"/>
    <w:rsid w:val="003A5829"/>
    <w:rsid w:val="003A5B82"/>
    <w:rsid w:val="003A5F8F"/>
    <w:rsid w:val="003A628C"/>
    <w:rsid w:val="003A68A2"/>
    <w:rsid w:val="003A7C77"/>
    <w:rsid w:val="003B090A"/>
    <w:rsid w:val="003B2E53"/>
    <w:rsid w:val="003B33B5"/>
    <w:rsid w:val="003B41A2"/>
    <w:rsid w:val="003B4630"/>
    <w:rsid w:val="003B504B"/>
    <w:rsid w:val="003B685B"/>
    <w:rsid w:val="003B6E9F"/>
    <w:rsid w:val="003B7ECB"/>
    <w:rsid w:val="003C01B2"/>
    <w:rsid w:val="003C1398"/>
    <w:rsid w:val="003C14CE"/>
    <w:rsid w:val="003C19FF"/>
    <w:rsid w:val="003C2660"/>
    <w:rsid w:val="003C2BDA"/>
    <w:rsid w:val="003C33BC"/>
    <w:rsid w:val="003D03E1"/>
    <w:rsid w:val="003D080D"/>
    <w:rsid w:val="003D192A"/>
    <w:rsid w:val="003D1ADF"/>
    <w:rsid w:val="003D1BBB"/>
    <w:rsid w:val="003D1F32"/>
    <w:rsid w:val="003D36B5"/>
    <w:rsid w:val="003D3A49"/>
    <w:rsid w:val="003D4B3F"/>
    <w:rsid w:val="003D4F12"/>
    <w:rsid w:val="003D5311"/>
    <w:rsid w:val="003D5822"/>
    <w:rsid w:val="003D60B8"/>
    <w:rsid w:val="003D6920"/>
    <w:rsid w:val="003D7375"/>
    <w:rsid w:val="003D767B"/>
    <w:rsid w:val="003E066C"/>
    <w:rsid w:val="003E0B4E"/>
    <w:rsid w:val="003E13AC"/>
    <w:rsid w:val="003E1493"/>
    <w:rsid w:val="003E1ACD"/>
    <w:rsid w:val="003E20BE"/>
    <w:rsid w:val="003E2A0E"/>
    <w:rsid w:val="003E373E"/>
    <w:rsid w:val="003E37CA"/>
    <w:rsid w:val="003E3892"/>
    <w:rsid w:val="003E38D3"/>
    <w:rsid w:val="003E3D0E"/>
    <w:rsid w:val="003E41FF"/>
    <w:rsid w:val="003E423E"/>
    <w:rsid w:val="003E539E"/>
    <w:rsid w:val="003E6202"/>
    <w:rsid w:val="003E6E8B"/>
    <w:rsid w:val="003F105A"/>
    <w:rsid w:val="003F120C"/>
    <w:rsid w:val="003F2049"/>
    <w:rsid w:val="003F3F62"/>
    <w:rsid w:val="003F4EF4"/>
    <w:rsid w:val="003F5034"/>
    <w:rsid w:val="003F54A6"/>
    <w:rsid w:val="003F5794"/>
    <w:rsid w:val="003F58A8"/>
    <w:rsid w:val="003F59FB"/>
    <w:rsid w:val="003F62B4"/>
    <w:rsid w:val="003F77AD"/>
    <w:rsid w:val="003F7DAE"/>
    <w:rsid w:val="00400B88"/>
    <w:rsid w:val="00400C8C"/>
    <w:rsid w:val="004011AA"/>
    <w:rsid w:val="00401934"/>
    <w:rsid w:val="004032AC"/>
    <w:rsid w:val="00403530"/>
    <w:rsid w:val="00403BCC"/>
    <w:rsid w:val="00403E6D"/>
    <w:rsid w:val="00405694"/>
    <w:rsid w:val="00405A90"/>
    <w:rsid w:val="00406217"/>
    <w:rsid w:val="004067AD"/>
    <w:rsid w:val="00407D1D"/>
    <w:rsid w:val="00411E07"/>
    <w:rsid w:val="0041220B"/>
    <w:rsid w:val="004125A3"/>
    <w:rsid w:val="004158CC"/>
    <w:rsid w:val="00416517"/>
    <w:rsid w:val="0041689F"/>
    <w:rsid w:val="004169A6"/>
    <w:rsid w:val="00417D02"/>
    <w:rsid w:val="00420ABC"/>
    <w:rsid w:val="00420C64"/>
    <w:rsid w:val="004227C7"/>
    <w:rsid w:val="004227CA"/>
    <w:rsid w:val="0042472E"/>
    <w:rsid w:val="00425A19"/>
    <w:rsid w:val="004275D5"/>
    <w:rsid w:val="00430116"/>
    <w:rsid w:val="00433977"/>
    <w:rsid w:val="00434318"/>
    <w:rsid w:val="00434400"/>
    <w:rsid w:val="004348D6"/>
    <w:rsid w:val="00436919"/>
    <w:rsid w:val="00436DC8"/>
    <w:rsid w:val="00436EF8"/>
    <w:rsid w:val="00441A9B"/>
    <w:rsid w:val="00441CC8"/>
    <w:rsid w:val="004435EF"/>
    <w:rsid w:val="00443644"/>
    <w:rsid w:val="0044517B"/>
    <w:rsid w:val="004458C3"/>
    <w:rsid w:val="00445B6C"/>
    <w:rsid w:val="00446D08"/>
    <w:rsid w:val="0044710A"/>
    <w:rsid w:val="004507A4"/>
    <w:rsid w:val="00450A65"/>
    <w:rsid w:val="004513A4"/>
    <w:rsid w:val="00453B4B"/>
    <w:rsid w:val="00454880"/>
    <w:rsid w:val="00454FA3"/>
    <w:rsid w:val="0045573A"/>
    <w:rsid w:val="004565F7"/>
    <w:rsid w:val="0045721A"/>
    <w:rsid w:val="00457391"/>
    <w:rsid w:val="00460375"/>
    <w:rsid w:val="00460780"/>
    <w:rsid w:val="0046382B"/>
    <w:rsid w:val="004641B8"/>
    <w:rsid w:val="00465B7D"/>
    <w:rsid w:val="004665BA"/>
    <w:rsid w:val="00466B2E"/>
    <w:rsid w:val="00466E9B"/>
    <w:rsid w:val="00467795"/>
    <w:rsid w:val="00467BA7"/>
    <w:rsid w:val="00467DA5"/>
    <w:rsid w:val="00470002"/>
    <w:rsid w:val="00473917"/>
    <w:rsid w:val="0047589C"/>
    <w:rsid w:val="00475B3E"/>
    <w:rsid w:val="004761CA"/>
    <w:rsid w:val="004810F0"/>
    <w:rsid w:val="0048216A"/>
    <w:rsid w:val="004872A4"/>
    <w:rsid w:val="00487547"/>
    <w:rsid w:val="0048770D"/>
    <w:rsid w:val="00490A26"/>
    <w:rsid w:val="00490E71"/>
    <w:rsid w:val="00491F4D"/>
    <w:rsid w:val="00492D89"/>
    <w:rsid w:val="00494AE4"/>
    <w:rsid w:val="0049589E"/>
    <w:rsid w:val="00495C90"/>
    <w:rsid w:val="00497D95"/>
    <w:rsid w:val="004A0146"/>
    <w:rsid w:val="004A15B8"/>
    <w:rsid w:val="004A15F2"/>
    <w:rsid w:val="004A2C5C"/>
    <w:rsid w:val="004A2EA2"/>
    <w:rsid w:val="004A3530"/>
    <w:rsid w:val="004A541A"/>
    <w:rsid w:val="004A5AEB"/>
    <w:rsid w:val="004A6555"/>
    <w:rsid w:val="004A68F2"/>
    <w:rsid w:val="004B01B3"/>
    <w:rsid w:val="004B04A4"/>
    <w:rsid w:val="004B1A24"/>
    <w:rsid w:val="004B1DBA"/>
    <w:rsid w:val="004B1EA4"/>
    <w:rsid w:val="004B2051"/>
    <w:rsid w:val="004B2BE6"/>
    <w:rsid w:val="004B3641"/>
    <w:rsid w:val="004B3C64"/>
    <w:rsid w:val="004B3D95"/>
    <w:rsid w:val="004B4067"/>
    <w:rsid w:val="004B50F7"/>
    <w:rsid w:val="004B5F3F"/>
    <w:rsid w:val="004B60E8"/>
    <w:rsid w:val="004B61DB"/>
    <w:rsid w:val="004B6486"/>
    <w:rsid w:val="004B712D"/>
    <w:rsid w:val="004B7497"/>
    <w:rsid w:val="004B7A42"/>
    <w:rsid w:val="004B7C85"/>
    <w:rsid w:val="004C09DF"/>
    <w:rsid w:val="004C1056"/>
    <w:rsid w:val="004C219C"/>
    <w:rsid w:val="004C27FE"/>
    <w:rsid w:val="004C49FD"/>
    <w:rsid w:val="004C62DF"/>
    <w:rsid w:val="004C6CBA"/>
    <w:rsid w:val="004C76F9"/>
    <w:rsid w:val="004D1100"/>
    <w:rsid w:val="004D1606"/>
    <w:rsid w:val="004D2212"/>
    <w:rsid w:val="004D24E5"/>
    <w:rsid w:val="004D29F4"/>
    <w:rsid w:val="004D2BD0"/>
    <w:rsid w:val="004D3256"/>
    <w:rsid w:val="004D4A09"/>
    <w:rsid w:val="004D4AC7"/>
    <w:rsid w:val="004D6616"/>
    <w:rsid w:val="004D662B"/>
    <w:rsid w:val="004D6D01"/>
    <w:rsid w:val="004D71B2"/>
    <w:rsid w:val="004E0D7E"/>
    <w:rsid w:val="004E17F1"/>
    <w:rsid w:val="004E228B"/>
    <w:rsid w:val="004E233E"/>
    <w:rsid w:val="004E4AB5"/>
    <w:rsid w:val="004E5208"/>
    <w:rsid w:val="004E5A08"/>
    <w:rsid w:val="004E5BA3"/>
    <w:rsid w:val="004E653B"/>
    <w:rsid w:val="004E758B"/>
    <w:rsid w:val="004F064C"/>
    <w:rsid w:val="004F1357"/>
    <w:rsid w:val="004F15E0"/>
    <w:rsid w:val="004F264B"/>
    <w:rsid w:val="004F36DD"/>
    <w:rsid w:val="004F3D08"/>
    <w:rsid w:val="004F5344"/>
    <w:rsid w:val="004F567E"/>
    <w:rsid w:val="004F6C18"/>
    <w:rsid w:val="004F7137"/>
    <w:rsid w:val="004F7142"/>
    <w:rsid w:val="005009E0"/>
    <w:rsid w:val="00501800"/>
    <w:rsid w:val="00502A88"/>
    <w:rsid w:val="00502EA2"/>
    <w:rsid w:val="005034DE"/>
    <w:rsid w:val="005037B5"/>
    <w:rsid w:val="00504181"/>
    <w:rsid w:val="00504C8B"/>
    <w:rsid w:val="00505275"/>
    <w:rsid w:val="00507592"/>
    <w:rsid w:val="00507EA9"/>
    <w:rsid w:val="00510278"/>
    <w:rsid w:val="00511582"/>
    <w:rsid w:val="0051175C"/>
    <w:rsid w:val="00511BAA"/>
    <w:rsid w:val="00511C63"/>
    <w:rsid w:val="005137E3"/>
    <w:rsid w:val="00514258"/>
    <w:rsid w:val="005143B6"/>
    <w:rsid w:val="00514ADF"/>
    <w:rsid w:val="00515549"/>
    <w:rsid w:val="005157F9"/>
    <w:rsid w:val="005166DA"/>
    <w:rsid w:val="005178FE"/>
    <w:rsid w:val="00517BED"/>
    <w:rsid w:val="00520E39"/>
    <w:rsid w:val="00521B3D"/>
    <w:rsid w:val="00521D74"/>
    <w:rsid w:val="00522612"/>
    <w:rsid w:val="00522D13"/>
    <w:rsid w:val="0052617A"/>
    <w:rsid w:val="00526449"/>
    <w:rsid w:val="0052650C"/>
    <w:rsid w:val="00526A4C"/>
    <w:rsid w:val="005303C1"/>
    <w:rsid w:val="00530473"/>
    <w:rsid w:val="00531410"/>
    <w:rsid w:val="005317B4"/>
    <w:rsid w:val="00532404"/>
    <w:rsid w:val="005327CF"/>
    <w:rsid w:val="005328B6"/>
    <w:rsid w:val="00532938"/>
    <w:rsid w:val="005333EB"/>
    <w:rsid w:val="00534598"/>
    <w:rsid w:val="0053479C"/>
    <w:rsid w:val="00535294"/>
    <w:rsid w:val="00535F79"/>
    <w:rsid w:val="0053624A"/>
    <w:rsid w:val="005408C6"/>
    <w:rsid w:val="0054098B"/>
    <w:rsid w:val="00540DE1"/>
    <w:rsid w:val="0054113F"/>
    <w:rsid w:val="00541359"/>
    <w:rsid w:val="00542699"/>
    <w:rsid w:val="00542EDE"/>
    <w:rsid w:val="00543441"/>
    <w:rsid w:val="005457D8"/>
    <w:rsid w:val="0054670D"/>
    <w:rsid w:val="00547424"/>
    <w:rsid w:val="00547F35"/>
    <w:rsid w:val="00550179"/>
    <w:rsid w:val="005501B7"/>
    <w:rsid w:val="0055038B"/>
    <w:rsid w:val="005531C6"/>
    <w:rsid w:val="005536ED"/>
    <w:rsid w:val="00553935"/>
    <w:rsid w:val="0055463F"/>
    <w:rsid w:val="00554E40"/>
    <w:rsid w:val="005552CA"/>
    <w:rsid w:val="005552E3"/>
    <w:rsid w:val="00555513"/>
    <w:rsid w:val="005557CB"/>
    <w:rsid w:val="0055581F"/>
    <w:rsid w:val="005559EC"/>
    <w:rsid w:val="00555D6C"/>
    <w:rsid w:val="0055713C"/>
    <w:rsid w:val="005577F5"/>
    <w:rsid w:val="005602E7"/>
    <w:rsid w:val="00561567"/>
    <w:rsid w:val="00561727"/>
    <w:rsid w:val="0056186A"/>
    <w:rsid w:val="00561DFB"/>
    <w:rsid w:val="00562098"/>
    <w:rsid w:val="00562EE9"/>
    <w:rsid w:val="00563048"/>
    <w:rsid w:val="00564F47"/>
    <w:rsid w:val="0056575D"/>
    <w:rsid w:val="005660A9"/>
    <w:rsid w:val="00566F48"/>
    <w:rsid w:val="00566F50"/>
    <w:rsid w:val="00567343"/>
    <w:rsid w:val="00567582"/>
    <w:rsid w:val="00567602"/>
    <w:rsid w:val="00567CA5"/>
    <w:rsid w:val="00570652"/>
    <w:rsid w:val="00570675"/>
    <w:rsid w:val="005706A4"/>
    <w:rsid w:val="00570B29"/>
    <w:rsid w:val="005721F5"/>
    <w:rsid w:val="00573DA9"/>
    <w:rsid w:val="0057429F"/>
    <w:rsid w:val="00574512"/>
    <w:rsid w:val="00575963"/>
    <w:rsid w:val="005766FB"/>
    <w:rsid w:val="00576E32"/>
    <w:rsid w:val="005771C2"/>
    <w:rsid w:val="005774C9"/>
    <w:rsid w:val="00581300"/>
    <w:rsid w:val="00581AE2"/>
    <w:rsid w:val="00582C93"/>
    <w:rsid w:val="00583F24"/>
    <w:rsid w:val="00584431"/>
    <w:rsid w:val="005845A3"/>
    <w:rsid w:val="005847E5"/>
    <w:rsid w:val="005848CD"/>
    <w:rsid w:val="00584C9C"/>
    <w:rsid w:val="00584D2F"/>
    <w:rsid w:val="0058545B"/>
    <w:rsid w:val="0058675F"/>
    <w:rsid w:val="00587B3F"/>
    <w:rsid w:val="00590039"/>
    <w:rsid w:val="00591A00"/>
    <w:rsid w:val="00592B14"/>
    <w:rsid w:val="00592B50"/>
    <w:rsid w:val="00592EB7"/>
    <w:rsid w:val="00594165"/>
    <w:rsid w:val="00594543"/>
    <w:rsid w:val="00594B66"/>
    <w:rsid w:val="005958F6"/>
    <w:rsid w:val="00596241"/>
    <w:rsid w:val="00597207"/>
    <w:rsid w:val="005975CB"/>
    <w:rsid w:val="0059791F"/>
    <w:rsid w:val="00597AE3"/>
    <w:rsid w:val="00597D12"/>
    <w:rsid w:val="005A0A29"/>
    <w:rsid w:val="005A178F"/>
    <w:rsid w:val="005A1AE3"/>
    <w:rsid w:val="005A2664"/>
    <w:rsid w:val="005A2814"/>
    <w:rsid w:val="005A3359"/>
    <w:rsid w:val="005A407C"/>
    <w:rsid w:val="005A444F"/>
    <w:rsid w:val="005A50C7"/>
    <w:rsid w:val="005A6B29"/>
    <w:rsid w:val="005A6F8C"/>
    <w:rsid w:val="005B0690"/>
    <w:rsid w:val="005B0F0C"/>
    <w:rsid w:val="005B199C"/>
    <w:rsid w:val="005B1A3E"/>
    <w:rsid w:val="005B233F"/>
    <w:rsid w:val="005B28DC"/>
    <w:rsid w:val="005B2DD8"/>
    <w:rsid w:val="005B2FB6"/>
    <w:rsid w:val="005B317C"/>
    <w:rsid w:val="005B6312"/>
    <w:rsid w:val="005C1050"/>
    <w:rsid w:val="005C135C"/>
    <w:rsid w:val="005C2CB1"/>
    <w:rsid w:val="005C388B"/>
    <w:rsid w:val="005C3BCB"/>
    <w:rsid w:val="005C3E56"/>
    <w:rsid w:val="005C4B5D"/>
    <w:rsid w:val="005C4EED"/>
    <w:rsid w:val="005C4FD4"/>
    <w:rsid w:val="005C562F"/>
    <w:rsid w:val="005C750F"/>
    <w:rsid w:val="005D11EC"/>
    <w:rsid w:val="005D238C"/>
    <w:rsid w:val="005D2B95"/>
    <w:rsid w:val="005D2D22"/>
    <w:rsid w:val="005D3BEB"/>
    <w:rsid w:val="005D3EDB"/>
    <w:rsid w:val="005D4423"/>
    <w:rsid w:val="005D69C8"/>
    <w:rsid w:val="005E02B3"/>
    <w:rsid w:val="005E05A6"/>
    <w:rsid w:val="005E0E96"/>
    <w:rsid w:val="005E34E5"/>
    <w:rsid w:val="005E38E5"/>
    <w:rsid w:val="005E3ABC"/>
    <w:rsid w:val="005E69A3"/>
    <w:rsid w:val="005E721D"/>
    <w:rsid w:val="005E79A3"/>
    <w:rsid w:val="005E7A76"/>
    <w:rsid w:val="005F1E57"/>
    <w:rsid w:val="005F24A0"/>
    <w:rsid w:val="005F2C42"/>
    <w:rsid w:val="005F3425"/>
    <w:rsid w:val="005F3572"/>
    <w:rsid w:val="005F45FD"/>
    <w:rsid w:val="005F495A"/>
    <w:rsid w:val="005F4CF4"/>
    <w:rsid w:val="005F4D87"/>
    <w:rsid w:val="005F5EAF"/>
    <w:rsid w:val="005F67AE"/>
    <w:rsid w:val="00600657"/>
    <w:rsid w:val="00600BA7"/>
    <w:rsid w:val="0060181E"/>
    <w:rsid w:val="00601BC3"/>
    <w:rsid w:val="00601BC7"/>
    <w:rsid w:val="00601C68"/>
    <w:rsid w:val="00603805"/>
    <w:rsid w:val="00603F16"/>
    <w:rsid w:val="006049D8"/>
    <w:rsid w:val="00604E8B"/>
    <w:rsid w:val="00605786"/>
    <w:rsid w:val="00605AD4"/>
    <w:rsid w:val="00606194"/>
    <w:rsid w:val="006077B5"/>
    <w:rsid w:val="00607E55"/>
    <w:rsid w:val="006103B7"/>
    <w:rsid w:val="0061161D"/>
    <w:rsid w:val="00611975"/>
    <w:rsid w:val="0061291A"/>
    <w:rsid w:val="006133FA"/>
    <w:rsid w:val="00613BBC"/>
    <w:rsid w:val="00613D52"/>
    <w:rsid w:val="00614D08"/>
    <w:rsid w:val="00616104"/>
    <w:rsid w:val="00616266"/>
    <w:rsid w:val="00616C28"/>
    <w:rsid w:val="006227A8"/>
    <w:rsid w:val="00622D9E"/>
    <w:rsid w:val="00623AC5"/>
    <w:rsid w:val="00623CBC"/>
    <w:rsid w:val="00624B61"/>
    <w:rsid w:val="00625409"/>
    <w:rsid w:val="00625E57"/>
    <w:rsid w:val="00626241"/>
    <w:rsid w:val="00626AE6"/>
    <w:rsid w:val="0062792A"/>
    <w:rsid w:val="00627A8F"/>
    <w:rsid w:val="00630695"/>
    <w:rsid w:val="00632322"/>
    <w:rsid w:val="0063258C"/>
    <w:rsid w:val="00632BB8"/>
    <w:rsid w:val="00632FBB"/>
    <w:rsid w:val="0063361A"/>
    <w:rsid w:val="00633EF0"/>
    <w:rsid w:val="006340B2"/>
    <w:rsid w:val="00634552"/>
    <w:rsid w:val="00634A43"/>
    <w:rsid w:val="00634E83"/>
    <w:rsid w:val="006352CA"/>
    <w:rsid w:val="0063572E"/>
    <w:rsid w:val="00636BFE"/>
    <w:rsid w:val="00637875"/>
    <w:rsid w:val="00637AB6"/>
    <w:rsid w:val="00640082"/>
    <w:rsid w:val="0064040C"/>
    <w:rsid w:val="006414F6"/>
    <w:rsid w:val="006415D9"/>
    <w:rsid w:val="00643C16"/>
    <w:rsid w:val="00643EF6"/>
    <w:rsid w:val="00645F77"/>
    <w:rsid w:val="00647353"/>
    <w:rsid w:val="00651828"/>
    <w:rsid w:val="00653B8E"/>
    <w:rsid w:val="0065538C"/>
    <w:rsid w:val="00655F45"/>
    <w:rsid w:val="00656CEE"/>
    <w:rsid w:val="006573F3"/>
    <w:rsid w:val="00657D7C"/>
    <w:rsid w:val="00660423"/>
    <w:rsid w:val="006607F6"/>
    <w:rsid w:val="00660DC1"/>
    <w:rsid w:val="00662030"/>
    <w:rsid w:val="0066252A"/>
    <w:rsid w:val="00662CF8"/>
    <w:rsid w:val="00663EB8"/>
    <w:rsid w:val="00664330"/>
    <w:rsid w:val="00664BA1"/>
    <w:rsid w:val="006657E3"/>
    <w:rsid w:val="00665998"/>
    <w:rsid w:val="0066738C"/>
    <w:rsid w:val="00667BE9"/>
    <w:rsid w:val="00670765"/>
    <w:rsid w:val="00670805"/>
    <w:rsid w:val="00670F02"/>
    <w:rsid w:val="0067181B"/>
    <w:rsid w:val="00671AC3"/>
    <w:rsid w:val="00672809"/>
    <w:rsid w:val="0067445B"/>
    <w:rsid w:val="00674C41"/>
    <w:rsid w:val="00674F96"/>
    <w:rsid w:val="00675338"/>
    <w:rsid w:val="00675AD7"/>
    <w:rsid w:val="0067637C"/>
    <w:rsid w:val="006763A3"/>
    <w:rsid w:val="00677776"/>
    <w:rsid w:val="0067790D"/>
    <w:rsid w:val="00680A89"/>
    <w:rsid w:val="00680F44"/>
    <w:rsid w:val="00682211"/>
    <w:rsid w:val="006823BE"/>
    <w:rsid w:val="00682E9D"/>
    <w:rsid w:val="0068329A"/>
    <w:rsid w:val="00683781"/>
    <w:rsid w:val="00685641"/>
    <w:rsid w:val="00686080"/>
    <w:rsid w:val="0068655E"/>
    <w:rsid w:val="006868D0"/>
    <w:rsid w:val="00686A4C"/>
    <w:rsid w:val="006870C1"/>
    <w:rsid w:val="00687632"/>
    <w:rsid w:val="0069074A"/>
    <w:rsid w:val="00691142"/>
    <w:rsid w:val="0069166F"/>
    <w:rsid w:val="00691863"/>
    <w:rsid w:val="00691EB4"/>
    <w:rsid w:val="0069289C"/>
    <w:rsid w:val="00693CC6"/>
    <w:rsid w:val="00693D29"/>
    <w:rsid w:val="00693DA2"/>
    <w:rsid w:val="006941DC"/>
    <w:rsid w:val="0069515A"/>
    <w:rsid w:val="0069530E"/>
    <w:rsid w:val="00695A27"/>
    <w:rsid w:val="00696374"/>
    <w:rsid w:val="006965A7"/>
    <w:rsid w:val="006974AE"/>
    <w:rsid w:val="0069777D"/>
    <w:rsid w:val="0069778B"/>
    <w:rsid w:val="00697E14"/>
    <w:rsid w:val="006A136D"/>
    <w:rsid w:val="006A1948"/>
    <w:rsid w:val="006A29B7"/>
    <w:rsid w:val="006A388C"/>
    <w:rsid w:val="006A4F91"/>
    <w:rsid w:val="006A72AF"/>
    <w:rsid w:val="006A75FC"/>
    <w:rsid w:val="006B0605"/>
    <w:rsid w:val="006B0952"/>
    <w:rsid w:val="006B1A19"/>
    <w:rsid w:val="006B1C61"/>
    <w:rsid w:val="006B1FF3"/>
    <w:rsid w:val="006B255F"/>
    <w:rsid w:val="006B2984"/>
    <w:rsid w:val="006B2E9B"/>
    <w:rsid w:val="006B3720"/>
    <w:rsid w:val="006B3C87"/>
    <w:rsid w:val="006B45E4"/>
    <w:rsid w:val="006B5BEE"/>
    <w:rsid w:val="006B6DD9"/>
    <w:rsid w:val="006B71AA"/>
    <w:rsid w:val="006B7745"/>
    <w:rsid w:val="006C2881"/>
    <w:rsid w:val="006C2DCA"/>
    <w:rsid w:val="006C31E7"/>
    <w:rsid w:val="006C38A8"/>
    <w:rsid w:val="006C3D86"/>
    <w:rsid w:val="006C44C7"/>
    <w:rsid w:val="006C50CB"/>
    <w:rsid w:val="006C51CB"/>
    <w:rsid w:val="006D410D"/>
    <w:rsid w:val="006D4AAA"/>
    <w:rsid w:val="006D59D9"/>
    <w:rsid w:val="006D5BF1"/>
    <w:rsid w:val="006D6150"/>
    <w:rsid w:val="006D629B"/>
    <w:rsid w:val="006D6DFB"/>
    <w:rsid w:val="006D6FF6"/>
    <w:rsid w:val="006E0338"/>
    <w:rsid w:val="006E0578"/>
    <w:rsid w:val="006E0CD2"/>
    <w:rsid w:val="006E0F13"/>
    <w:rsid w:val="006E14DA"/>
    <w:rsid w:val="006E1B77"/>
    <w:rsid w:val="006E1C9C"/>
    <w:rsid w:val="006E1E33"/>
    <w:rsid w:val="006E2260"/>
    <w:rsid w:val="006E227C"/>
    <w:rsid w:val="006E2F2B"/>
    <w:rsid w:val="006E377A"/>
    <w:rsid w:val="006E43C1"/>
    <w:rsid w:val="006E5085"/>
    <w:rsid w:val="006E52EF"/>
    <w:rsid w:val="006E5690"/>
    <w:rsid w:val="006E59B6"/>
    <w:rsid w:val="006E5DE8"/>
    <w:rsid w:val="006E5E73"/>
    <w:rsid w:val="006E7192"/>
    <w:rsid w:val="006F00F0"/>
    <w:rsid w:val="006F07D7"/>
    <w:rsid w:val="006F1BD8"/>
    <w:rsid w:val="006F389C"/>
    <w:rsid w:val="006F3ABC"/>
    <w:rsid w:val="006F5FE1"/>
    <w:rsid w:val="006F6039"/>
    <w:rsid w:val="006F76C3"/>
    <w:rsid w:val="006F7897"/>
    <w:rsid w:val="007009D9"/>
    <w:rsid w:val="00700E1F"/>
    <w:rsid w:val="00701260"/>
    <w:rsid w:val="0070194E"/>
    <w:rsid w:val="0070278E"/>
    <w:rsid w:val="00702FFA"/>
    <w:rsid w:val="007030D2"/>
    <w:rsid w:val="00703657"/>
    <w:rsid w:val="00703723"/>
    <w:rsid w:val="00704052"/>
    <w:rsid w:val="007068E5"/>
    <w:rsid w:val="007074F0"/>
    <w:rsid w:val="00707D55"/>
    <w:rsid w:val="0071047E"/>
    <w:rsid w:val="00711118"/>
    <w:rsid w:val="007119CF"/>
    <w:rsid w:val="00712151"/>
    <w:rsid w:val="00713866"/>
    <w:rsid w:val="00713BCD"/>
    <w:rsid w:val="00713BD8"/>
    <w:rsid w:val="007144B7"/>
    <w:rsid w:val="00715EE8"/>
    <w:rsid w:val="00717236"/>
    <w:rsid w:val="00717C57"/>
    <w:rsid w:val="0072045A"/>
    <w:rsid w:val="0072064B"/>
    <w:rsid w:val="00722468"/>
    <w:rsid w:val="007224AF"/>
    <w:rsid w:val="007225C2"/>
    <w:rsid w:val="007227A4"/>
    <w:rsid w:val="00723507"/>
    <w:rsid w:val="00723DA6"/>
    <w:rsid w:val="00723DE2"/>
    <w:rsid w:val="007243E9"/>
    <w:rsid w:val="00725519"/>
    <w:rsid w:val="007259BF"/>
    <w:rsid w:val="00725BC2"/>
    <w:rsid w:val="0072691D"/>
    <w:rsid w:val="00726930"/>
    <w:rsid w:val="00726DB0"/>
    <w:rsid w:val="00727F97"/>
    <w:rsid w:val="00730402"/>
    <w:rsid w:val="00730A48"/>
    <w:rsid w:val="00730C8B"/>
    <w:rsid w:val="00731376"/>
    <w:rsid w:val="00731755"/>
    <w:rsid w:val="007319A8"/>
    <w:rsid w:val="00731A36"/>
    <w:rsid w:val="0073296B"/>
    <w:rsid w:val="00732B0F"/>
    <w:rsid w:val="00734216"/>
    <w:rsid w:val="0073526E"/>
    <w:rsid w:val="00735325"/>
    <w:rsid w:val="007356B0"/>
    <w:rsid w:val="0073725F"/>
    <w:rsid w:val="00737314"/>
    <w:rsid w:val="00737C13"/>
    <w:rsid w:val="00737C14"/>
    <w:rsid w:val="0074008C"/>
    <w:rsid w:val="00740524"/>
    <w:rsid w:val="007416C3"/>
    <w:rsid w:val="00741972"/>
    <w:rsid w:val="007433A7"/>
    <w:rsid w:val="00744597"/>
    <w:rsid w:val="00744B8E"/>
    <w:rsid w:val="007457D5"/>
    <w:rsid w:val="00745D68"/>
    <w:rsid w:val="00746C13"/>
    <w:rsid w:val="00747062"/>
    <w:rsid w:val="00747297"/>
    <w:rsid w:val="00747A28"/>
    <w:rsid w:val="00747ACA"/>
    <w:rsid w:val="00750669"/>
    <w:rsid w:val="00751091"/>
    <w:rsid w:val="0075321B"/>
    <w:rsid w:val="00753F1B"/>
    <w:rsid w:val="0075576B"/>
    <w:rsid w:val="00756EFB"/>
    <w:rsid w:val="007609B0"/>
    <w:rsid w:val="00760B1E"/>
    <w:rsid w:val="00761B70"/>
    <w:rsid w:val="0076204D"/>
    <w:rsid w:val="00762854"/>
    <w:rsid w:val="00763D6A"/>
    <w:rsid w:val="00764453"/>
    <w:rsid w:val="00764504"/>
    <w:rsid w:val="007645FB"/>
    <w:rsid w:val="00765D81"/>
    <w:rsid w:val="00765E45"/>
    <w:rsid w:val="00766FB7"/>
    <w:rsid w:val="007676B0"/>
    <w:rsid w:val="00767B9B"/>
    <w:rsid w:val="00771503"/>
    <w:rsid w:val="0077324B"/>
    <w:rsid w:val="00775DFB"/>
    <w:rsid w:val="00776C4C"/>
    <w:rsid w:val="00777D2B"/>
    <w:rsid w:val="00777FA6"/>
    <w:rsid w:val="007804B9"/>
    <w:rsid w:val="00780CD6"/>
    <w:rsid w:val="0078179C"/>
    <w:rsid w:val="00781C8E"/>
    <w:rsid w:val="007831C7"/>
    <w:rsid w:val="00783E6C"/>
    <w:rsid w:val="00785084"/>
    <w:rsid w:val="007863AB"/>
    <w:rsid w:val="007878D4"/>
    <w:rsid w:val="0079065D"/>
    <w:rsid w:val="007912DF"/>
    <w:rsid w:val="0079220D"/>
    <w:rsid w:val="00792B01"/>
    <w:rsid w:val="007931A9"/>
    <w:rsid w:val="00793213"/>
    <w:rsid w:val="0079364C"/>
    <w:rsid w:val="007950EF"/>
    <w:rsid w:val="0079684D"/>
    <w:rsid w:val="00797FA3"/>
    <w:rsid w:val="007A02C3"/>
    <w:rsid w:val="007A0743"/>
    <w:rsid w:val="007A0AE2"/>
    <w:rsid w:val="007A2A82"/>
    <w:rsid w:val="007A3355"/>
    <w:rsid w:val="007A4676"/>
    <w:rsid w:val="007A60F0"/>
    <w:rsid w:val="007A61F1"/>
    <w:rsid w:val="007A62CB"/>
    <w:rsid w:val="007A7B5B"/>
    <w:rsid w:val="007B02B0"/>
    <w:rsid w:val="007B034F"/>
    <w:rsid w:val="007B07F2"/>
    <w:rsid w:val="007B1F41"/>
    <w:rsid w:val="007B2D3E"/>
    <w:rsid w:val="007B3D50"/>
    <w:rsid w:val="007B3D86"/>
    <w:rsid w:val="007B4049"/>
    <w:rsid w:val="007B47FF"/>
    <w:rsid w:val="007B5DA0"/>
    <w:rsid w:val="007B6181"/>
    <w:rsid w:val="007B70E2"/>
    <w:rsid w:val="007B7E2A"/>
    <w:rsid w:val="007B7FA4"/>
    <w:rsid w:val="007C0E8D"/>
    <w:rsid w:val="007C12A1"/>
    <w:rsid w:val="007C1EA8"/>
    <w:rsid w:val="007C2428"/>
    <w:rsid w:val="007C36F8"/>
    <w:rsid w:val="007C3B89"/>
    <w:rsid w:val="007C5EE7"/>
    <w:rsid w:val="007D15DB"/>
    <w:rsid w:val="007D24F9"/>
    <w:rsid w:val="007D2574"/>
    <w:rsid w:val="007D2782"/>
    <w:rsid w:val="007D2A86"/>
    <w:rsid w:val="007D2CEC"/>
    <w:rsid w:val="007D36F3"/>
    <w:rsid w:val="007D3C41"/>
    <w:rsid w:val="007D3F82"/>
    <w:rsid w:val="007D4265"/>
    <w:rsid w:val="007D5933"/>
    <w:rsid w:val="007D65CF"/>
    <w:rsid w:val="007D6E34"/>
    <w:rsid w:val="007D73A4"/>
    <w:rsid w:val="007D7DC2"/>
    <w:rsid w:val="007E00DE"/>
    <w:rsid w:val="007E04AC"/>
    <w:rsid w:val="007E0EC9"/>
    <w:rsid w:val="007E1946"/>
    <w:rsid w:val="007E215E"/>
    <w:rsid w:val="007E252C"/>
    <w:rsid w:val="007E2C3F"/>
    <w:rsid w:val="007E2DFF"/>
    <w:rsid w:val="007E5126"/>
    <w:rsid w:val="007E5889"/>
    <w:rsid w:val="007E6936"/>
    <w:rsid w:val="007E71D4"/>
    <w:rsid w:val="007E75D4"/>
    <w:rsid w:val="007E772E"/>
    <w:rsid w:val="007E7D61"/>
    <w:rsid w:val="007F1468"/>
    <w:rsid w:val="007F16E5"/>
    <w:rsid w:val="007F1DF1"/>
    <w:rsid w:val="007F53B9"/>
    <w:rsid w:val="007F6034"/>
    <w:rsid w:val="007F74C1"/>
    <w:rsid w:val="007F782D"/>
    <w:rsid w:val="00801A35"/>
    <w:rsid w:val="00801C14"/>
    <w:rsid w:val="0080202B"/>
    <w:rsid w:val="00802494"/>
    <w:rsid w:val="00807CAD"/>
    <w:rsid w:val="008114BD"/>
    <w:rsid w:val="0081299A"/>
    <w:rsid w:val="00813AF5"/>
    <w:rsid w:val="008146A9"/>
    <w:rsid w:val="00816687"/>
    <w:rsid w:val="00816EAF"/>
    <w:rsid w:val="008174AB"/>
    <w:rsid w:val="008201B3"/>
    <w:rsid w:val="00820319"/>
    <w:rsid w:val="00820A32"/>
    <w:rsid w:val="00821C59"/>
    <w:rsid w:val="00822548"/>
    <w:rsid w:val="00822584"/>
    <w:rsid w:val="008226E2"/>
    <w:rsid w:val="008241A7"/>
    <w:rsid w:val="0082458C"/>
    <w:rsid w:val="0082490A"/>
    <w:rsid w:val="00824C31"/>
    <w:rsid w:val="00825414"/>
    <w:rsid w:val="00825DA6"/>
    <w:rsid w:val="00825EFF"/>
    <w:rsid w:val="00827661"/>
    <w:rsid w:val="00827D54"/>
    <w:rsid w:val="00827DED"/>
    <w:rsid w:val="00827F73"/>
    <w:rsid w:val="008305A5"/>
    <w:rsid w:val="00830AAE"/>
    <w:rsid w:val="00830E2C"/>
    <w:rsid w:val="00831373"/>
    <w:rsid w:val="00832638"/>
    <w:rsid w:val="00833A43"/>
    <w:rsid w:val="00834FD5"/>
    <w:rsid w:val="0083541A"/>
    <w:rsid w:val="008400E7"/>
    <w:rsid w:val="00841AAA"/>
    <w:rsid w:val="00841D75"/>
    <w:rsid w:val="008506A8"/>
    <w:rsid w:val="0085116D"/>
    <w:rsid w:val="0085223C"/>
    <w:rsid w:val="0085284A"/>
    <w:rsid w:val="00852A8E"/>
    <w:rsid w:val="008546AD"/>
    <w:rsid w:val="00854FB0"/>
    <w:rsid w:val="0085529D"/>
    <w:rsid w:val="008555F9"/>
    <w:rsid w:val="008558E9"/>
    <w:rsid w:val="00856567"/>
    <w:rsid w:val="0085698C"/>
    <w:rsid w:val="00856A3A"/>
    <w:rsid w:val="00861EA0"/>
    <w:rsid w:val="00862048"/>
    <w:rsid w:val="00862844"/>
    <w:rsid w:val="00863EF5"/>
    <w:rsid w:val="00865062"/>
    <w:rsid w:val="00866231"/>
    <w:rsid w:val="008664B3"/>
    <w:rsid w:val="00871711"/>
    <w:rsid w:val="00871807"/>
    <w:rsid w:val="00873746"/>
    <w:rsid w:val="00873F1B"/>
    <w:rsid w:val="00874999"/>
    <w:rsid w:val="008749C3"/>
    <w:rsid w:val="00876AEE"/>
    <w:rsid w:val="00880B19"/>
    <w:rsid w:val="008816D2"/>
    <w:rsid w:val="00882411"/>
    <w:rsid w:val="008845E6"/>
    <w:rsid w:val="00884690"/>
    <w:rsid w:val="0088551D"/>
    <w:rsid w:val="00885A8A"/>
    <w:rsid w:val="008867A4"/>
    <w:rsid w:val="0088720A"/>
    <w:rsid w:val="00887DB2"/>
    <w:rsid w:val="00890263"/>
    <w:rsid w:val="0089123C"/>
    <w:rsid w:val="00891C41"/>
    <w:rsid w:val="0089317D"/>
    <w:rsid w:val="0089458F"/>
    <w:rsid w:val="00894895"/>
    <w:rsid w:val="00896880"/>
    <w:rsid w:val="00896D68"/>
    <w:rsid w:val="00896D94"/>
    <w:rsid w:val="008A00AB"/>
    <w:rsid w:val="008A0A7E"/>
    <w:rsid w:val="008A1A0F"/>
    <w:rsid w:val="008A270C"/>
    <w:rsid w:val="008A2903"/>
    <w:rsid w:val="008A2BE3"/>
    <w:rsid w:val="008A35C7"/>
    <w:rsid w:val="008A3896"/>
    <w:rsid w:val="008A459E"/>
    <w:rsid w:val="008A536F"/>
    <w:rsid w:val="008A6026"/>
    <w:rsid w:val="008A6B7A"/>
    <w:rsid w:val="008A7F88"/>
    <w:rsid w:val="008B0728"/>
    <w:rsid w:val="008B07DA"/>
    <w:rsid w:val="008B237B"/>
    <w:rsid w:val="008B2544"/>
    <w:rsid w:val="008B30FD"/>
    <w:rsid w:val="008B4511"/>
    <w:rsid w:val="008B544B"/>
    <w:rsid w:val="008B69A5"/>
    <w:rsid w:val="008B6DFC"/>
    <w:rsid w:val="008B72DB"/>
    <w:rsid w:val="008B7991"/>
    <w:rsid w:val="008B7AE6"/>
    <w:rsid w:val="008C0AB8"/>
    <w:rsid w:val="008C0EC5"/>
    <w:rsid w:val="008C19D0"/>
    <w:rsid w:val="008C2485"/>
    <w:rsid w:val="008C2B4F"/>
    <w:rsid w:val="008C2FD4"/>
    <w:rsid w:val="008C47BE"/>
    <w:rsid w:val="008C4BD5"/>
    <w:rsid w:val="008C61AD"/>
    <w:rsid w:val="008C6441"/>
    <w:rsid w:val="008C681B"/>
    <w:rsid w:val="008C6F65"/>
    <w:rsid w:val="008D0C93"/>
    <w:rsid w:val="008D103D"/>
    <w:rsid w:val="008D12E1"/>
    <w:rsid w:val="008D324F"/>
    <w:rsid w:val="008D3649"/>
    <w:rsid w:val="008D3F32"/>
    <w:rsid w:val="008D43BB"/>
    <w:rsid w:val="008D64A0"/>
    <w:rsid w:val="008D69B6"/>
    <w:rsid w:val="008D6DE8"/>
    <w:rsid w:val="008D6FC3"/>
    <w:rsid w:val="008E07B4"/>
    <w:rsid w:val="008E0FBA"/>
    <w:rsid w:val="008E1580"/>
    <w:rsid w:val="008E239D"/>
    <w:rsid w:val="008E30AD"/>
    <w:rsid w:val="008E39A0"/>
    <w:rsid w:val="008E3DD6"/>
    <w:rsid w:val="008E43CF"/>
    <w:rsid w:val="008E4C69"/>
    <w:rsid w:val="008E60AA"/>
    <w:rsid w:val="008E6389"/>
    <w:rsid w:val="008E647F"/>
    <w:rsid w:val="008E682A"/>
    <w:rsid w:val="008E683D"/>
    <w:rsid w:val="008E6C32"/>
    <w:rsid w:val="008E6F1E"/>
    <w:rsid w:val="008E7957"/>
    <w:rsid w:val="008F017F"/>
    <w:rsid w:val="008F0684"/>
    <w:rsid w:val="008F182A"/>
    <w:rsid w:val="008F251D"/>
    <w:rsid w:val="008F260C"/>
    <w:rsid w:val="008F345A"/>
    <w:rsid w:val="008F382D"/>
    <w:rsid w:val="008F48C5"/>
    <w:rsid w:val="008F6E54"/>
    <w:rsid w:val="008F7186"/>
    <w:rsid w:val="008F7900"/>
    <w:rsid w:val="0090080E"/>
    <w:rsid w:val="00900CCB"/>
    <w:rsid w:val="009013DA"/>
    <w:rsid w:val="00901CF0"/>
    <w:rsid w:val="00901F5D"/>
    <w:rsid w:val="00902433"/>
    <w:rsid w:val="009040F0"/>
    <w:rsid w:val="0090424A"/>
    <w:rsid w:val="0090439D"/>
    <w:rsid w:val="00904BB9"/>
    <w:rsid w:val="00905A3F"/>
    <w:rsid w:val="009070CD"/>
    <w:rsid w:val="00907447"/>
    <w:rsid w:val="00907FC8"/>
    <w:rsid w:val="00910757"/>
    <w:rsid w:val="00914874"/>
    <w:rsid w:val="0091508E"/>
    <w:rsid w:val="00915570"/>
    <w:rsid w:val="00916EC4"/>
    <w:rsid w:val="00917DF8"/>
    <w:rsid w:val="00921E2B"/>
    <w:rsid w:val="009227EB"/>
    <w:rsid w:val="0092430D"/>
    <w:rsid w:val="0092581A"/>
    <w:rsid w:val="00927A4E"/>
    <w:rsid w:val="00930EE9"/>
    <w:rsid w:val="009311DA"/>
    <w:rsid w:val="00931772"/>
    <w:rsid w:val="0093197E"/>
    <w:rsid w:val="009320E8"/>
    <w:rsid w:val="00932110"/>
    <w:rsid w:val="009329AA"/>
    <w:rsid w:val="00934878"/>
    <w:rsid w:val="00934D9F"/>
    <w:rsid w:val="00936C41"/>
    <w:rsid w:val="0093764C"/>
    <w:rsid w:val="00937C66"/>
    <w:rsid w:val="00940675"/>
    <w:rsid w:val="009408C7"/>
    <w:rsid w:val="00940A69"/>
    <w:rsid w:val="00940D6A"/>
    <w:rsid w:val="00940EFF"/>
    <w:rsid w:val="00942B30"/>
    <w:rsid w:val="00943765"/>
    <w:rsid w:val="009439EA"/>
    <w:rsid w:val="00943FF8"/>
    <w:rsid w:val="00944A1D"/>
    <w:rsid w:val="00944AAC"/>
    <w:rsid w:val="00944B06"/>
    <w:rsid w:val="00945620"/>
    <w:rsid w:val="00947193"/>
    <w:rsid w:val="00947B84"/>
    <w:rsid w:val="00947EA6"/>
    <w:rsid w:val="009520C0"/>
    <w:rsid w:val="0095213F"/>
    <w:rsid w:val="009521D0"/>
    <w:rsid w:val="0095448E"/>
    <w:rsid w:val="009565F0"/>
    <w:rsid w:val="009566BB"/>
    <w:rsid w:val="00957C78"/>
    <w:rsid w:val="0096021D"/>
    <w:rsid w:val="0096171D"/>
    <w:rsid w:val="009627D8"/>
    <w:rsid w:val="00962B39"/>
    <w:rsid w:val="00962EAA"/>
    <w:rsid w:val="00962ED2"/>
    <w:rsid w:val="009630D7"/>
    <w:rsid w:val="009631BF"/>
    <w:rsid w:val="00964482"/>
    <w:rsid w:val="00964CA4"/>
    <w:rsid w:val="0096525B"/>
    <w:rsid w:val="00965D39"/>
    <w:rsid w:val="009665F2"/>
    <w:rsid w:val="00966830"/>
    <w:rsid w:val="009700BE"/>
    <w:rsid w:val="009706D1"/>
    <w:rsid w:val="00971AB1"/>
    <w:rsid w:val="00971E85"/>
    <w:rsid w:val="00972AA8"/>
    <w:rsid w:val="009730B9"/>
    <w:rsid w:val="009737B0"/>
    <w:rsid w:val="009745D0"/>
    <w:rsid w:val="00974EC6"/>
    <w:rsid w:val="00975E80"/>
    <w:rsid w:val="009770B7"/>
    <w:rsid w:val="009804A9"/>
    <w:rsid w:val="00980861"/>
    <w:rsid w:val="00980B2E"/>
    <w:rsid w:val="0098118A"/>
    <w:rsid w:val="00981C3D"/>
    <w:rsid w:val="00981E34"/>
    <w:rsid w:val="0098300E"/>
    <w:rsid w:val="00983259"/>
    <w:rsid w:val="009833E5"/>
    <w:rsid w:val="00983692"/>
    <w:rsid w:val="00987EB8"/>
    <w:rsid w:val="00987FBA"/>
    <w:rsid w:val="00990075"/>
    <w:rsid w:val="009902AC"/>
    <w:rsid w:val="00990598"/>
    <w:rsid w:val="00990DFF"/>
    <w:rsid w:val="009912F7"/>
    <w:rsid w:val="00991919"/>
    <w:rsid w:val="00992F11"/>
    <w:rsid w:val="009932C6"/>
    <w:rsid w:val="00994806"/>
    <w:rsid w:val="00995940"/>
    <w:rsid w:val="00995C12"/>
    <w:rsid w:val="00995C39"/>
    <w:rsid w:val="00996253"/>
    <w:rsid w:val="00996FBB"/>
    <w:rsid w:val="009972E6"/>
    <w:rsid w:val="009973C9"/>
    <w:rsid w:val="009A0307"/>
    <w:rsid w:val="009A0DDF"/>
    <w:rsid w:val="009A1153"/>
    <w:rsid w:val="009A13E0"/>
    <w:rsid w:val="009A18EF"/>
    <w:rsid w:val="009A2C1F"/>
    <w:rsid w:val="009A30AC"/>
    <w:rsid w:val="009A3503"/>
    <w:rsid w:val="009A35CB"/>
    <w:rsid w:val="009A532C"/>
    <w:rsid w:val="009A58CB"/>
    <w:rsid w:val="009A58CD"/>
    <w:rsid w:val="009A61C7"/>
    <w:rsid w:val="009A6DBF"/>
    <w:rsid w:val="009B0622"/>
    <w:rsid w:val="009B1FDF"/>
    <w:rsid w:val="009B2DA3"/>
    <w:rsid w:val="009B2EB8"/>
    <w:rsid w:val="009B339E"/>
    <w:rsid w:val="009B3728"/>
    <w:rsid w:val="009B3D2D"/>
    <w:rsid w:val="009B3EF8"/>
    <w:rsid w:val="009B55BD"/>
    <w:rsid w:val="009B5D4F"/>
    <w:rsid w:val="009B78EE"/>
    <w:rsid w:val="009C08DB"/>
    <w:rsid w:val="009C1F0E"/>
    <w:rsid w:val="009C266F"/>
    <w:rsid w:val="009C2A4E"/>
    <w:rsid w:val="009C430F"/>
    <w:rsid w:val="009C46F8"/>
    <w:rsid w:val="009C5006"/>
    <w:rsid w:val="009C563A"/>
    <w:rsid w:val="009C5F95"/>
    <w:rsid w:val="009D0723"/>
    <w:rsid w:val="009D0CD7"/>
    <w:rsid w:val="009D14D6"/>
    <w:rsid w:val="009D241C"/>
    <w:rsid w:val="009D2C85"/>
    <w:rsid w:val="009D2E66"/>
    <w:rsid w:val="009D3531"/>
    <w:rsid w:val="009D35FF"/>
    <w:rsid w:val="009D3776"/>
    <w:rsid w:val="009D39C9"/>
    <w:rsid w:val="009D3D12"/>
    <w:rsid w:val="009D5AC6"/>
    <w:rsid w:val="009D5D7E"/>
    <w:rsid w:val="009D6373"/>
    <w:rsid w:val="009D7AF0"/>
    <w:rsid w:val="009D7C0C"/>
    <w:rsid w:val="009D7CF7"/>
    <w:rsid w:val="009E06B7"/>
    <w:rsid w:val="009E0C08"/>
    <w:rsid w:val="009E1429"/>
    <w:rsid w:val="009E1F6E"/>
    <w:rsid w:val="009E291B"/>
    <w:rsid w:val="009E37EF"/>
    <w:rsid w:val="009E41E7"/>
    <w:rsid w:val="009E432E"/>
    <w:rsid w:val="009E44A7"/>
    <w:rsid w:val="009E4C30"/>
    <w:rsid w:val="009E59DD"/>
    <w:rsid w:val="009E6B08"/>
    <w:rsid w:val="009F01EE"/>
    <w:rsid w:val="009F0232"/>
    <w:rsid w:val="009F05E3"/>
    <w:rsid w:val="009F2B1B"/>
    <w:rsid w:val="009F2E15"/>
    <w:rsid w:val="009F4672"/>
    <w:rsid w:val="009F4A2B"/>
    <w:rsid w:val="009F61C9"/>
    <w:rsid w:val="00A01133"/>
    <w:rsid w:val="00A012F8"/>
    <w:rsid w:val="00A01E1C"/>
    <w:rsid w:val="00A0225E"/>
    <w:rsid w:val="00A02DB2"/>
    <w:rsid w:val="00A033BC"/>
    <w:rsid w:val="00A0360A"/>
    <w:rsid w:val="00A04DF6"/>
    <w:rsid w:val="00A05611"/>
    <w:rsid w:val="00A06051"/>
    <w:rsid w:val="00A07D74"/>
    <w:rsid w:val="00A124FF"/>
    <w:rsid w:val="00A1290A"/>
    <w:rsid w:val="00A12971"/>
    <w:rsid w:val="00A139CA"/>
    <w:rsid w:val="00A14A85"/>
    <w:rsid w:val="00A154C8"/>
    <w:rsid w:val="00A15C11"/>
    <w:rsid w:val="00A17211"/>
    <w:rsid w:val="00A17BE0"/>
    <w:rsid w:val="00A20E27"/>
    <w:rsid w:val="00A22316"/>
    <w:rsid w:val="00A22568"/>
    <w:rsid w:val="00A227AE"/>
    <w:rsid w:val="00A23FD7"/>
    <w:rsid w:val="00A2514A"/>
    <w:rsid w:val="00A270A5"/>
    <w:rsid w:val="00A2746A"/>
    <w:rsid w:val="00A307EC"/>
    <w:rsid w:val="00A3126F"/>
    <w:rsid w:val="00A31300"/>
    <w:rsid w:val="00A31757"/>
    <w:rsid w:val="00A320FF"/>
    <w:rsid w:val="00A32745"/>
    <w:rsid w:val="00A35EE0"/>
    <w:rsid w:val="00A36503"/>
    <w:rsid w:val="00A366A8"/>
    <w:rsid w:val="00A36859"/>
    <w:rsid w:val="00A40036"/>
    <w:rsid w:val="00A4069D"/>
    <w:rsid w:val="00A41F7D"/>
    <w:rsid w:val="00A4218E"/>
    <w:rsid w:val="00A421A5"/>
    <w:rsid w:val="00A43637"/>
    <w:rsid w:val="00A446B0"/>
    <w:rsid w:val="00A451F5"/>
    <w:rsid w:val="00A459F0"/>
    <w:rsid w:val="00A466BE"/>
    <w:rsid w:val="00A47449"/>
    <w:rsid w:val="00A516FA"/>
    <w:rsid w:val="00A51920"/>
    <w:rsid w:val="00A52B95"/>
    <w:rsid w:val="00A53475"/>
    <w:rsid w:val="00A53D01"/>
    <w:rsid w:val="00A54DDA"/>
    <w:rsid w:val="00A55176"/>
    <w:rsid w:val="00A552CB"/>
    <w:rsid w:val="00A56105"/>
    <w:rsid w:val="00A56740"/>
    <w:rsid w:val="00A56E02"/>
    <w:rsid w:val="00A57BDE"/>
    <w:rsid w:val="00A614B4"/>
    <w:rsid w:val="00A61B1F"/>
    <w:rsid w:val="00A61D7C"/>
    <w:rsid w:val="00A62B22"/>
    <w:rsid w:val="00A63D00"/>
    <w:rsid w:val="00A64821"/>
    <w:rsid w:val="00A65680"/>
    <w:rsid w:val="00A65794"/>
    <w:rsid w:val="00A66654"/>
    <w:rsid w:val="00A6707F"/>
    <w:rsid w:val="00A67FCE"/>
    <w:rsid w:val="00A708B6"/>
    <w:rsid w:val="00A70B12"/>
    <w:rsid w:val="00A72C82"/>
    <w:rsid w:val="00A730A6"/>
    <w:rsid w:val="00A73A3B"/>
    <w:rsid w:val="00A73D14"/>
    <w:rsid w:val="00A746CA"/>
    <w:rsid w:val="00A74C72"/>
    <w:rsid w:val="00A75478"/>
    <w:rsid w:val="00A75F78"/>
    <w:rsid w:val="00A75FB5"/>
    <w:rsid w:val="00A77F75"/>
    <w:rsid w:val="00A8022F"/>
    <w:rsid w:val="00A80371"/>
    <w:rsid w:val="00A8158D"/>
    <w:rsid w:val="00A81E7B"/>
    <w:rsid w:val="00A83E28"/>
    <w:rsid w:val="00A85D0D"/>
    <w:rsid w:val="00A85D17"/>
    <w:rsid w:val="00A86632"/>
    <w:rsid w:val="00A87625"/>
    <w:rsid w:val="00A87715"/>
    <w:rsid w:val="00A87835"/>
    <w:rsid w:val="00A87A4A"/>
    <w:rsid w:val="00A929F2"/>
    <w:rsid w:val="00A92A2C"/>
    <w:rsid w:val="00A93BEE"/>
    <w:rsid w:val="00A944C7"/>
    <w:rsid w:val="00A968B1"/>
    <w:rsid w:val="00A9701C"/>
    <w:rsid w:val="00A977F4"/>
    <w:rsid w:val="00A97C39"/>
    <w:rsid w:val="00A97FB1"/>
    <w:rsid w:val="00AA06FA"/>
    <w:rsid w:val="00AA0BBA"/>
    <w:rsid w:val="00AA103D"/>
    <w:rsid w:val="00AA1DD1"/>
    <w:rsid w:val="00AA302B"/>
    <w:rsid w:val="00AA3142"/>
    <w:rsid w:val="00AA471A"/>
    <w:rsid w:val="00AA5CD5"/>
    <w:rsid w:val="00AA6478"/>
    <w:rsid w:val="00AA6A89"/>
    <w:rsid w:val="00AA6DD5"/>
    <w:rsid w:val="00AB021E"/>
    <w:rsid w:val="00AB16FC"/>
    <w:rsid w:val="00AB1797"/>
    <w:rsid w:val="00AB1825"/>
    <w:rsid w:val="00AB18E8"/>
    <w:rsid w:val="00AB2704"/>
    <w:rsid w:val="00AB2771"/>
    <w:rsid w:val="00AB4779"/>
    <w:rsid w:val="00AB4A24"/>
    <w:rsid w:val="00AB4AEF"/>
    <w:rsid w:val="00AB4DBE"/>
    <w:rsid w:val="00AB77FF"/>
    <w:rsid w:val="00AB7D39"/>
    <w:rsid w:val="00AC047B"/>
    <w:rsid w:val="00AC0C1A"/>
    <w:rsid w:val="00AC171D"/>
    <w:rsid w:val="00AC33E3"/>
    <w:rsid w:val="00AC39EE"/>
    <w:rsid w:val="00AC3BB3"/>
    <w:rsid w:val="00AC3F6C"/>
    <w:rsid w:val="00AC48B5"/>
    <w:rsid w:val="00AC49D3"/>
    <w:rsid w:val="00AC4D2A"/>
    <w:rsid w:val="00AC57FD"/>
    <w:rsid w:val="00AC65F6"/>
    <w:rsid w:val="00AC6728"/>
    <w:rsid w:val="00AC6D48"/>
    <w:rsid w:val="00AC7619"/>
    <w:rsid w:val="00AD0164"/>
    <w:rsid w:val="00AD0580"/>
    <w:rsid w:val="00AD10CE"/>
    <w:rsid w:val="00AD1A39"/>
    <w:rsid w:val="00AD3372"/>
    <w:rsid w:val="00AD57F3"/>
    <w:rsid w:val="00AD6A78"/>
    <w:rsid w:val="00AD6D79"/>
    <w:rsid w:val="00AD7813"/>
    <w:rsid w:val="00AD7932"/>
    <w:rsid w:val="00AD7F65"/>
    <w:rsid w:val="00AE17F3"/>
    <w:rsid w:val="00AE2079"/>
    <w:rsid w:val="00AE2313"/>
    <w:rsid w:val="00AE27E0"/>
    <w:rsid w:val="00AE4D40"/>
    <w:rsid w:val="00AE505F"/>
    <w:rsid w:val="00AE5120"/>
    <w:rsid w:val="00AE5567"/>
    <w:rsid w:val="00AE6B6B"/>
    <w:rsid w:val="00AE6BC5"/>
    <w:rsid w:val="00AF209A"/>
    <w:rsid w:val="00AF2690"/>
    <w:rsid w:val="00AF3042"/>
    <w:rsid w:val="00AF4D0C"/>
    <w:rsid w:val="00AF5498"/>
    <w:rsid w:val="00AF6EFE"/>
    <w:rsid w:val="00AF7DFA"/>
    <w:rsid w:val="00B00BF9"/>
    <w:rsid w:val="00B01A95"/>
    <w:rsid w:val="00B02140"/>
    <w:rsid w:val="00B035DF"/>
    <w:rsid w:val="00B04A93"/>
    <w:rsid w:val="00B04EB5"/>
    <w:rsid w:val="00B0532B"/>
    <w:rsid w:val="00B05613"/>
    <w:rsid w:val="00B05A81"/>
    <w:rsid w:val="00B05BEE"/>
    <w:rsid w:val="00B06FFA"/>
    <w:rsid w:val="00B079E5"/>
    <w:rsid w:val="00B10B58"/>
    <w:rsid w:val="00B11EEA"/>
    <w:rsid w:val="00B11F14"/>
    <w:rsid w:val="00B12495"/>
    <w:rsid w:val="00B128A5"/>
    <w:rsid w:val="00B12E0D"/>
    <w:rsid w:val="00B140AF"/>
    <w:rsid w:val="00B14B29"/>
    <w:rsid w:val="00B1579C"/>
    <w:rsid w:val="00B15ACE"/>
    <w:rsid w:val="00B15D33"/>
    <w:rsid w:val="00B17186"/>
    <w:rsid w:val="00B17497"/>
    <w:rsid w:val="00B20A85"/>
    <w:rsid w:val="00B21271"/>
    <w:rsid w:val="00B21B98"/>
    <w:rsid w:val="00B21E2A"/>
    <w:rsid w:val="00B25420"/>
    <w:rsid w:val="00B26C73"/>
    <w:rsid w:val="00B26CD9"/>
    <w:rsid w:val="00B27F32"/>
    <w:rsid w:val="00B30417"/>
    <w:rsid w:val="00B31E05"/>
    <w:rsid w:val="00B328EB"/>
    <w:rsid w:val="00B3650F"/>
    <w:rsid w:val="00B373F1"/>
    <w:rsid w:val="00B37CA4"/>
    <w:rsid w:val="00B407A2"/>
    <w:rsid w:val="00B409EE"/>
    <w:rsid w:val="00B4145B"/>
    <w:rsid w:val="00B4267C"/>
    <w:rsid w:val="00B46538"/>
    <w:rsid w:val="00B478BD"/>
    <w:rsid w:val="00B47C26"/>
    <w:rsid w:val="00B50934"/>
    <w:rsid w:val="00B53B4C"/>
    <w:rsid w:val="00B540B7"/>
    <w:rsid w:val="00B5431E"/>
    <w:rsid w:val="00B54E09"/>
    <w:rsid w:val="00B55A39"/>
    <w:rsid w:val="00B55F69"/>
    <w:rsid w:val="00B57516"/>
    <w:rsid w:val="00B57F10"/>
    <w:rsid w:val="00B60598"/>
    <w:rsid w:val="00B60B9E"/>
    <w:rsid w:val="00B6201A"/>
    <w:rsid w:val="00B6250F"/>
    <w:rsid w:val="00B6311A"/>
    <w:rsid w:val="00B63778"/>
    <w:rsid w:val="00B655F6"/>
    <w:rsid w:val="00B669C9"/>
    <w:rsid w:val="00B67A77"/>
    <w:rsid w:val="00B70594"/>
    <w:rsid w:val="00B707CA"/>
    <w:rsid w:val="00B71A5D"/>
    <w:rsid w:val="00B75062"/>
    <w:rsid w:val="00B75703"/>
    <w:rsid w:val="00B75B1D"/>
    <w:rsid w:val="00B760BC"/>
    <w:rsid w:val="00B76601"/>
    <w:rsid w:val="00B803A7"/>
    <w:rsid w:val="00B81DFC"/>
    <w:rsid w:val="00B820A7"/>
    <w:rsid w:val="00B823DE"/>
    <w:rsid w:val="00B83566"/>
    <w:rsid w:val="00B83D7A"/>
    <w:rsid w:val="00B84B99"/>
    <w:rsid w:val="00B863F5"/>
    <w:rsid w:val="00B86D95"/>
    <w:rsid w:val="00B8711E"/>
    <w:rsid w:val="00B90A5D"/>
    <w:rsid w:val="00B90DD7"/>
    <w:rsid w:val="00B9128B"/>
    <w:rsid w:val="00B920A6"/>
    <w:rsid w:val="00B92C79"/>
    <w:rsid w:val="00B92EA4"/>
    <w:rsid w:val="00B93217"/>
    <w:rsid w:val="00B936CD"/>
    <w:rsid w:val="00B939ED"/>
    <w:rsid w:val="00B9543C"/>
    <w:rsid w:val="00BA0FA6"/>
    <w:rsid w:val="00BA3344"/>
    <w:rsid w:val="00BA34C9"/>
    <w:rsid w:val="00BA37F6"/>
    <w:rsid w:val="00BA5054"/>
    <w:rsid w:val="00BA50F3"/>
    <w:rsid w:val="00BA5E52"/>
    <w:rsid w:val="00BA7587"/>
    <w:rsid w:val="00BB025A"/>
    <w:rsid w:val="00BB06C5"/>
    <w:rsid w:val="00BB154A"/>
    <w:rsid w:val="00BB2BC2"/>
    <w:rsid w:val="00BB362D"/>
    <w:rsid w:val="00BB41A9"/>
    <w:rsid w:val="00BB5DFF"/>
    <w:rsid w:val="00BB5F9E"/>
    <w:rsid w:val="00BB6EEC"/>
    <w:rsid w:val="00BB70A3"/>
    <w:rsid w:val="00BB73E5"/>
    <w:rsid w:val="00BB7817"/>
    <w:rsid w:val="00BC0507"/>
    <w:rsid w:val="00BC1343"/>
    <w:rsid w:val="00BC1F12"/>
    <w:rsid w:val="00BC2208"/>
    <w:rsid w:val="00BC3BC0"/>
    <w:rsid w:val="00BC4F6A"/>
    <w:rsid w:val="00BC5175"/>
    <w:rsid w:val="00BC53F2"/>
    <w:rsid w:val="00BC6C56"/>
    <w:rsid w:val="00BC7570"/>
    <w:rsid w:val="00BC76EF"/>
    <w:rsid w:val="00BC7C83"/>
    <w:rsid w:val="00BD0700"/>
    <w:rsid w:val="00BD1B38"/>
    <w:rsid w:val="00BD315A"/>
    <w:rsid w:val="00BD38B4"/>
    <w:rsid w:val="00BD44DF"/>
    <w:rsid w:val="00BD4956"/>
    <w:rsid w:val="00BD49BE"/>
    <w:rsid w:val="00BD5526"/>
    <w:rsid w:val="00BD553F"/>
    <w:rsid w:val="00BD5CCF"/>
    <w:rsid w:val="00BD6098"/>
    <w:rsid w:val="00BD6788"/>
    <w:rsid w:val="00BD6B96"/>
    <w:rsid w:val="00BE0037"/>
    <w:rsid w:val="00BE02E3"/>
    <w:rsid w:val="00BE1763"/>
    <w:rsid w:val="00BE185F"/>
    <w:rsid w:val="00BE1BEC"/>
    <w:rsid w:val="00BE2E9E"/>
    <w:rsid w:val="00BE32D3"/>
    <w:rsid w:val="00BE3B40"/>
    <w:rsid w:val="00BE3BFE"/>
    <w:rsid w:val="00BE4360"/>
    <w:rsid w:val="00BE4454"/>
    <w:rsid w:val="00BE491A"/>
    <w:rsid w:val="00BE588F"/>
    <w:rsid w:val="00BE68A1"/>
    <w:rsid w:val="00BE6D31"/>
    <w:rsid w:val="00BF27D9"/>
    <w:rsid w:val="00BF2E0B"/>
    <w:rsid w:val="00BF48FD"/>
    <w:rsid w:val="00BF569B"/>
    <w:rsid w:val="00BF6091"/>
    <w:rsid w:val="00BF6B0A"/>
    <w:rsid w:val="00BF6CB0"/>
    <w:rsid w:val="00BF7B7F"/>
    <w:rsid w:val="00C008A8"/>
    <w:rsid w:val="00C008D5"/>
    <w:rsid w:val="00C01C47"/>
    <w:rsid w:val="00C022F9"/>
    <w:rsid w:val="00C02939"/>
    <w:rsid w:val="00C02AA2"/>
    <w:rsid w:val="00C02BAB"/>
    <w:rsid w:val="00C02F78"/>
    <w:rsid w:val="00C03AFB"/>
    <w:rsid w:val="00C0548B"/>
    <w:rsid w:val="00C10116"/>
    <w:rsid w:val="00C105E8"/>
    <w:rsid w:val="00C10A1F"/>
    <w:rsid w:val="00C10B09"/>
    <w:rsid w:val="00C10B44"/>
    <w:rsid w:val="00C1244A"/>
    <w:rsid w:val="00C1245D"/>
    <w:rsid w:val="00C139C2"/>
    <w:rsid w:val="00C13A93"/>
    <w:rsid w:val="00C14837"/>
    <w:rsid w:val="00C14916"/>
    <w:rsid w:val="00C150C8"/>
    <w:rsid w:val="00C156B7"/>
    <w:rsid w:val="00C16709"/>
    <w:rsid w:val="00C1672C"/>
    <w:rsid w:val="00C16FC7"/>
    <w:rsid w:val="00C17BD0"/>
    <w:rsid w:val="00C202D2"/>
    <w:rsid w:val="00C20984"/>
    <w:rsid w:val="00C21079"/>
    <w:rsid w:val="00C2122B"/>
    <w:rsid w:val="00C21AAE"/>
    <w:rsid w:val="00C229EF"/>
    <w:rsid w:val="00C22ABC"/>
    <w:rsid w:val="00C22C80"/>
    <w:rsid w:val="00C24608"/>
    <w:rsid w:val="00C25195"/>
    <w:rsid w:val="00C2526B"/>
    <w:rsid w:val="00C26B81"/>
    <w:rsid w:val="00C26C7F"/>
    <w:rsid w:val="00C26FB1"/>
    <w:rsid w:val="00C2710D"/>
    <w:rsid w:val="00C27CDF"/>
    <w:rsid w:val="00C30162"/>
    <w:rsid w:val="00C303EE"/>
    <w:rsid w:val="00C31287"/>
    <w:rsid w:val="00C31BBC"/>
    <w:rsid w:val="00C32046"/>
    <w:rsid w:val="00C32C8F"/>
    <w:rsid w:val="00C3345A"/>
    <w:rsid w:val="00C33B8E"/>
    <w:rsid w:val="00C35846"/>
    <w:rsid w:val="00C41B96"/>
    <w:rsid w:val="00C42989"/>
    <w:rsid w:val="00C42E0D"/>
    <w:rsid w:val="00C432A6"/>
    <w:rsid w:val="00C438F6"/>
    <w:rsid w:val="00C43B72"/>
    <w:rsid w:val="00C43F68"/>
    <w:rsid w:val="00C43FF1"/>
    <w:rsid w:val="00C4521E"/>
    <w:rsid w:val="00C45D41"/>
    <w:rsid w:val="00C45F5E"/>
    <w:rsid w:val="00C464DB"/>
    <w:rsid w:val="00C467FC"/>
    <w:rsid w:val="00C46935"/>
    <w:rsid w:val="00C46A85"/>
    <w:rsid w:val="00C46EFF"/>
    <w:rsid w:val="00C471AA"/>
    <w:rsid w:val="00C477E1"/>
    <w:rsid w:val="00C47ECE"/>
    <w:rsid w:val="00C501BE"/>
    <w:rsid w:val="00C50E7B"/>
    <w:rsid w:val="00C512EF"/>
    <w:rsid w:val="00C51303"/>
    <w:rsid w:val="00C5171F"/>
    <w:rsid w:val="00C51A40"/>
    <w:rsid w:val="00C53A23"/>
    <w:rsid w:val="00C55CCA"/>
    <w:rsid w:val="00C56E4E"/>
    <w:rsid w:val="00C57CBF"/>
    <w:rsid w:val="00C61661"/>
    <w:rsid w:val="00C61BD2"/>
    <w:rsid w:val="00C61D6C"/>
    <w:rsid w:val="00C63377"/>
    <w:rsid w:val="00C64C23"/>
    <w:rsid w:val="00C65AF7"/>
    <w:rsid w:val="00C7092B"/>
    <w:rsid w:val="00C70FEC"/>
    <w:rsid w:val="00C71290"/>
    <w:rsid w:val="00C71BA7"/>
    <w:rsid w:val="00C74286"/>
    <w:rsid w:val="00C74981"/>
    <w:rsid w:val="00C749E7"/>
    <w:rsid w:val="00C74AA2"/>
    <w:rsid w:val="00C74B66"/>
    <w:rsid w:val="00C75C75"/>
    <w:rsid w:val="00C7662D"/>
    <w:rsid w:val="00C7691B"/>
    <w:rsid w:val="00C76D86"/>
    <w:rsid w:val="00C77090"/>
    <w:rsid w:val="00C7743D"/>
    <w:rsid w:val="00C8082E"/>
    <w:rsid w:val="00C80F2A"/>
    <w:rsid w:val="00C82097"/>
    <w:rsid w:val="00C8230E"/>
    <w:rsid w:val="00C82BAF"/>
    <w:rsid w:val="00C82FF0"/>
    <w:rsid w:val="00C83A43"/>
    <w:rsid w:val="00C871FD"/>
    <w:rsid w:val="00C8738B"/>
    <w:rsid w:val="00C87910"/>
    <w:rsid w:val="00C87BD2"/>
    <w:rsid w:val="00C90092"/>
    <w:rsid w:val="00C90991"/>
    <w:rsid w:val="00C91341"/>
    <w:rsid w:val="00C92341"/>
    <w:rsid w:val="00C93786"/>
    <w:rsid w:val="00C94192"/>
    <w:rsid w:val="00C95257"/>
    <w:rsid w:val="00C95BB4"/>
    <w:rsid w:val="00C978CF"/>
    <w:rsid w:val="00C97F1F"/>
    <w:rsid w:val="00CA0E16"/>
    <w:rsid w:val="00CA1ACB"/>
    <w:rsid w:val="00CA1CBD"/>
    <w:rsid w:val="00CA210A"/>
    <w:rsid w:val="00CA23AF"/>
    <w:rsid w:val="00CA3051"/>
    <w:rsid w:val="00CA3DF8"/>
    <w:rsid w:val="00CA4EBC"/>
    <w:rsid w:val="00CA5212"/>
    <w:rsid w:val="00CA5AA0"/>
    <w:rsid w:val="00CA5BC6"/>
    <w:rsid w:val="00CB1588"/>
    <w:rsid w:val="00CB31EF"/>
    <w:rsid w:val="00CB359B"/>
    <w:rsid w:val="00CB410D"/>
    <w:rsid w:val="00CB469A"/>
    <w:rsid w:val="00CB489A"/>
    <w:rsid w:val="00CB4F91"/>
    <w:rsid w:val="00CB504E"/>
    <w:rsid w:val="00CB540E"/>
    <w:rsid w:val="00CB5B40"/>
    <w:rsid w:val="00CB6B3A"/>
    <w:rsid w:val="00CC00B4"/>
    <w:rsid w:val="00CC1E5F"/>
    <w:rsid w:val="00CC207B"/>
    <w:rsid w:val="00CC27A4"/>
    <w:rsid w:val="00CC33B6"/>
    <w:rsid w:val="00CC3589"/>
    <w:rsid w:val="00CC3D0B"/>
    <w:rsid w:val="00CC3D80"/>
    <w:rsid w:val="00CC46A1"/>
    <w:rsid w:val="00CC4A4B"/>
    <w:rsid w:val="00CC5301"/>
    <w:rsid w:val="00CC5ED4"/>
    <w:rsid w:val="00CC5F82"/>
    <w:rsid w:val="00CC763F"/>
    <w:rsid w:val="00CC7DC3"/>
    <w:rsid w:val="00CD016F"/>
    <w:rsid w:val="00CD028B"/>
    <w:rsid w:val="00CD1990"/>
    <w:rsid w:val="00CD1F49"/>
    <w:rsid w:val="00CD28B7"/>
    <w:rsid w:val="00CD2D15"/>
    <w:rsid w:val="00CD43B7"/>
    <w:rsid w:val="00CD4FE5"/>
    <w:rsid w:val="00CD5EFE"/>
    <w:rsid w:val="00CD780F"/>
    <w:rsid w:val="00CE00DB"/>
    <w:rsid w:val="00CE01F7"/>
    <w:rsid w:val="00CE1038"/>
    <w:rsid w:val="00CE131A"/>
    <w:rsid w:val="00CE1781"/>
    <w:rsid w:val="00CE1DE9"/>
    <w:rsid w:val="00CE1E62"/>
    <w:rsid w:val="00CE48DF"/>
    <w:rsid w:val="00CE4920"/>
    <w:rsid w:val="00CE514F"/>
    <w:rsid w:val="00CE5C83"/>
    <w:rsid w:val="00CE5EB7"/>
    <w:rsid w:val="00CE6396"/>
    <w:rsid w:val="00CE77CA"/>
    <w:rsid w:val="00CF099C"/>
    <w:rsid w:val="00CF0C7D"/>
    <w:rsid w:val="00CF0E8A"/>
    <w:rsid w:val="00CF0F75"/>
    <w:rsid w:val="00CF29FC"/>
    <w:rsid w:val="00CF32D1"/>
    <w:rsid w:val="00CF4EF6"/>
    <w:rsid w:val="00CF522E"/>
    <w:rsid w:val="00CF5469"/>
    <w:rsid w:val="00CF656D"/>
    <w:rsid w:val="00CF6CD3"/>
    <w:rsid w:val="00CF76B7"/>
    <w:rsid w:val="00D00E02"/>
    <w:rsid w:val="00D01677"/>
    <w:rsid w:val="00D019DE"/>
    <w:rsid w:val="00D03004"/>
    <w:rsid w:val="00D03353"/>
    <w:rsid w:val="00D03F61"/>
    <w:rsid w:val="00D049F7"/>
    <w:rsid w:val="00D04D8F"/>
    <w:rsid w:val="00D054E0"/>
    <w:rsid w:val="00D05537"/>
    <w:rsid w:val="00D056F3"/>
    <w:rsid w:val="00D05991"/>
    <w:rsid w:val="00D05BEF"/>
    <w:rsid w:val="00D075DD"/>
    <w:rsid w:val="00D0763F"/>
    <w:rsid w:val="00D07B4C"/>
    <w:rsid w:val="00D07E3B"/>
    <w:rsid w:val="00D11220"/>
    <w:rsid w:val="00D11F2E"/>
    <w:rsid w:val="00D1259E"/>
    <w:rsid w:val="00D12A21"/>
    <w:rsid w:val="00D12F1C"/>
    <w:rsid w:val="00D156F4"/>
    <w:rsid w:val="00D1596D"/>
    <w:rsid w:val="00D15E93"/>
    <w:rsid w:val="00D162C5"/>
    <w:rsid w:val="00D16B0B"/>
    <w:rsid w:val="00D173B4"/>
    <w:rsid w:val="00D173E9"/>
    <w:rsid w:val="00D1775D"/>
    <w:rsid w:val="00D215E5"/>
    <w:rsid w:val="00D21985"/>
    <w:rsid w:val="00D219AC"/>
    <w:rsid w:val="00D229D9"/>
    <w:rsid w:val="00D2380C"/>
    <w:rsid w:val="00D23959"/>
    <w:rsid w:val="00D23976"/>
    <w:rsid w:val="00D24310"/>
    <w:rsid w:val="00D24390"/>
    <w:rsid w:val="00D24D5E"/>
    <w:rsid w:val="00D253A6"/>
    <w:rsid w:val="00D259C3"/>
    <w:rsid w:val="00D274EF"/>
    <w:rsid w:val="00D27535"/>
    <w:rsid w:val="00D27B37"/>
    <w:rsid w:val="00D301AE"/>
    <w:rsid w:val="00D317D9"/>
    <w:rsid w:val="00D31D70"/>
    <w:rsid w:val="00D324C5"/>
    <w:rsid w:val="00D32F56"/>
    <w:rsid w:val="00D33052"/>
    <w:rsid w:val="00D332DC"/>
    <w:rsid w:val="00D33949"/>
    <w:rsid w:val="00D356EE"/>
    <w:rsid w:val="00D358DB"/>
    <w:rsid w:val="00D35DD2"/>
    <w:rsid w:val="00D40631"/>
    <w:rsid w:val="00D4126B"/>
    <w:rsid w:val="00D41802"/>
    <w:rsid w:val="00D42201"/>
    <w:rsid w:val="00D42FF9"/>
    <w:rsid w:val="00D432D9"/>
    <w:rsid w:val="00D435C4"/>
    <w:rsid w:val="00D44169"/>
    <w:rsid w:val="00D44245"/>
    <w:rsid w:val="00D4689A"/>
    <w:rsid w:val="00D47CCE"/>
    <w:rsid w:val="00D507FB"/>
    <w:rsid w:val="00D5090B"/>
    <w:rsid w:val="00D50B13"/>
    <w:rsid w:val="00D50E02"/>
    <w:rsid w:val="00D50EDA"/>
    <w:rsid w:val="00D53A05"/>
    <w:rsid w:val="00D53A8E"/>
    <w:rsid w:val="00D53DA8"/>
    <w:rsid w:val="00D53DC0"/>
    <w:rsid w:val="00D54224"/>
    <w:rsid w:val="00D54CE4"/>
    <w:rsid w:val="00D55437"/>
    <w:rsid w:val="00D56108"/>
    <w:rsid w:val="00D56FDB"/>
    <w:rsid w:val="00D57CE0"/>
    <w:rsid w:val="00D60378"/>
    <w:rsid w:val="00D60CD1"/>
    <w:rsid w:val="00D60D83"/>
    <w:rsid w:val="00D616F0"/>
    <w:rsid w:val="00D61B0B"/>
    <w:rsid w:val="00D625D4"/>
    <w:rsid w:val="00D62D1B"/>
    <w:rsid w:val="00D62E5F"/>
    <w:rsid w:val="00D640D4"/>
    <w:rsid w:val="00D64B83"/>
    <w:rsid w:val="00D6537E"/>
    <w:rsid w:val="00D653C6"/>
    <w:rsid w:val="00D65AC8"/>
    <w:rsid w:val="00D665A7"/>
    <w:rsid w:val="00D6715B"/>
    <w:rsid w:val="00D67502"/>
    <w:rsid w:val="00D677B0"/>
    <w:rsid w:val="00D70241"/>
    <w:rsid w:val="00D72AC4"/>
    <w:rsid w:val="00D730C1"/>
    <w:rsid w:val="00D7417B"/>
    <w:rsid w:val="00D74230"/>
    <w:rsid w:val="00D749E5"/>
    <w:rsid w:val="00D76BFB"/>
    <w:rsid w:val="00D76EFC"/>
    <w:rsid w:val="00D77A93"/>
    <w:rsid w:val="00D80699"/>
    <w:rsid w:val="00D81A0E"/>
    <w:rsid w:val="00D82A2B"/>
    <w:rsid w:val="00D83546"/>
    <w:rsid w:val="00D83E15"/>
    <w:rsid w:val="00D83E48"/>
    <w:rsid w:val="00D83F9F"/>
    <w:rsid w:val="00D8495F"/>
    <w:rsid w:val="00D86774"/>
    <w:rsid w:val="00D86874"/>
    <w:rsid w:val="00D8695B"/>
    <w:rsid w:val="00D86AE1"/>
    <w:rsid w:val="00D87966"/>
    <w:rsid w:val="00D90854"/>
    <w:rsid w:val="00D911C9"/>
    <w:rsid w:val="00D91A10"/>
    <w:rsid w:val="00D926DF"/>
    <w:rsid w:val="00D92BF0"/>
    <w:rsid w:val="00D92CB7"/>
    <w:rsid w:val="00D9363C"/>
    <w:rsid w:val="00D938A2"/>
    <w:rsid w:val="00D93960"/>
    <w:rsid w:val="00D93BAF"/>
    <w:rsid w:val="00D958DB"/>
    <w:rsid w:val="00D95AD7"/>
    <w:rsid w:val="00D9601F"/>
    <w:rsid w:val="00D96472"/>
    <w:rsid w:val="00D966F7"/>
    <w:rsid w:val="00D97470"/>
    <w:rsid w:val="00DA0408"/>
    <w:rsid w:val="00DA2057"/>
    <w:rsid w:val="00DA21FA"/>
    <w:rsid w:val="00DA33EF"/>
    <w:rsid w:val="00DA3756"/>
    <w:rsid w:val="00DA4B28"/>
    <w:rsid w:val="00DA4F4A"/>
    <w:rsid w:val="00DA5621"/>
    <w:rsid w:val="00DA62EF"/>
    <w:rsid w:val="00DA6306"/>
    <w:rsid w:val="00DA6A74"/>
    <w:rsid w:val="00DA7393"/>
    <w:rsid w:val="00DA76A4"/>
    <w:rsid w:val="00DB15ED"/>
    <w:rsid w:val="00DB1CF6"/>
    <w:rsid w:val="00DB1F18"/>
    <w:rsid w:val="00DB239C"/>
    <w:rsid w:val="00DB2485"/>
    <w:rsid w:val="00DB2F3F"/>
    <w:rsid w:val="00DB32F5"/>
    <w:rsid w:val="00DB3C3E"/>
    <w:rsid w:val="00DB411E"/>
    <w:rsid w:val="00DB4431"/>
    <w:rsid w:val="00DB449C"/>
    <w:rsid w:val="00DB4CA6"/>
    <w:rsid w:val="00DB5F66"/>
    <w:rsid w:val="00DB63D5"/>
    <w:rsid w:val="00DC07DA"/>
    <w:rsid w:val="00DC159E"/>
    <w:rsid w:val="00DC1E40"/>
    <w:rsid w:val="00DC1FE0"/>
    <w:rsid w:val="00DC257F"/>
    <w:rsid w:val="00DC439E"/>
    <w:rsid w:val="00DC47D2"/>
    <w:rsid w:val="00DC4D2D"/>
    <w:rsid w:val="00DC564B"/>
    <w:rsid w:val="00DC6525"/>
    <w:rsid w:val="00DC6A10"/>
    <w:rsid w:val="00DC710E"/>
    <w:rsid w:val="00DD07CC"/>
    <w:rsid w:val="00DD1460"/>
    <w:rsid w:val="00DD2261"/>
    <w:rsid w:val="00DD2AF8"/>
    <w:rsid w:val="00DD35EC"/>
    <w:rsid w:val="00DD3D6A"/>
    <w:rsid w:val="00DD7C87"/>
    <w:rsid w:val="00DD7E45"/>
    <w:rsid w:val="00DE18A6"/>
    <w:rsid w:val="00DE2D60"/>
    <w:rsid w:val="00DE2E19"/>
    <w:rsid w:val="00DE3625"/>
    <w:rsid w:val="00DE3BC0"/>
    <w:rsid w:val="00DE48BC"/>
    <w:rsid w:val="00DE5086"/>
    <w:rsid w:val="00DE51F7"/>
    <w:rsid w:val="00DE5929"/>
    <w:rsid w:val="00DE79E8"/>
    <w:rsid w:val="00DE7F00"/>
    <w:rsid w:val="00DF030B"/>
    <w:rsid w:val="00DF0317"/>
    <w:rsid w:val="00DF2A75"/>
    <w:rsid w:val="00DF2E0F"/>
    <w:rsid w:val="00DF4DBC"/>
    <w:rsid w:val="00DF6F38"/>
    <w:rsid w:val="00E00F5F"/>
    <w:rsid w:val="00E018CB"/>
    <w:rsid w:val="00E028AB"/>
    <w:rsid w:val="00E03AD4"/>
    <w:rsid w:val="00E03F05"/>
    <w:rsid w:val="00E049FF"/>
    <w:rsid w:val="00E05229"/>
    <w:rsid w:val="00E06955"/>
    <w:rsid w:val="00E0728F"/>
    <w:rsid w:val="00E07445"/>
    <w:rsid w:val="00E075F9"/>
    <w:rsid w:val="00E07BEB"/>
    <w:rsid w:val="00E07D10"/>
    <w:rsid w:val="00E12349"/>
    <w:rsid w:val="00E12BEC"/>
    <w:rsid w:val="00E14E6D"/>
    <w:rsid w:val="00E20FB3"/>
    <w:rsid w:val="00E21079"/>
    <w:rsid w:val="00E2134C"/>
    <w:rsid w:val="00E2181D"/>
    <w:rsid w:val="00E21C6D"/>
    <w:rsid w:val="00E21C85"/>
    <w:rsid w:val="00E22261"/>
    <w:rsid w:val="00E229DE"/>
    <w:rsid w:val="00E23C31"/>
    <w:rsid w:val="00E242E9"/>
    <w:rsid w:val="00E25446"/>
    <w:rsid w:val="00E25F5B"/>
    <w:rsid w:val="00E2653F"/>
    <w:rsid w:val="00E2676B"/>
    <w:rsid w:val="00E26E5B"/>
    <w:rsid w:val="00E27DCC"/>
    <w:rsid w:val="00E30350"/>
    <w:rsid w:val="00E30850"/>
    <w:rsid w:val="00E31231"/>
    <w:rsid w:val="00E3135C"/>
    <w:rsid w:val="00E31BF1"/>
    <w:rsid w:val="00E321A9"/>
    <w:rsid w:val="00E32378"/>
    <w:rsid w:val="00E3283A"/>
    <w:rsid w:val="00E346BC"/>
    <w:rsid w:val="00E35D52"/>
    <w:rsid w:val="00E405E6"/>
    <w:rsid w:val="00E40756"/>
    <w:rsid w:val="00E40A24"/>
    <w:rsid w:val="00E4171F"/>
    <w:rsid w:val="00E417CE"/>
    <w:rsid w:val="00E437E4"/>
    <w:rsid w:val="00E4383B"/>
    <w:rsid w:val="00E44C1C"/>
    <w:rsid w:val="00E46541"/>
    <w:rsid w:val="00E46EB4"/>
    <w:rsid w:val="00E47398"/>
    <w:rsid w:val="00E47ED2"/>
    <w:rsid w:val="00E50444"/>
    <w:rsid w:val="00E50780"/>
    <w:rsid w:val="00E518C5"/>
    <w:rsid w:val="00E519D6"/>
    <w:rsid w:val="00E51A73"/>
    <w:rsid w:val="00E521D4"/>
    <w:rsid w:val="00E52C6B"/>
    <w:rsid w:val="00E5314F"/>
    <w:rsid w:val="00E53326"/>
    <w:rsid w:val="00E555C3"/>
    <w:rsid w:val="00E560C7"/>
    <w:rsid w:val="00E560D5"/>
    <w:rsid w:val="00E56901"/>
    <w:rsid w:val="00E572DB"/>
    <w:rsid w:val="00E57A67"/>
    <w:rsid w:val="00E60842"/>
    <w:rsid w:val="00E60E69"/>
    <w:rsid w:val="00E612A5"/>
    <w:rsid w:val="00E61A62"/>
    <w:rsid w:val="00E626D6"/>
    <w:rsid w:val="00E62CF6"/>
    <w:rsid w:val="00E63F99"/>
    <w:rsid w:val="00E64095"/>
    <w:rsid w:val="00E65136"/>
    <w:rsid w:val="00E662E5"/>
    <w:rsid w:val="00E6745D"/>
    <w:rsid w:val="00E67606"/>
    <w:rsid w:val="00E67A75"/>
    <w:rsid w:val="00E67EFB"/>
    <w:rsid w:val="00E70388"/>
    <w:rsid w:val="00E71BEE"/>
    <w:rsid w:val="00E71CBB"/>
    <w:rsid w:val="00E71EC2"/>
    <w:rsid w:val="00E71F98"/>
    <w:rsid w:val="00E721C8"/>
    <w:rsid w:val="00E72369"/>
    <w:rsid w:val="00E736FA"/>
    <w:rsid w:val="00E73D91"/>
    <w:rsid w:val="00E74894"/>
    <w:rsid w:val="00E75CB1"/>
    <w:rsid w:val="00E76565"/>
    <w:rsid w:val="00E77A89"/>
    <w:rsid w:val="00E80044"/>
    <w:rsid w:val="00E8119F"/>
    <w:rsid w:val="00E81BEC"/>
    <w:rsid w:val="00E84226"/>
    <w:rsid w:val="00E87A66"/>
    <w:rsid w:val="00E901CD"/>
    <w:rsid w:val="00E910E1"/>
    <w:rsid w:val="00E915BC"/>
    <w:rsid w:val="00E91CF9"/>
    <w:rsid w:val="00E928F4"/>
    <w:rsid w:val="00E948A2"/>
    <w:rsid w:val="00E94AF4"/>
    <w:rsid w:val="00E94CE7"/>
    <w:rsid w:val="00E951AD"/>
    <w:rsid w:val="00E9617C"/>
    <w:rsid w:val="00EA0570"/>
    <w:rsid w:val="00EA072E"/>
    <w:rsid w:val="00EA0D7C"/>
    <w:rsid w:val="00EA1749"/>
    <w:rsid w:val="00EA2BBD"/>
    <w:rsid w:val="00EA2F05"/>
    <w:rsid w:val="00EA5186"/>
    <w:rsid w:val="00EA6F49"/>
    <w:rsid w:val="00EB0735"/>
    <w:rsid w:val="00EB0813"/>
    <w:rsid w:val="00EB19F2"/>
    <w:rsid w:val="00EB1C88"/>
    <w:rsid w:val="00EB2196"/>
    <w:rsid w:val="00EB25D2"/>
    <w:rsid w:val="00EB37E0"/>
    <w:rsid w:val="00EB40DC"/>
    <w:rsid w:val="00EB4279"/>
    <w:rsid w:val="00EB4730"/>
    <w:rsid w:val="00EB7F2E"/>
    <w:rsid w:val="00EC07F6"/>
    <w:rsid w:val="00EC1862"/>
    <w:rsid w:val="00EC1DA6"/>
    <w:rsid w:val="00EC228A"/>
    <w:rsid w:val="00EC2E1D"/>
    <w:rsid w:val="00EC42BA"/>
    <w:rsid w:val="00EC525C"/>
    <w:rsid w:val="00EC55B6"/>
    <w:rsid w:val="00EC5779"/>
    <w:rsid w:val="00EC5F7B"/>
    <w:rsid w:val="00EC6D7E"/>
    <w:rsid w:val="00EC75A7"/>
    <w:rsid w:val="00ED0057"/>
    <w:rsid w:val="00ED09DB"/>
    <w:rsid w:val="00ED2145"/>
    <w:rsid w:val="00ED319E"/>
    <w:rsid w:val="00ED358F"/>
    <w:rsid w:val="00ED47C8"/>
    <w:rsid w:val="00ED4B40"/>
    <w:rsid w:val="00ED4DBA"/>
    <w:rsid w:val="00ED5912"/>
    <w:rsid w:val="00ED5EC1"/>
    <w:rsid w:val="00ED6492"/>
    <w:rsid w:val="00ED7279"/>
    <w:rsid w:val="00ED7917"/>
    <w:rsid w:val="00ED7FB2"/>
    <w:rsid w:val="00EE03EC"/>
    <w:rsid w:val="00EE04C6"/>
    <w:rsid w:val="00EE09A3"/>
    <w:rsid w:val="00EE1C49"/>
    <w:rsid w:val="00EE2000"/>
    <w:rsid w:val="00EE2139"/>
    <w:rsid w:val="00EE2E18"/>
    <w:rsid w:val="00EE3766"/>
    <w:rsid w:val="00EE3894"/>
    <w:rsid w:val="00EE458B"/>
    <w:rsid w:val="00EE56A6"/>
    <w:rsid w:val="00EE6456"/>
    <w:rsid w:val="00EE7A6A"/>
    <w:rsid w:val="00EE7E35"/>
    <w:rsid w:val="00EF12AA"/>
    <w:rsid w:val="00EF26C4"/>
    <w:rsid w:val="00EF3065"/>
    <w:rsid w:val="00EF4DDF"/>
    <w:rsid w:val="00EF4E5D"/>
    <w:rsid w:val="00EF5387"/>
    <w:rsid w:val="00EF5F80"/>
    <w:rsid w:val="00EF6BEC"/>
    <w:rsid w:val="00EF6CB5"/>
    <w:rsid w:val="00EF70DB"/>
    <w:rsid w:val="00EF7CCB"/>
    <w:rsid w:val="00F00C4C"/>
    <w:rsid w:val="00F02547"/>
    <w:rsid w:val="00F02D1A"/>
    <w:rsid w:val="00F0485D"/>
    <w:rsid w:val="00F052D9"/>
    <w:rsid w:val="00F05C36"/>
    <w:rsid w:val="00F10258"/>
    <w:rsid w:val="00F10A12"/>
    <w:rsid w:val="00F11AEE"/>
    <w:rsid w:val="00F1250D"/>
    <w:rsid w:val="00F12556"/>
    <w:rsid w:val="00F12661"/>
    <w:rsid w:val="00F12970"/>
    <w:rsid w:val="00F1321C"/>
    <w:rsid w:val="00F13422"/>
    <w:rsid w:val="00F138D2"/>
    <w:rsid w:val="00F1498E"/>
    <w:rsid w:val="00F15004"/>
    <w:rsid w:val="00F15C8B"/>
    <w:rsid w:val="00F1790F"/>
    <w:rsid w:val="00F1794B"/>
    <w:rsid w:val="00F20365"/>
    <w:rsid w:val="00F21817"/>
    <w:rsid w:val="00F22134"/>
    <w:rsid w:val="00F22CE2"/>
    <w:rsid w:val="00F231A0"/>
    <w:rsid w:val="00F231B9"/>
    <w:rsid w:val="00F23FC8"/>
    <w:rsid w:val="00F25049"/>
    <w:rsid w:val="00F25968"/>
    <w:rsid w:val="00F25C7E"/>
    <w:rsid w:val="00F25EC4"/>
    <w:rsid w:val="00F260B8"/>
    <w:rsid w:val="00F263A8"/>
    <w:rsid w:val="00F27109"/>
    <w:rsid w:val="00F27526"/>
    <w:rsid w:val="00F305FE"/>
    <w:rsid w:val="00F30D5F"/>
    <w:rsid w:val="00F31EEB"/>
    <w:rsid w:val="00F32DA2"/>
    <w:rsid w:val="00F33194"/>
    <w:rsid w:val="00F3517C"/>
    <w:rsid w:val="00F36264"/>
    <w:rsid w:val="00F36C27"/>
    <w:rsid w:val="00F37BAF"/>
    <w:rsid w:val="00F40699"/>
    <w:rsid w:val="00F412AD"/>
    <w:rsid w:val="00F413E6"/>
    <w:rsid w:val="00F41418"/>
    <w:rsid w:val="00F4172D"/>
    <w:rsid w:val="00F41993"/>
    <w:rsid w:val="00F43A92"/>
    <w:rsid w:val="00F43C3C"/>
    <w:rsid w:val="00F453E5"/>
    <w:rsid w:val="00F455B1"/>
    <w:rsid w:val="00F45B7E"/>
    <w:rsid w:val="00F50387"/>
    <w:rsid w:val="00F50F21"/>
    <w:rsid w:val="00F52F1F"/>
    <w:rsid w:val="00F543EB"/>
    <w:rsid w:val="00F55235"/>
    <w:rsid w:val="00F55B2C"/>
    <w:rsid w:val="00F5755B"/>
    <w:rsid w:val="00F57C50"/>
    <w:rsid w:val="00F60919"/>
    <w:rsid w:val="00F609FD"/>
    <w:rsid w:val="00F6194E"/>
    <w:rsid w:val="00F620CA"/>
    <w:rsid w:val="00F62BFE"/>
    <w:rsid w:val="00F65AB8"/>
    <w:rsid w:val="00F65B25"/>
    <w:rsid w:val="00F6615D"/>
    <w:rsid w:val="00F66667"/>
    <w:rsid w:val="00F66EDF"/>
    <w:rsid w:val="00F67E9D"/>
    <w:rsid w:val="00F705B7"/>
    <w:rsid w:val="00F716DC"/>
    <w:rsid w:val="00F729CB"/>
    <w:rsid w:val="00F73B76"/>
    <w:rsid w:val="00F744B4"/>
    <w:rsid w:val="00F751C5"/>
    <w:rsid w:val="00F761E3"/>
    <w:rsid w:val="00F76BBA"/>
    <w:rsid w:val="00F76F0E"/>
    <w:rsid w:val="00F775F1"/>
    <w:rsid w:val="00F8010F"/>
    <w:rsid w:val="00F80F50"/>
    <w:rsid w:val="00F81C3A"/>
    <w:rsid w:val="00F82B72"/>
    <w:rsid w:val="00F83DDF"/>
    <w:rsid w:val="00F8430B"/>
    <w:rsid w:val="00F8494E"/>
    <w:rsid w:val="00F85373"/>
    <w:rsid w:val="00F85AAD"/>
    <w:rsid w:val="00F866D8"/>
    <w:rsid w:val="00F86725"/>
    <w:rsid w:val="00F879E2"/>
    <w:rsid w:val="00F90E3D"/>
    <w:rsid w:val="00F91A9C"/>
    <w:rsid w:val="00F91D51"/>
    <w:rsid w:val="00F934B4"/>
    <w:rsid w:val="00F94449"/>
    <w:rsid w:val="00F95415"/>
    <w:rsid w:val="00F96C15"/>
    <w:rsid w:val="00FA02FC"/>
    <w:rsid w:val="00FA1257"/>
    <w:rsid w:val="00FA25D7"/>
    <w:rsid w:val="00FA29D7"/>
    <w:rsid w:val="00FA2AB8"/>
    <w:rsid w:val="00FA462F"/>
    <w:rsid w:val="00FA4BBA"/>
    <w:rsid w:val="00FA4E11"/>
    <w:rsid w:val="00FA4E72"/>
    <w:rsid w:val="00FA5A67"/>
    <w:rsid w:val="00FA6227"/>
    <w:rsid w:val="00FA7550"/>
    <w:rsid w:val="00FA7824"/>
    <w:rsid w:val="00FA7B8B"/>
    <w:rsid w:val="00FB1AC0"/>
    <w:rsid w:val="00FB251D"/>
    <w:rsid w:val="00FB2A63"/>
    <w:rsid w:val="00FB38DE"/>
    <w:rsid w:val="00FB3A6E"/>
    <w:rsid w:val="00FB3E53"/>
    <w:rsid w:val="00FB4478"/>
    <w:rsid w:val="00FB4C0C"/>
    <w:rsid w:val="00FB5D26"/>
    <w:rsid w:val="00FB6F1C"/>
    <w:rsid w:val="00FB7DF0"/>
    <w:rsid w:val="00FC0590"/>
    <w:rsid w:val="00FC0676"/>
    <w:rsid w:val="00FC09D6"/>
    <w:rsid w:val="00FC10A2"/>
    <w:rsid w:val="00FC10C1"/>
    <w:rsid w:val="00FC1F9E"/>
    <w:rsid w:val="00FC319F"/>
    <w:rsid w:val="00FC35C3"/>
    <w:rsid w:val="00FC366E"/>
    <w:rsid w:val="00FC559F"/>
    <w:rsid w:val="00FC5C3A"/>
    <w:rsid w:val="00FC6683"/>
    <w:rsid w:val="00FD0689"/>
    <w:rsid w:val="00FD0962"/>
    <w:rsid w:val="00FD1370"/>
    <w:rsid w:val="00FD16AE"/>
    <w:rsid w:val="00FD1C60"/>
    <w:rsid w:val="00FD50C8"/>
    <w:rsid w:val="00FD6BE9"/>
    <w:rsid w:val="00FD7C64"/>
    <w:rsid w:val="00FE066D"/>
    <w:rsid w:val="00FE0957"/>
    <w:rsid w:val="00FE0E0F"/>
    <w:rsid w:val="00FE149B"/>
    <w:rsid w:val="00FE2013"/>
    <w:rsid w:val="00FE28A9"/>
    <w:rsid w:val="00FE4480"/>
    <w:rsid w:val="00FE64FF"/>
    <w:rsid w:val="00FE692B"/>
    <w:rsid w:val="00FE73D7"/>
    <w:rsid w:val="00FF0066"/>
    <w:rsid w:val="00FF08AF"/>
    <w:rsid w:val="00FF0DBE"/>
    <w:rsid w:val="00FF3E52"/>
    <w:rsid w:val="00FF4B89"/>
    <w:rsid w:val="00FF4F4F"/>
    <w:rsid w:val="00FF564D"/>
    <w:rsid w:val="00FF6247"/>
    <w:rsid w:val="00FF6671"/>
    <w:rsid w:val="00FF7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1F5"/>
    <w:pPr>
      <w:spacing w:before="140" w:after="140" w:line="360" w:lineRule="auto"/>
    </w:pPr>
    <w:rPr>
      <w:rFonts w:cs="Arial"/>
      <w:sz w:val="24"/>
      <w:szCs w:val="22"/>
    </w:rPr>
  </w:style>
  <w:style w:type="paragraph" w:styleId="Heading1">
    <w:name w:val="heading 1"/>
    <w:basedOn w:val="Normal"/>
    <w:next w:val="Normal"/>
    <w:link w:val="Heading1Char"/>
    <w:qFormat/>
    <w:rsid w:val="00A451F5"/>
    <w:pPr>
      <w:keepNext/>
      <w:numPr>
        <w:numId w:val="1"/>
      </w:numPr>
      <w:pBdr>
        <w:bottom w:val="single" w:sz="6" w:space="1" w:color="auto"/>
      </w:pBdr>
      <w:spacing w:before="0" w:after="240"/>
      <w:outlineLvl w:val="0"/>
    </w:pPr>
    <w:rPr>
      <w:rFonts w:ascii="Arial" w:hAnsi="Arial"/>
      <w:b/>
      <w:bCs/>
      <w:kern w:val="32"/>
      <w:sz w:val="36"/>
      <w:szCs w:val="36"/>
    </w:rPr>
  </w:style>
  <w:style w:type="paragraph" w:styleId="Heading2">
    <w:name w:val="heading 2"/>
    <w:basedOn w:val="Normal"/>
    <w:next w:val="Normal"/>
    <w:link w:val="Heading2Char"/>
    <w:qFormat/>
    <w:rsid w:val="00A451F5"/>
    <w:pPr>
      <w:keepNext/>
      <w:numPr>
        <w:ilvl w:val="1"/>
        <w:numId w:val="1"/>
      </w:numPr>
      <w:spacing w:before="480"/>
      <w:outlineLvl w:val="1"/>
    </w:pPr>
    <w:rPr>
      <w:rFonts w:ascii="Arial" w:hAnsi="Arial"/>
      <w:b/>
      <w:bCs/>
      <w:iCs/>
      <w:sz w:val="28"/>
      <w:szCs w:val="28"/>
    </w:rPr>
  </w:style>
  <w:style w:type="paragraph" w:styleId="Heading3">
    <w:name w:val="heading 3"/>
    <w:basedOn w:val="Normal"/>
    <w:next w:val="Normal"/>
    <w:autoRedefine/>
    <w:qFormat/>
    <w:rsid w:val="00AA6DD5"/>
    <w:pPr>
      <w:keepNext/>
      <w:numPr>
        <w:ilvl w:val="2"/>
        <w:numId w:val="1"/>
      </w:numPr>
      <w:tabs>
        <w:tab w:val="clear" w:pos="0"/>
        <w:tab w:val="num" w:pos="360"/>
      </w:tabs>
      <w:spacing w:before="120" w:after="60"/>
      <w:ind w:hanging="540"/>
      <w:outlineLvl w:val="2"/>
    </w:pPr>
    <w:rPr>
      <w:rFonts w:ascii="Arial" w:hAnsi="Arial"/>
      <w:bCs/>
      <w:i/>
      <w:szCs w:val="26"/>
    </w:rPr>
  </w:style>
  <w:style w:type="paragraph" w:styleId="Heading4">
    <w:name w:val="heading 4"/>
    <w:basedOn w:val="Normal"/>
    <w:next w:val="Normal"/>
    <w:qFormat/>
    <w:rsid w:val="0069777D"/>
    <w:pPr>
      <w:keepNext/>
      <w:numPr>
        <w:ilvl w:val="3"/>
        <w:numId w:val="1"/>
      </w:numPr>
      <w:spacing w:before="240" w:after="60"/>
      <w:outlineLvl w:val="3"/>
    </w:pPr>
    <w:rPr>
      <w:rFonts w:ascii="Cambria" w:hAnsi="Cambria"/>
      <w:b/>
      <w:bCs/>
      <w:i/>
      <w:szCs w:val="28"/>
    </w:rPr>
  </w:style>
  <w:style w:type="paragraph" w:styleId="Heading5">
    <w:name w:val="heading 5"/>
    <w:basedOn w:val="Normal"/>
    <w:next w:val="Normal"/>
    <w:qFormat/>
    <w:rsid w:val="004D2BD0"/>
    <w:pPr>
      <w:numPr>
        <w:ilvl w:val="4"/>
        <w:numId w:val="1"/>
      </w:numPr>
      <w:spacing w:before="240" w:after="60"/>
      <w:outlineLvl w:val="4"/>
    </w:pPr>
    <w:rPr>
      <w:bCs/>
      <w:i/>
      <w:iCs/>
      <w:szCs w:val="26"/>
    </w:rPr>
  </w:style>
  <w:style w:type="paragraph" w:styleId="Heading6">
    <w:name w:val="heading 6"/>
    <w:basedOn w:val="Normal"/>
    <w:next w:val="Normal"/>
    <w:qFormat/>
    <w:rsid w:val="004D2BD0"/>
    <w:pPr>
      <w:numPr>
        <w:ilvl w:val="5"/>
        <w:numId w:val="1"/>
      </w:numPr>
      <w:spacing w:before="240" w:after="60"/>
      <w:outlineLvl w:val="5"/>
    </w:pPr>
    <w:rPr>
      <w:b/>
      <w:bCs/>
    </w:rPr>
  </w:style>
  <w:style w:type="paragraph" w:styleId="Heading7">
    <w:name w:val="heading 7"/>
    <w:basedOn w:val="Heading1"/>
    <w:next w:val="Normal"/>
    <w:qFormat/>
    <w:rsid w:val="004D2BD0"/>
    <w:pPr>
      <w:numPr>
        <w:ilvl w:val="6"/>
      </w:numPr>
      <w:outlineLvl w:val="6"/>
    </w:pPr>
  </w:style>
  <w:style w:type="paragraph" w:styleId="Heading8">
    <w:name w:val="heading 8"/>
    <w:basedOn w:val="Heading2"/>
    <w:next w:val="Normal"/>
    <w:qFormat/>
    <w:rsid w:val="006E227C"/>
    <w:pPr>
      <w:numPr>
        <w:ilvl w:val="0"/>
        <w:numId w:val="0"/>
      </w:numPr>
      <w:outlineLvl w:val="7"/>
    </w:pPr>
  </w:style>
  <w:style w:type="paragraph" w:styleId="Heading9">
    <w:name w:val="heading 9"/>
    <w:basedOn w:val="Heading3"/>
    <w:next w:val="Normal"/>
    <w:qFormat/>
    <w:rsid w:val="004D2BD0"/>
    <w:pPr>
      <w:numPr>
        <w:ilvl w:val="8"/>
      </w:numPr>
      <w:tabs>
        <w:tab w:val="clear" w:pos="864"/>
        <w:tab w:val="num" w:pos="720"/>
      </w:tabs>
      <w:ind w:left="0"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uiPriority w:val="99"/>
    <w:rsid w:val="007E04AC"/>
    <w:pPr>
      <w:ind w:right="360"/>
    </w:pPr>
  </w:style>
  <w:style w:type="paragraph" w:styleId="Footer">
    <w:name w:val="footer"/>
    <w:basedOn w:val="Normal"/>
    <w:link w:val="FooterChar"/>
    <w:uiPriority w:val="99"/>
    <w:rsid w:val="00A227AE"/>
    <w:pPr>
      <w:tabs>
        <w:tab w:val="center" w:pos="4320"/>
        <w:tab w:val="right" w:pos="8640"/>
      </w:tabs>
      <w:spacing w:before="40" w:after="0"/>
      <w:contextualSpacing/>
    </w:pPr>
    <w:rPr>
      <w:i/>
      <w:sz w:val="16"/>
    </w:rPr>
  </w:style>
  <w:style w:type="paragraph" w:styleId="DocumentMap">
    <w:name w:val="Document Map"/>
    <w:basedOn w:val="Normal"/>
    <w:semiHidden/>
    <w:rsid w:val="001C01A6"/>
    <w:pPr>
      <w:shd w:val="clear" w:color="auto" w:fill="000080"/>
    </w:pPr>
    <w:rPr>
      <w:rFonts w:ascii="Tahoma" w:hAnsi="Tahoma" w:cs="Tahoma"/>
    </w:rPr>
  </w:style>
  <w:style w:type="table" w:styleId="TableGrid">
    <w:name w:val="Table Grid"/>
    <w:basedOn w:val="TableNormal"/>
    <w:uiPriority w:val="59"/>
    <w:rsid w:val="001C01A6"/>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nt">
    <w:name w:val="Table Font"/>
    <w:basedOn w:val="Normal"/>
    <w:rsid w:val="00664330"/>
    <w:pPr>
      <w:spacing w:before="40" w:after="40"/>
    </w:pPr>
    <w:rPr>
      <w:rFonts w:ascii="Cambria" w:hAnsi="Cambria"/>
    </w:rPr>
  </w:style>
  <w:style w:type="character" w:styleId="PageNumber">
    <w:name w:val="page number"/>
    <w:rsid w:val="00D4126B"/>
    <w:rPr>
      <w:rFonts w:ascii="Arial" w:hAnsi="Arial"/>
      <w:b/>
      <w:i/>
      <w:sz w:val="28"/>
    </w:rPr>
  </w:style>
  <w:style w:type="paragraph" w:styleId="Caption">
    <w:name w:val="caption"/>
    <w:basedOn w:val="Normal"/>
    <w:next w:val="Normal"/>
    <w:uiPriority w:val="35"/>
    <w:qFormat/>
    <w:rsid w:val="00343C62"/>
    <w:pPr>
      <w:jc w:val="center"/>
    </w:pPr>
    <w:rPr>
      <w:b/>
      <w:bCs/>
    </w:rPr>
  </w:style>
  <w:style w:type="character" w:styleId="Hyperlink">
    <w:name w:val="Hyperlink"/>
    <w:uiPriority w:val="99"/>
    <w:rsid w:val="00675338"/>
    <w:rPr>
      <w:color w:val="0000FF"/>
      <w:u w:val="single"/>
    </w:rPr>
  </w:style>
  <w:style w:type="character" w:styleId="FollowedHyperlink">
    <w:name w:val="FollowedHyperlink"/>
    <w:uiPriority w:val="99"/>
    <w:rsid w:val="00675338"/>
    <w:rPr>
      <w:color w:val="800080"/>
      <w:u w:val="single"/>
    </w:rPr>
  </w:style>
  <w:style w:type="paragraph" w:customStyle="1" w:styleId="NoNumber3">
    <w:name w:val="No Number 3"/>
    <w:basedOn w:val="Heading3"/>
    <w:next w:val="Normal"/>
    <w:rsid w:val="008E682A"/>
    <w:pPr>
      <w:numPr>
        <w:ilvl w:val="0"/>
        <w:numId w:val="0"/>
      </w:numPr>
    </w:pPr>
  </w:style>
  <w:style w:type="paragraph" w:customStyle="1" w:styleId="NoNumber4">
    <w:name w:val="No Number 4"/>
    <w:basedOn w:val="Heading4"/>
    <w:next w:val="Normal"/>
    <w:rsid w:val="008E682A"/>
    <w:pPr>
      <w:numPr>
        <w:ilvl w:val="0"/>
        <w:numId w:val="0"/>
      </w:numPr>
    </w:pPr>
  </w:style>
  <w:style w:type="paragraph" w:styleId="TOC1">
    <w:name w:val="toc 1"/>
    <w:basedOn w:val="Normal"/>
    <w:next w:val="Normal"/>
    <w:autoRedefine/>
    <w:uiPriority w:val="39"/>
    <w:qFormat/>
    <w:rsid w:val="00AA6DD5"/>
    <w:pPr>
      <w:tabs>
        <w:tab w:val="left" w:pos="480"/>
        <w:tab w:val="right" w:leader="dot" w:pos="9360"/>
      </w:tabs>
    </w:pPr>
    <w:rPr>
      <w:rFonts w:ascii="Arial" w:hAnsi="Arial"/>
      <w:b/>
      <w:bCs/>
      <w:caps/>
      <w:noProof/>
      <w:szCs w:val="24"/>
    </w:rPr>
  </w:style>
  <w:style w:type="paragraph" w:styleId="TOC2">
    <w:name w:val="toc 2"/>
    <w:basedOn w:val="Normal"/>
    <w:next w:val="Normal"/>
    <w:autoRedefine/>
    <w:uiPriority w:val="39"/>
    <w:qFormat/>
    <w:rsid w:val="00C71290"/>
    <w:pPr>
      <w:tabs>
        <w:tab w:val="left" w:pos="990"/>
        <w:tab w:val="right" w:leader="dot" w:pos="8630"/>
      </w:tabs>
      <w:spacing w:before="0" w:after="0" w:line="276" w:lineRule="auto"/>
      <w:ind w:left="245"/>
    </w:pPr>
    <w:rPr>
      <w:smallCaps/>
    </w:rPr>
  </w:style>
  <w:style w:type="paragraph" w:styleId="TOC3">
    <w:name w:val="toc 3"/>
    <w:basedOn w:val="Normal"/>
    <w:next w:val="Normal"/>
    <w:autoRedefine/>
    <w:uiPriority w:val="39"/>
    <w:qFormat/>
    <w:rsid w:val="00FC1F9E"/>
    <w:pPr>
      <w:spacing w:before="0" w:after="0"/>
      <w:ind w:left="480"/>
    </w:pPr>
    <w:rPr>
      <w:i/>
      <w:iCs/>
    </w:rPr>
  </w:style>
  <w:style w:type="paragraph" w:styleId="TOC4">
    <w:name w:val="toc 4"/>
    <w:basedOn w:val="Normal"/>
    <w:next w:val="Normal"/>
    <w:autoRedefine/>
    <w:uiPriority w:val="39"/>
    <w:rsid w:val="00FC1F9E"/>
    <w:pPr>
      <w:spacing w:before="0" w:after="0"/>
      <w:ind w:left="720"/>
    </w:pPr>
    <w:rPr>
      <w:sz w:val="18"/>
      <w:szCs w:val="18"/>
    </w:rPr>
  </w:style>
  <w:style w:type="paragraph" w:styleId="TOC5">
    <w:name w:val="toc 5"/>
    <w:basedOn w:val="Normal"/>
    <w:next w:val="Normal"/>
    <w:autoRedefine/>
    <w:uiPriority w:val="39"/>
    <w:rsid w:val="00FC1F9E"/>
    <w:pPr>
      <w:spacing w:before="0" w:after="0"/>
      <w:ind w:left="960"/>
    </w:pPr>
    <w:rPr>
      <w:sz w:val="18"/>
      <w:szCs w:val="18"/>
    </w:rPr>
  </w:style>
  <w:style w:type="paragraph" w:styleId="TOC6">
    <w:name w:val="toc 6"/>
    <w:basedOn w:val="Normal"/>
    <w:next w:val="Normal"/>
    <w:autoRedefine/>
    <w:uiPriority w:val="39"/>
    <w:rsid w:val="00FC1F9E"/>
    <w:pPr>
      <w:spacing w:before="0" w:after="0"/>
      <w:ind w:left="1200"/>
    </w:pPr>
    <w:rPr>
      <w:sz w:val="18"/>
      <w:szCs w:val="18"/>
    </w:rPr>
  </w:style>
  <w:style w:type="paragraph" w:styleId="TOC7">
    <w:name w:val="toc 7"/>
    <w:basedOn w:val="Normal"/>
    <w:next w:val="Normal"/>
    <w:autoRedefine/>
    <w:uiPriority w:val="39"/>
    <w:rsid w:val="00FC1F9E"/>
    <w:pPr>
      <w:spacing w:before="0" w:after="0"/>
      <w:ind w:left="1440"/>
    </w:pPr>
    <w:rPr>
      <w:sz w:val="18"/>
      <w:szCs w:val="18"/>
    </w:rPr>
  </w:style>
  <w:style w:type="paragraph" w:styleId="TOC8">
    <w:name w:val="toc 8"/>
    <w:basedOn w:val="Normal"/>
    <w:next w:val="Normal"/>
    <w:autoRedefine/>
    <w:uiPriority w:val="39"/>
    <w:rsid w:val="00FC1F9E"/>
    <w:pPr>
      <w:spacing w:before="0" w:after="0"/>
      <w:ind w:left="1680"/>
    </w:pPr>
    <w:rPr>
      <w:sz w:val="18"/>
      <w:szCs w:val="18"/>
    </w:rPr>
  </w:style>
  <w:style w:type="paragraph" w:styleId="TOC9">
    <w:name w:val="toc 9"/>
    <w:basedOn w:val="Normal"/>
    <w:next w:val="Normal"/>
    <w:autoRedefine/>
    <w:uiPriority w:val="39"/>
    <w:rsid w:val="00FC1F9E"/>
    <w:pPr>
      <w:spacing w:before="0" w:after="0"/>
      <w:ind w:left="1920"/>
    </w:pPr>
    <w:rPr>
      <w:sz w:val="18"/>
      <w:szCs w:val="18"/>
    </w:rPr>
  </w:style>
  <w:style w:type="paragraph" w:customStyle="1" w:styleId="NoTOCHeading">
    <w:name w:val="No TOC Heading"/>
    <w:basedOn w:val="Normal"/>
    <w:next w:val="Normal"/>
    <w:link w:val="NoTOCHeadingCharChar"/>
    <w:rsid w:val="00343C62"/>
    <w:pPr>
      <w:pageBreakBefore/>
      <w:pBdr>
        <w:bottom w:val="single" w:sz="6" w:space="1" w:color="auto"/>
      </w:pBdr>
      <w:spacing w:before="720" w:after="480"/>
      <w:ind w:left="-720"/>
    </w:pPr>
    <w:rPr>
      <w:rFonts w:ascii="Cambria" w:hAnsi="Cambria"/>
      <w:b/>
      <w:i/>
      <w:color w:val="365F91"/>
      <w:sz w:val="48"/>
      <w:szCs w:val="36"/>
    </w:rPr>
  </w:style>
  <w:style w:type="character" w:customStyle="1" w:styleId="NoTOCHeadingCharChar">
    <w:name w:val="No TOC Heading Char Char"/>
    <w:link w:val="NoTOCHeading"/>
    <w:rsid w:val="00343C62"/>
    <w:rPr>
      <w:rFonts w:ascii="Cambria" w:hAnsi="Cambria"/>
      <w:b/>
      <w:i/>
      <w:color w:val="365F91"/>
      <w:sz w:val="48"/>
      <w:szCs w:val="36"/>
    </w:rPr>
  </w:style>
  <w:style w:type="paragraph" w:customStyle="1" w:styleId="BulletsLevel1">
    <w:name w:val="Bullets Level 1"/>
    <w:basedOn w:val="Normal"/>
    <w:rsid w:val="00305EE0"/>
    <w:pPr>
      <w:numPr>
        <w:numId w:val="2"/>
      </w:numPr>
    </w:pPr>
  </w:style>
  <w:style w:type="paragraph" w:customStyle="1" w:styleId="BulletsLevel2">
    <w:name w:val="Bullets Level 2"/>
    <w:basedOn w:val="BulletsLevel1"/>
    <w:rsid w:val="00305EE0"/>
    <w:pPr>
      <w:numPr>
        <w:ilvl w:val="1"/>
      </w:numPr>
    </w:pPr>
  </w:style>
  <w:style w:type="paragraph" w:customStyle="1" w:styleId="NoNumber1">
    <w:name w:val="No Number 1"/>
    <w:basedOn w:val="Heading1"/>
    <w:next w:val="Normal"/>
    <w:link w:val="NoNumber1Char"/>
    <w:rsid w:val="00C82BAF"/>
    <w:pPr>
      <w:numPr>
        <w:numId w:val="0"/>
      </w:numPr>
      <w:ind w:hanging="720"/>
    </w:pPr>
  </w:style>
  <w:style w:type="paragraph" w:customStyle="1" w:styleId="NoNumber2">
    <w:name w:val="No Number 2"/>
    <w:basedOn w:val="Heading2"/>
    <w:next w:val="Normal"/>
    <w:link w:val="NoNumber2Char"/>
    <w:rsid w:val="00C82BAF"/>
    <w:pPr>
      <w:numPr>
        <w:ilvl w:val="0"/>
        <w:numId w:val="0"/>
      </w:numPr>
      <w:ind w:hanging="720"/>
    </w:pPr>
  </w:style>
  <w:style w:type="paragraph" w:customStyle="1" w:styleId="NoNumber5">
    <w:name w:val="No Number 5"/>
    <w:basedOn w:val="Heading5"/>
    <w:next w:val="Normal"/>
    <w:rsid w:val="008E682A"/>
    <w:pPr>
      <w:numPr>
        <w:ilvl w:val="0"/>
        <w:numId w:val="0"/>
      </w:numPr>
    </w:pPr>
  </w:style>
  <w:style w:type="paragraph" w:customStyle="1" w:styleId="NoNumber6">
    <w:name w:val="No Number 6"/>
    <w:basedOn w:val="Heading6"/>
    <w:next w:val="Normal"/>
    <w:rsid w:val="008E682A"/>
    <w:pPr>
      <w:numPr>
        <w:ilvl w:val="0"/>
        <w:numId w:val="0"/>
      </w:numPr>
    </w:pPr>
  </w:style>
  <w:style w:type="paragraph" w:styleId="Title">
    <w:name w:val="Title"/>
    <w:basedOn w:val="Normal"/>
    <w:qFormat/>
    <w:rsid w:val="00FA6227"/>
    <w:pPr>
      <w:spacing w:before="240" w:after="60"/>
      <w:jc w:val="right"/>
      <w:outlineLvl w:val="0"/>
    </w:pPr>
    <w:rPr>
      <w:rFonts w:ascii="Arial Bold" w:hAnsi="Arial Bold"/>
      <w:b/>
      <w:bCs/>
      <w:caps/>
      <w:kern w:val="28"/>
      <w:sz w:val="48"/>
      <w:szCs w:val="32"/>
    </w:rPr>
  </w:style>
  <w:style w:type="paragraph" w:customStyle="1" w:styleId="TitlePageText">
    <w:name w:val="Title Page Text"/>
    <w:basedOn w:val="Normal"/>
    <w:rsid w:val="00971E85"/>
    <w:pPr>
      <w:spacing w:before="60" w:after="60"/>
    </w:pPr>
  </w:style>
  <w:style w:type="paragraph" w:customStyle="1" w:styleId="NumberedList">
    <w:name w:val="Numbered List"/>
    <w:basedOn w:val="BulletsLevel1"/>
    <w:rsid w:val="00B26C73"/>
    <w:pPr>
      <w:numPr>
        <w:numId w:val="3"/>
      </w:numPr>
    </w:pPr>
  </w:style>
  <w:style w:type="paragraph" w:customStyle="1" w:styleId="NumberedListLevel2">
    <w:name w:val="Numbered List Level 2"/>
    <w:basedOn w:val="NumberedList"/>
    <w:rsid w:val="001A118E"/>
    <w:pPr>
      <w:numPr>
        <w:ilvl w:val="1"/>
      </w:numPr>
      <w:tabs>
        <w:tab w:val="clear" w:pos="1440"/>
        <w:tab w:val="num" w:pos="1080"/>
      </w:tabs>
      <w:ind w:left="1080"/>
    </w:pPr>
  </w:style>
  <w:style w:type="character" w:styleId="CommentReference">
    <w:name w:val="annotation reference"/>
    <w:semiHidden/>
    <w:rsid w:val="00D50EDA"/>
    <w:rPr>
      <w:sz w:val="16"/>
      <w:szCs w:val="16"/>
    </w:rPr>
  </w:style>
  <w:style w:type="paragraph" w:styleId="CommentText">
    <w:name w:val="annotation text"/>
    <w:basedOn w:val="Normal"/>
    <w:link w:val="CommentTextChar"/>
    <w:semiHidden/>
    <w:rsid w:val="00D50EDA"/>
  </w:style>
  <w:style w:type="paragraph" w:styleId="CommentSubject">
    <w:name w:val="annotation subject"/>
    <w:basedOn w:val="CommentText"/>
    <w:next w:val="CommentText"/>
    <w:semiHidden/>
    <w:rsid w:val="00D50EDA"/>
    <w:rPr>
      <w:b/>
      <w:bCs/>
    </w:rPr>
  </w:style>
  <w:style w:type="paragraph" w:styleId="BalloonText">
    <w:name w:val="Balloon Text"/>
    <w:basedOn w:val="Normal"/>
    <w:semiHidden/>
    <w:rsid w:val="00D50EDA"/>
    <w:rPr>
      <w:rFonts w:ascii="Tahoma" w:hAnsi="Tahoma" w:cs="Tahoma"/>
      <w:sz w:val="16"/>
      <w:szCs w:val="16"/>
    </w:rPr>
  </w:style>
  <w:style w:type="paragraph" w:styleId="EndnoteText">
    <w:name w:val="endnote text"/>
    <w:basedOn w:val="Normal"/>
    <w:semiHidden/>
    <w:rsid w:val="00A421A5"/>
  </w:style>
  <w:style w:type="character" w:styleId="EndnoteReference">
    <w:name w:val="endnote reference"/>
    <w:semiHidden/>
    <w:rsid w:val="00A421A5"/>
    <w:rPr>
      <w:vertAlign w:val="superscript"/>
    </w:rPr>
  </w:style>
  <w:style w:type="paragraph" w:customStyle="1" w:styleId="NoTOCHeading2">
    <w:name w:val="No TOC Heading 2"/>
    <w:basedOn w:val="NoTOCHeading"/>
    <w:next w:val="Normal"/>
    <w:qFormat/>
    <w:rsid w:val="00936C41"/>
    <w:pPr>
      <w:pageBreakBefore w:val="0"/>
      <w:pBdr>
        <w:bottom w:val="none" w:sz="0" w:space="0" w:color="auto"/>
      </w:pBdr>
      <w:spacing w:before="480" w:after="140"/>
    </w:pPr>
    <w:rPr>
      <w:sz w:val="32"/>
      <w:szCs w:val="32"/>
    </w:rPr>
  </w:style>
  <w:style w:type="paragraph" w:styleId="ListParagraph">
    <w:name w:val="List Paragraph"/>
    <w:basedOn w:val="Normal"/>
    <w:uiPriority w:val="34"/>
    <w:qFormat/>
    <w:rsid w:val="00664330"/>
    <w:pPr>
      <w:spacing w:before="0" w:after="200" w:line="276" w:lineRule="auto"/>
      <w:ind w:left="720"/>
      <w:contextualSpacing/>
    </w:pPr>
    <w:rPr>
      <w:rFonts w:eastAsia="Calibri"/>
    </w:rPr>
  </w:style>
  <w:style w:type="paragraph" w:customStyle="1" w:styleId="TableHeader">
    <w:name w:val="Table Header"/>
    <w:basedOn w:val="Normal"/>
    <w:link w:val="TableHeaderChar"/>
    <w:qFormat/>
    <w:rsid w:val="00D83E48"/>
    <w:pPr>
      <w:keepNext/>
      <w:spacing w:beforeLines="20" w:afterLines="20"/>
      <w:jc w:val="center"/>
    </w:pPr>
    <w:rPr>
      <w:rFonts w:ascii="Cambria" w:hAnsi="Cambria"/>
      <w:b/>
      <w:bCs/>
      <w:i/>
      <w:color w:val="333399"/>
    </w:rPr>
  </w:style>
  <w:style w:type="paragraph" w:customStyle="1" w:styleId="TableBody">
    <w:name w:val="Table Body"/>
    <w:basedOn w:val="Normal"/>
    <w:link w:val="TableBodyChar"/>
    <w:qFormat/>
    <w:rsid w:val="00D83E48"/>
    <w:pPr>
      <w:spacing w:beforeLines="20" w:afterLines="20"/>
    </w:pPr>
  </w:style>
  <w:style w:type="character" w:customStyle="1" w:styleId="TableHeaderChar">
    <w:name w:val="Table Header Char"/>
    <w:link w:val="TableHeader"/>
    <w:rsid w:val="00D83E48"/>
    <w:rPr>
      <w:rFonts w:ascii="Cambria" w:hAnsi="Cambria"/>
      <w:b/>
      <w:bCs/>
      <w:i/>
      <w:color w:val="333399"/>
      <w:sz w:val="22"/>
      <w:szCs w:val="24"/>
    </w:rPr>
  </w:style>
  <w:style w:type="paragraph" w:styleId="FootnoteText">
    <w:name w:val="footnote text"/>
    <w:basedOn w:val="Normal"/>
    <w:link w:val="FootnoteTextChar"/>
    <w:uiPriority w:val="99"/>
    <w:unhideWhenUsed/>
    <w:rsid w:val="006B6DD9"/>
    <w:pPr>
      <w:spacing w:before="120" w:after="120" w:line="240" w:lineRule="auto"/>
    </w:pPr>
    <w:rPr>
      <w:rFonts w:eastAsia="Calibri"/>
      <w:sz w:val="22"/>
    </w:rPr>
  </w:style>
  <w:style w:type="character" w:customStyle="1" w:styleId="TableBodyChar">
    <w:name w:val="Table Body Char"/>
    <w:link w:val="TableBody"/>
    <w:rsid w:val="00D83E48"/>
    <w:rPr>
      <w:rFonts w:ascii="Calibri" w:hAnsi="Calibri"/>
      <w:szCs w:val="24"/>
    </w:rPr>
  </w:style>
  <w:style w:type="character" w:customStyle="1" w:styleId="FootnoteTextChar">
    <w:name w:val="Footnote Text Char"/>
    <w:link w:val="FootnoteText"/>
    <w:uiPriority w:val="99"/>
    <w:rsid w:val="006B6DD9"/>
    <w:rPr>
      <w:rFonts w:eastAsia="Calibri" w:cs="Arial"/>
      <w:sz w:val="22"/>
      <w:szCs w:val="22"/>
    </w:rPr>
  </w:style>
  <w:style w:type="character" w:styleId="FootnoteReference">
    <w:name w:val="footnote reference"/>
    <w:uiPriority w:val="99"/>
    <w:unhideWhenUsed/>
    <w:rsid w:val="00882411"/>
    <w:rPr>
      <w:vertAlign w:val="superscript"/>
    </w:rPr>
  </w:style>
  <w:style w:type="paragraph" w:styleId="NormalWeb">
    <w:name w:val="Normal (Web)"/>
    <w:basedOn w:val="Normal"/>
    <w:unhideWhenUsed/>
    <w:rsid w:val="00D938A2"/>
    <w:pPr>
      <w:spacing w:before="100" w:beforeAutospacing="1" w:after="100" w:afterAutospacing="1"/>
    </w:pPr>
    <w:rPr>
      <w:lang w:bidi="th-TH"/>
    </w:rPr>
  </w:style>
  <w:style w:type="paragraph" w:customStyle="1" w:styleId="xl65">
    <w:name w:val="xl65"/>
    <w:basedOn w:val="Normal"/>
    <w:rsid w:val="00296C1A"/>
    <w:pPr>
      <w:spacing w:before="100" w:beforeAutospacing="1" w:after="100" w:afterAutospacing="1"/>
      <w:jc w:val="center"/>
      <w:textAlignment w:val="center"/>
    </w:pPr>
  </w:style>
  <w:style w:type="paragraph" w:customStyle="1" w:styleId="xl66">
    <w:name w:val="xl66"/>
    <w:basedOn w:val="Normal"/>
    <w:rsid w:val="00296C1A"/>
    <w:pPr>
      <w:spacing w:before="100" w:beforeAutospacing="1" w:after="100" w:afterAutospacing="1"/>
      <w:textAlignment w:val="center"/>
    </w:pPr>
  </w:style>
  <w:style w:type="paragraph" w:customStyle="1" w:styleId="xl67">
    <w:name w:val="xl67"/>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69">
    <w:name w:val="xl69"/>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70">
    <w:name w:val="xl70"/>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Normal"/>
    <w:rsid w:val="00296C1A"/>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b/>
      <w:bCs/>
    </w:rPr>
  </w:style>
  <w:style w:type="paragraph" w:customStyle="1" w:styleId="xl72">
    <w:name w:val="xl72"/>
    <w:basedOn w:val="Normal"/>
    <w:rsid w:val="00296C1A"/>
    <w:pPr>
      <w:pBdr>
        <w:top w:val="single" w:sz="4" w:space="0" w:color="auto"/>
        <w:bottom w:val="single" w:sz="4" w:space="0" w:color="auto"/>
      </w:pBdr>
      <w:shd w:val="clear" w:color="000000" w:fill="FFFF99"/>
      <w:spacing w:before="100" w:beforeAutospacing="1" w:after="100" w:afterAutospacing="1"/>
      <w:textAlignment w:val="center"/>
    </w:pPr>
    <w:rPr>
      <w:b/>
      <w:bCs/>
    </w:rPr>
  </w:style>
  <w:style w:type="paragraph" w:customStyle="1" w:styleId="xl73">
    <w:name w:val="xl73"/>
    <w:basedOn w:val="Normal"/>
    <w:rsid w:val="00296C1A"/>
    <w:pPr>
      <w:pBdr>
        <w:top w:val="single" w:sz="4" w:space="0" w:color="auto"/>
        <w:bottom w:val="single" w:sz="4" w:space="0" w:color="auto"/>
      </w:pBdr>
      <w:shd w:val="clear" w:color="000000" w:fill="FFFF99"/>
      <w:spacing w:before="100" w:beforeAutospacing="1" w:after="100" w:afterAutospacing="1"/>
      <w:jc w:val="center"/>
      <w:textAlignment w:val="center"/>
    </w:pPr>
    <w:rPr>
      <w:b/>
      <w:bCs/>
    </w:rPr>
  </w:style>
  <w:style w:type="paragraph" w:customStyle="1" w:styleId="xl74">
    <w:name w:val="xl74"/>
    <w:basedOn w:val="Normal"/>
    <w:rsid w:val="00296C1A"/>
    <w:pPr>
      <w:spacing w:before="100" w:beforeAutospacing="1" w:after="100" w:afterAutospacing="1"/>
      <w:textAlignment w:val="center"/>
    </w:pPr>
    <w:rPr>
      <w:sz w:val="18"/>
      <w:szCs w:val="18"/>
    </w:rPr>
  </w:style>
  <w:style w:type="paragraph" w:customStyle="1" w:styleId="xl75">
    <w:name w:val="xl75"/>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Normal"/>
    <w:rsid w:val="00296C1A"/>
    <w:pPr>
      <w:pBdr>
        <w:top w:val="single" w:sz="4" w:space="0" w:color="auto"/>
        <w:bottom w:val="single" w:sz="4" w:space="0" w:color="auto"/>
      </w:pBdr>
      <w:spacing w:before="100" w:beforeAutospacing="1" w:after="100" w:afterAutospacing="1"/>
      <w:jc w:val="center"/>
      <w:textAlignment w:val="center"/>
    </w:pPr>
  </w:style>
  <w:style w:type="paragraph" w:customStyle="1" w:styleId="xl78">
    <w:name w:val="xl78"/>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79">
    <w:name w:val="xl79"/>
    <w:basedOn w:val="Normal"/>
    <w:rsid w:val="00296C1A"/>
    <w:pPr>
      <w:spacing w:before="100" w:beforeAutospacing="1" w:after="100" w:afterAutospacing="1"/>
      <w:textAlignment w:val="center"/>
    </w:pPr>
    <w:rPr>
      <w:b/>
      <w:bCs/>
    </w:rPr>
  </w:style>
  <w:style w:type="paragraph" w:customStyle="1" w:styleId="xl80">
    <w:name w:val="xl80"/>
    <w:basedOn w:val="Normal"/>
    <w:rsid w:val="00296C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1">
    <w:name w:val="xl81"/>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
    <w:name w:val="xl82"/>
    <w:basedOn w:val="Normal"/>
    <w:rsid w:val="00296C1A"/>
    <w:pPr>
      <w:spacing w:before="100" w:beforeAutospacing="1" w:after="100" w:afterAutospacing="1"/>
      <w:textAlignment w:val="center"/>
    </w:pPr>
  </w:style>
  <w:style w:type="paragraph" w:customStyle="1" w:styleId="xl83">
    <w:name w:val="xl83"/>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5">
    <w:name w:val="xl85"/>
    <w:basedOn w:val="Normal"/>
    <w:rsid w:val="00296C1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86">
    <w:name w:val="xl86"/>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7">
    <w:name w:val="xl87"/>
    <w:basedOn w:val="Normal"/>
    <w:rsid w:val="00296C1A"/>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88">
    <w:name w:val="xl88"/>
    <w:basedOn w:val="Normal"/>
    <w:rsid w:val="00296C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Normal"/>
    <w:rsid w:val="00296C1A"/>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92">
    <w:name w:val="xl92"/>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93">
    <w:name w:val="xl93"/>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94">
    <w:name w:val="xl94"/>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95">
    <w:name w:val="xl95"/>
    <w:basedOn w:val="Normal"/>
    <w:rsid w:val="00296C1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96">
    <w:name w:val="xl96"/>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97">
    <w:name w:val="xl97"/>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6"/>
      <w:szCs w:val="16"/>
    </w:rPr>
  </w:style>
  <w:style w:type="paragraph" w:customStyle="1" w:styleId="xl98">
    <w:name w:val="xl98"/>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99">
    <w:name w:val="xl99"/>
    <w:basedOn w:val="Normal"/>
    <w:rsid w:val="00296C1A"/>
    <w:pPr>
      <w:pBdr>
        <w:top w:val="single" w:sz="4" w:space="0" w:color="auto"/>
        <w:bottom w:val="single" w:sz="4" w:space="0" w:color="auto"/>
      </w:pBdr>
      <w:spacing w:before="100" w:beforeAutospacing="1" w:after="100" w:afterAutospacing="1"/>
      <w:textAlignment w:val="center"/>
    </w:pPr>
    <w:rPr>
      <w:b/>
      <w:bCs/>
    </w:rPr>
  </w:style>
  <w:style w:type="paragraph" w:customStyle="1" w:styleId="xl100">
    <w:name w:val="xl100"/>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Default">
    <w:name w:val="Default"/>
    <w:rsid w:val="00B05BEE"/>
    <w:pPr>
      <w:autoSpaceDE w:val="0"/>
      <w:autoSpaceDN w:val="0"/>
      <w:adjustRightInd w:val="0"/>
    </w:pPr>
    <w:rPr>
      <w:rFonts w:ascii="Arial" w:eastAsia="Calibri" w:hAnsi="Arial" w:cs="Arial"/>
      <w:color w:val="000000"/>
      <w:sz w:val="24"/>
      <w:szCs w:val="24"/>
    </w:rPr>
  </w:style>
  <w:style w:type="paragraph" w:customStyle="1" w:styleId="Heading11">
    <w:name w:val="Heading 1.1"/>
    <w:basedOn w:val="NoNumber1"/>
    <w:link w:val="Heading11Char"/>
    <w:rsid w:val="00E67EFB"/>
  </w:style>
  <w:style w:type="paragraph" w:customStyle="1" w:styleId="Heading31">
    <w:name w:val="Heading 3.1"/>
    <w:basedOn w:val="NoNumber2"/>
    <w:link w:val="Heading31Char"/>
    <w:qFormat/>
    <w:rsid w:val="00E67EFB"/>
  </w:style>
  <w:style w:type="character" w:customStyle="1" w:styleId="Heading1Char">
    <w:name w:val="Heading 1 Char"/>
    <w:basedOn w:val="DefaultParagraphFont"/>
    <w:link w:val="Heading1"/>
    <w:rsid w:val="00A451F5"/>
    <w:rPr>
      <w:rFonts w:ascii="Arial" w:hAnsi="Arial" w:cs="Arial"/>
      <w:b/>
      <w:bCs/>
      <w:kern w:val="32"/>
      <w:sz w:val="36"/>
      <w:szCs w:val="36"/>
    </w:rPr>
  </w:style>
  <w:style w:type="character" w:customStyle="1" w:styleId="NoNumber1Char">
    <w:name w:val="No Number 1 Char"/>
    <w:basedOn w:val="Heading1Char"/>
    <w:link w:val="NoNumber1"/>
    <w:rsid w:val="00E67EFB"/>
    <w:rPr>
      <w:rFonts w:ascii="Cambria" w:hAnsi="Cambria" w:cs="Arial"/>
      <w:b/>
      <w:bCs/>
      <w:i/>
      <w:color w:val="365F91"/>
      <w:kern w:val="32"/>
      <w:sz w:val="48"/>
      <w:szCs w:val="32"/>
    </w:rPr>
  </w:style>
  <w:style w:type="character" w:customStyle="1" w:styleId="Heading11Char">
    <w:name w:val="Heading 1.1 Char"/>
    <w:basedOn w:val="NoNumber1Char"/>
    <w:link w:val="Heading11"/>
    <w:rsid w:val="00E67EFB"/>
    <w:rPr>
      <w:rFonts w:ascii="Cambria" w:hAnsi="Cambria" w:cs="Arial"/>
      <w:b/>
      <w:bCs/>
      <w:i/>
      <w:color w:val="365F91"/>
      <w:kern w:val="32"/>
      <w:sz w:val="48"/>
      <w:szCs w:val="32"/>
    </w:rPr>
  </w:style>
  <w:style w:type="paragraph" w:customStyle="1" w:styleId="CharCharChar">
    <w:name w:val="Char Char Char"/>
    <w:basedOn w:val="Normal"/>
    <w:rsid w:val="00C5171F"/>
    <w:pPr>
      <w:spacing w:before="0" w:after="160" w:line="240" w:lineRule="exact"/>
    </w:pPr>
  </w:style>
  <w:style w:type="character" w:customStyle="1" w:styleId="Heading2Char">
    <w:name w:val="Heading 2 Char"/>
    <w:basedOn w:val="DefaultParagraphFont"/>
    <w:link w:val="Heading2"/>
    <w:rsid w:val="00A451F5"/>
    <w:rPr>
      <w:rFonts w:ascii="Arial" w:hAnsi="Arial" w:cs="Arial"/>
      <w:b/>
      <w:bCs/>
      <w:iCs/>
      <w:sz w:val="28"/>
      <w:szCs w:val="28"/>
    </w:rPr>
  </w:style>
  <w:style w:type="character" w:customStyle="1" w:styleId="NoNumber2Char">
    <w:name w:val="No Number 2 Char"/>
    <w:basedOn w:val="Heading2Char"/>
    <w:link w:val="NoNumber2"/>
    <w:rsid w:val="00E67EFB"/>
    <w:rPr>
      <w:rFonts w:ascii="Cambria" w:hAnsi="Cambria" w:cs="Arial"/>
      <w:b/>
      <w:bCs/>
      <w:i/>
      <w:iCs/>
      <w:color w:val="365F91"/>
      <w:sz w:val="32"/>
      <w:szCs w:val="28"/>
    </w:rPr>
  </w:style>
  <w:style w:type="character" w:customStyle="1" w:styleId="Heading31Char">
    <w:name w:val="Heading 3.1 Char"/>
    <w:basedOn w:val="NoNumber2Char"/>
    <w:link w:val="Heading31"/>
    <w:rsid w:val="00E67EFB"/>
    <w:rPr>
      <w:rFonts w:ascii="Cambria" w:hAnsi="Cambria" w:cs="Arial"/>
      <w:b/>
      <w:bCs/>
      <w:i/>
      <w:iCs/>
      <w:color w:val="365F91"/>
      <w:sz w:val="32"/>
      <w:szCs w:val="28"/>
    </w:rPr>
  </w:style>
  <w:style w:type="paragraph" w:styleId="PlainText">
    <w:name w:val="Plain Text"/>
    <w:basedOn w:val="Normal"/>
    <w:link w:val="PlainTextChar"/>
    <w:uiPriority w:val="99"/>
    <w:unhideWhenUsed/>
    <w:rsid w:val="0075321B"/>
    <w:pPr>
      <w:spacing w:before="0" w:after="0"/>
    </w:pPr>
    <w:rPr>
      <w:rFonts w:ascii="Consolas" w:eastAsia="Calibri" w:hAnsi="Consolas"/>
      <w:sz w:val="21"/>
      <w:szCs w:val="21"/>
    </w:rPr>
  </w:style>
  <w:style w:type="character" w:customStyle="1" w:styleId="PlainTextChar">
    <w:name w:val="Plain Text Char"/>
    <w:basedOn w:val="DefaultParagraphFont"/>
    <w:link w:val="PlainText"/>
    <w:uiPriority w:val="99"/>
    <w:rsid w:val="0075321B"/>
    <w:rPr>
      <w:rFonts w:ascii="Consolas" w:eastAsia="Calibri" w:hAnsi="Consolas"/>
      <w:sz w:val="21"/>
      <w:szCs w:val="21"/>
    </w:rPr>
  </w:style>
  <w:style w:type="numbering" w:customStyle="1" w:styleId="Style1">
    <w:name w:val="Style1"/>
    <w:uiPriority w:val="99"/>
    <w:rsid w:val="0075321B"/>
    <w:pPr>
      <w:numPr>
        <w:numId w:val="5"/>
      </w:numPr>
    </w:pPr>
  </w:style>
  <w:style w:type="character" w:customStyle="1" w:styleId="FooterChar">
    <w:name w:val="Footer Char"/>
    <w:basedOn w:val="DefaultParagraphFont"/>
    <w:link w:val="Footer"/>
    <w:uiPriority w:val="99"/>
    <w:rsid w:val="00230C98"/>
    <w:rPr>
      <w:rFonts w:ascii="Arial" w:hAnsi="Arial"/>
      <w:i/>
      <w:sz w:val="16"/>
      <w:szCs w:val="24"/>
    </w:rPr>
  </w:style>
  <w:style w:type="character" w:styleId="Strong">
    <w:name w:val="Strong"/>
    <w:basedOn w:val="DefaultParagraphFont"/>
    <w:qFormat/>
    <w:rsid w:val="00760B1E"/>
    <w:rPr>
      <w:b/>
      <w:bCs/>
    </w:rPr>
  </w:style>
  <w:style w:type="character" w:styleId="SubtleEmphasis">
    <w:name w:val="Subtle Emphasis"/>
    <w:uiPriority w:val="19"/>
    <w:qFormat/>
    <w:rsid w:val="004A3530"/>
    <w:rPr>
      <w:i/>
    </w:rPr>
  </w:style>
  <w:style w:type="paragraph" w:styleId="TableofFigures">
    <w:name w:val="table of figures"/>
    <w:basedOn w:val="Normal"/>
    <w:next w:val="Normal"/>
    <w:uiPriority w:val="99"/>
    <w:rsid w:val="008A536F"/>
    <w:pPr>
      <w:spacing w:after="0"/>
    </w:pPr>
  </w:style>
  <w:style w:type="paragraph" w:customStyle="1" w:styleId="TableText">
    <w:name w:val="Table Text"/>
    <w:basedOn w:val="BodyText"/>
    <w:rsid w:val="00EC75A7"/>
    <w:pPr>
      <w:overflowPunct w:val="0"/>
      <w:autoSpaceDE w:val="0"/>
      <w:autoSpaceDN w:val="0"/>
      <w:adjustRightInd w:val="0"/>
      <w:spacing w:before="0" w:after="0" w:line="240" w:lineRule="auto"/>
      <w:ind w:left="28" w:right="28"/>
      <w:textAlignment w:val="baseline"/>
    </w:pPr>
    <w:rPr>
      <w:rFonts w:cs="Times New Roman"/>
      <w:szCs w:val="20"/>
    </w:rPr>
  </w:style>
  <w:style w:type="paragraph" w:styleId="BodyText">
    <w:name w:val="Body Text"/>
    <w:basedOn w:val="Normal"/>
    <w:link w:val="BodyTextChar"/>
    <w:rsid w:val="00EC75A7"/>
    <w:pPr>
      <w:spacing w:after="120"/>
    </w:pPr>
  </w:style>
  <w:style w:type="character" w:customStyle="1" w:styleId="BodyTextChar">
    <w:name w:val="Body Text Char"/>
    <w:basedOn w:val="DefaultParagraphFont"/>
    <w:link w:val="BodyText"/>
    <w:rsid w:val="00EC75A7"/>
    <w:rPr>
      <w:rFonts w:ascii="Arial" w:hAnsi="Arial" w:cs="Arial"/>
      <w:szCs w:val="22"/>
    </w:rPr>
  </w:style>
  <w:style w:type="paragraph" w:customStyle="1" w:styleId="content">
    <w:name w:val="content"/>
    <w:basedOn w:val="Normal"/>
    <w:rsid w:val="00E560D5"/>
    <w:pPr>
      <w:spacing w:before="100" w:beforeAutospacing="1" w:after="100" w:afterAutospacing="1" w:line="240" w:lineRule="auto"/>
    </w:pPr>
    <w:rPr>
      <w:color w:val="000000"/>
      <w:szCs w:val="20"/>
    </w:rPr>
  </w:style>
  <w:style w:type="paragraph" w:styleId="Revision">
    <w:name w:val="Revision"/>
    <w:hidden/>
    <w:uiPriority w:val="99"/>
    <w:semiHidden/>
    <w:rsid w:val="002C6CF9"/>
    <w:rPr>
      <w:rFonts w:ascii="Arial" w:hAnsi="Arial" w:cs="Arial"/>
      <w:szCs w:val="22"/>
    </w:rPr>
  </w:style>
  <w:style w:type="character" w:customStyle="1" w:styleId="CommentTextChar">
    <w:name w:val="Comment Text Char"/>
    <w:basedOn w:val="DefaultParagraphFont"/>
    <w:link w:val="CommentText"/>
    <w:semiHidden/>
    <w:rsid w:val="00CA1ACB"/>
    <w:rPr>
      <w:rFonts w:ascii="Arial" w:hAnsi="Arial" w:cs="Arial"/>
      <w:szCs w:val="22"/>
    </w:rPr>
  </w:style>
  <w:style w:type="paragraph" w:styleId="TOCHeading">
    <w:name w:val="TOC Heading"/>
    <w:basedOn w:val="Heading1"/>
    <w:next w:val="Normal"/>
    <w:uiPriority w:val="39"/>
    <w:semiHidden/>
    <w:unhideWhenUsed/>
    <w:qFormat/>
    <w:rsid w:val="00272EDA"/>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HeaderChar">
    <w:name w:val="Header Char"/>
    <w:basedOn w:val="DefaultParagraphFont"/>
    <w:link w:val="Header"/>
    <w:uiPriority w:val="99"/>
    <w:rsid w:val="005C3BCB"/>
    <w:rPr>
      <w:rFonts w:cs="Arial"/>
      <w:i/>
      <w:sz w:val="16"/>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1F5"/>
    <w:pPr>
      <w:spacing w:before="140" w:after="140" w:line="360" w:lineRule="auto"/>
    </w:pPr>
    <w:rPr>
      <w:rFonts w:cs="Arial"/>
      <w:sz w:val="24"/>
      <w:szCs w:val="22"/>
    </w:rPr>
  </w:style>
  <w:style w:type="paragraph" w:styleId="Heading1">
    <w:name w:val="heading 1"/>
    <w:basedOn w:val="Normal"/>
    <w:next w:val="Normal"/>
    <w:link w:val="Heading1Char"/>
    <w:qFormat/>
    <w:rsid w:val="00A451F5"/>
    <w:pPr>
      <w:keepNext/>
      <w:numPr>
        <w:numId w:val="1"/>
      </w:numPr>
      <w:pBdr>
        <w:bottom w:val="single" w:sz="6" w:space="1" w:color="auto"/>
      </w:pBdr>
      <w:spacing w:before="0" w:after="240"/>
      <w:outlineLvl w:val="0"/>
    </w:pPr>
    <w:rPr>
      <w:rFonts w:ascii="Arial" w:hAnsi="Arial"/>
      <w:b/>
      <w:bCs/>
      <w:kern w:val="32"/>
      <w:sz w:val="36"/>
      <w:szCs w:val="36"/>
    </w:rPr>
  </w:style>
  <w:style w:type="paragraph" w:styleId="Heading2">
    <w:name w:val="heading 2"/>
    <w:basedOn w:val="Normal"/>
    <w:next w:val="Normal"/>
    <w:link w:val="Heading2Char"/>
    <w:qFormat/>
    <w:rsid w:val="00A451F5"/>
    <w:pPr>
      <w:keepNext/>
      <w:numPr>
        <w:ilvl w:val="1"/>
        <w:numId w:val="1"/>
      </w:numPr>
      <w:spacing w:before="480"/>
      <w:outlineLvl w:val="1"/>
    </w:pPr>
    <w:rPr>
      <w:rFonts w:ascii="Arial" w:hAnsi="Arial"/>
      <w:b/>
      <w:bCs/>
      <w:iCs/>
      <w:sz w:val="28"/>
      <w:szCs w:val="28"/>
    </w:rPr>
  </w:style>
  <w:style w:type="paragraph" w:styleId="Heading3">
    <w:name w:val="heading 3"/>
    <w:basedOn w:val="Normal"/>
    <w:next w:val="Normal"/>
    <w:autoRedefine/>
    <w:qFormat/>
    <w:rsid w:val="00AA6DD5"/>
    <w:pPr>
      <w:keepNext/>
      <w:numPr>
        <w:ilvl w:val="2"/>
        <w:numId w:val="1"/>
      </w:numPr>
      <w:tabs>
        <w:tab w:val="clear" w:pos="0"/>
        <w:tab w:val="num" w:pos="360"/>
      </w:tabs>
      <w:spacing w:before="120" w:after="60"/>
      <w:ind w:hanging="540"/>
      <w:outlineLvl w:val="2"/>
    </w:pPr>
    <w:rPr>
      <w:rFonts w:ascii="Arial" w:hAnsi="Arial"/>
      <w:bCs/>
      <w:i/>
      <w:szCs w:val="26"/>
    </w:rPr>
  </w:style>
  <w:style w:type="paragraph" w:styleId="Heading4">
    <w:name w:val="heading 4"/>
    <w:basedOn w:val="Normal"/>
    <w:next w:val="Normal"/>
    <w:qFormat/>
    <w:rsid w:val="0069777D"/>
    <w:pPr>
      <w:keepNext/>
      <w:numPr>
        <w:ilvl w:val="3"/>
        <w:numId w:val="1"/>
      </w:numPr>
      <w:spacing w:before="240" w:after="60"/>
      <w:outlineLvl w:val="3"/>
    </w:pPr>
    <w:rPr>
      <w:rFonts w:ascii="Cambria" w:hAnsi="Cambria"/>
      <w:b/>
      <w:bCs/>
      <w:i/>
      <w:szCs w:val="28"/>
    </w:rPr>
  </w:style>
  <w:style w:type="paragraph" w:styleId="Heading5">
    <w:name w:val="heading 5"/>
    <w:basedOn w:val="Normal"/>
    <w:next w:val="Normal"/>
    <w:qFormat/>
    <w:rsid w:val="004D2BD0"/>
    <w:pPr>
      <w:numPr>
        <w:ilvl w:val="4"/>
        <w:numId w:val="1"/>
      </w:numPr>
      <w:spacing w:before="240" w:after="60"/>
      <w:outlineLvl w:val="4"/>
    </w:pPr>
    <w:rPr>
      <w:bCs/>
      <w:i/>
      <w:iCs/>
      <w:szCs w:val="26"/>
    </w:rPr>
  </w:style>
  <w:style w:type="paragraph" w:styleId="Heading6">
    <w:name w:val="heading 6"/>
    <w:basedOn w:val="Normal"/>
    <w:next w:val="Normal"/>
    <w:qFormat/>
    <w:rsid w:val="004D2BD0"/>
    <w:pPr>
      <w:numPr>
        <w:ilvl w:val="5"/>
        <w:numId w:val="1"/>
      </w:numPr>
      <w:spacing w:before="240" w:after="60"/>
      <w:outlineLvl w:val="5"/>
    </w:pPr>
    <w:rPr>
      <w:b/>
      <w:bCs/>
    </w:rPr>
  </w:style>
  <w:style w:type="paragraph" w:styleId="Heading7">
    <w:name w:val="heading 7"/>
    <w:basedOn w:val="Heading1"/>
    <w:next w:val="Normal"/>
    <w:qFormat/>
    <w:rsid w:val="004D2BD0"/>
    <w:pPr>
      <w:numPr>
        <w:ilvl w:val="6"/>
      </w:numPr>
      <w:outlineLvl w:val="6"/>
    </w:pPr>
  </w:style>
  <w:style w:type="paragraph" w:styleId="Heading8">
    <w:name w:val="heading 8"/>
    <w:basedOn w:val="Heading2"/>
    <w:next w:val="Normal"/>
    <w:qFormat/>
    <w:rsid w:val="006E227C"/>
    <w:pPr>
      <w:numPr>
        <w:ilvl w:val="0"/>
        <w:numId w:val="0"/>
      </w:numPr>
      <w:outlineLvl w:val="7"/>
    </w:pPr>
  </w:style>
  <w:style w:type="paragraph" w:styleId="Heading9">
    <w:name w:val="heading 9"/>
    <w:basedOn w:val="Heading3"/>
    <w:next w:val="Normal"/>
    <w:qFormat/>
    <w:rsid w:val="004D2BD0"/>
    <w:pPr>
      <w:numPr>
        <w:ilvl w:val="8"/>
      </w:numPr>
      <w:tabs>
        <w:tab w:val="clear" w:pos="864"/>
        <w:tab w:val="num" w:pos="720"/>
      </w:tabs>
      <w:ind w:left="0"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uiPriority w:val="99"/>
    <w:rsid w:val="007E04AC"/>
    <w:pPr>
      <w:ind w:right="360"/>
    </w:pPr>
  </w:style>
  <w:style w:type="paragraph" w:styleId="Footer">
    <w:name w:val="footer"/>
    <w:basedOn w:val="Normal"/>
    <w:link w:val="FooterChar"/>
    <w:uiPriority w:val="99"/>
    <w:rsid w:val="00A227AE"/>
    <w:pPr>
      <w:tabs>
        <w:tab w:val="center" w:pos="4320"/>
        <w:tab w:val="right" w:pos="8640"/>
      </w:tabs>
      <w:spacing w:before="40" w:after="0"/>
      <w:contextualSpacing/>
    </w:pPr>
    <w:rPr>
      <w:i/>
      <w:sz w:val="16"/>
    </w:rPr>
  </w:style>
  <w:style w:type="paragraph" w:styleId="DocumentMap">
    <w:name w:val="Document Map"/>
    <w:basedOn w:val="Normal"/>
    <w:semiHidden/>
    <w:rsid w:val="001C01A6"/>
    <w:pPr>
      <w:shd w:val="clear" w:color="auto" w:fill="000080"/>
    </w:pPr>
    <w:rPr>
      <w:rFonts w:ascii="Tahoma" w:hAnsi="Tahoma" w:cs="Tahoma"/>
    </w:rPr>
  </w:style>
  <w:style w:type="table" w:styleId="TableGrid">
    <w:name w:val="Table Grid"/>
    <w:basedOn w:val="TableNormal"/>
    <w:uiPriority w:val="59"/>
    <w:rsid w:val="001C01A6"/>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nt">
    <w:name w:val="Table Font"/>
    <w:basedOn w:val="Normal"/>
    <w:rsid w:val="00664330"/>
    <w:pPr>
      <w:spacing w:before="40" w:after="40"/>
    </w:pPr>
    <w:rPr>
      <w:rFonts w:ascii="Cambria" w:hAnsi="Cambria"/>
    </w:rPr>
  </w:style>
  <w:style w:type="character" w:styleId="PageNumber">
    <w:name w:val="page number"/>
    <w:rsid w:val="00D4126B"/>
    <w:rPr>
      <w:rFonts w:ascii="Arial" w:hAnsi="Arial"/>
      <w:b/>
      <w:i/>
      <w:sz w:val="28"/>
    </w:rPr>
  </w:style>
  <w:style w:type="paragraph" w:styleId="Caption">
    <w:name w:val="caption"/>
    <w:basedOn w:val="Normal"/>
    <w:next w:val="Normal"/>
    <w:uiPriority w:val="35"/>
    <w:qFormat/>
    <w:rsid w:val="00343C62"/>
    <w:pPr>
      <w:jc w:val="center"/>
    </w:pPr>
    <w:rPr>
      <w:b/>
      <w:bCs/>
    </w:rPr>
  </w:style>
  <w:style w:type="character" w:styleId="Hyperlink">
    <w:name w:val="Hyperlink"/>
    <w:uiPriority w:val="99"/>
    <w:rsid w:val="00675338"/>
    <w:rPr>
      <w:color w:val="0000FF"/>
      <w:u w:val="single"/>
    </w:rPr>
  </w:style>
  <w:style w:type="character" w:styleId="FollowedHyperlink">
    <w:name w:val="FollowedHyperlink"/>
    <w:uiPriority w:val="99"/>
    <w:rsid w:val="00675338"/>
    <w:rPr>
      <w:color w:val="800080"/>
      <w:u w:val="single"/>
    </w:rPr>
  </w:style>
  <w:style w:type="paragraph" w:customStyle="1" w:styleId="NoNumber3">
    <w:name w:val="No Number 3"/>
    <w:basedOn w:val="Heading3"/>
    <w:next w:val="Normal"/>
    <w:rsid w:val="008E682A"/>
    <w:pPr>
      <w:numPr>
        <w:ilvl w:val="0"/>
        <w:numId w:val="0"/>
      </w:numPr>
    </w:pPr>
  </w:style>
  <w:style w:type="paragraph" w:customStyle="1" w:styleId="NoNumber4">
    <w:name w:val="No Number 4"/>
    <w:basedOn w:val="Heading4"/>
    <w:next w:val="Normal"/>
    <w:rsid w:val="008E682A"/>
    <w:pPr>
      <w:numPr>
        <w:ilvl w:val="0"/>
        <w:numId w:val="0"/>
      </w:numPr>
    </w:pPr>
  </w:style>
  <w:style w:type="paragraph" w:styleId="TOC1">
    <w:name w:val="toc 1"/>
    <w:basedOn w:val="Normal"/>
    <w:next w:val="Normal"/>
    <w:autoRedefine/>
    <w:uiPriority w:val="39"/>
    <w:qFormat/>
    <w:rsid w:val="00AA6DD5"/>
    <w:pPr>
      <w:tabs>
        <w:tab w:val="left" w:pos="480"/>
        <w:tab w:val="right" w:leader="dot" w:pos="9360"/>
      </w:tabs>
    </w:pPr>
    <w:rPr>
      <w:rFonts w:ascii="Arial" w:hAnsi="Arial"/>
      <w:b/>
      <w:bCs/>
      <w:caps/>
      <w:noProof/>
      <w:szCs w:val="24"/>
    </w:rPr>
  </w:style>
  <w:style w:type="paragraph" w:styleId="TOC2">
    <w:name w:val="toc 2"/>
    <w:basedOn w:val="Normal"/>
    <w:next w:val="Normal"/>
    <w:autoRedefine/>
    <w:uiPriority w:val="39"/>
    <w:qFormat/>
    <w:rsid w:val="00C71290"/>
    <w:pPr>
      <w:tabs>
        <w:tab w:val="left" w:pos="990"/>
        <w:tab w:val="right" w:leader="dot" w:pos="8630"/>
      </w:tabs>
      <w:spacing w:before="0" w:after="0" w:line="276" w:lineRule="auto"/>
      <w:ind w:left="245"/>
    </w:pPr>
    <w:rPr>
      <w:smallCaps/>
    </w:rPr>
  </w:style>
  <w:style w:type="paragraph" w:styleId="TOC3">
    <w:name w:val="toc 3"/>
    <w:basedOn w:val="Normal"/>
    <w:next w:val="Normal"/>
    <w:autoRedefine/>
    <w:uiPriority w:val="39"/>
    <w:qFormat/>
    <w:rsid w:val="00FC1F9E"/>
    <w:pPr>
      <w:spacing w:before="0" w:after="0"/>
      <w:ind w:left="480"/>
    </w:pPr>
    <w:rPr>
      <w:i/>
      <w:iCs/>
    </w:rPr>
  </w:style>
  <w:style w:type="paragraph" w:styleId="TOC4">
    <w:name w:val="toc 4"/>
    <w:basedOn w:val="Normal"/>
    <w:next w:val="Normal"/>
    <w:autoRedefine/>
    <w:uiPriority w:val="39"/>
    <w:rsid w:val="00FC1F9E"/>
    <w:pPr>
      <w:spacing w:before="0" w:after="0"/>
      <w:ind w:left="720"/>
    </w:pPr>
    <w:rPr>
      <w:sz w:val="18"/>
      <w:szCs w:val="18"/>
    </w:rPr>
  </w:style>
  <w:style w:type="paragraph" w:styleId="TOC5">
    <w:name w:val="toc 5"/>
    <w:basedOn w:val="Normal"/>
    <w:next w:val="Normal"/>
    <w:autoRedefine/>
    <w:uiPriority w:val="39"/>
    <w:rsid w:val="00FC1F9E"/>
    <w:pPr>
      <w:spacing w:before="0" w:after="0"/>
      <w:ind w:left="960"/>
    </w:pPr>
    <w:rPr>
      <w:sz w:val="18"/>
      <w:szCs w:val="18"/>
    </w:rPr>
  </w:style>
  <w:style w:type="paragraph" w:styleId="TOC6">
    <w:name w:val="toc 6"/>
    <w:basedOn w:val="Normal"/>
    <w:next w:val="Normal"/>
    <w:autoRedefine/>
    <w:uiPriority w:val="39"/>
    <w:rsid w:val="00FC1F9E"/>
    <w:pPr>
      <w:spacing w:before="0" w:after="0"/>
      <w:ind w:left="1200"/>
    </w:pPr>
    <w:rPr>
      <w:sz w:val="18"/>
      <w:szCs w:val="18"/>
    </w:rPr>
  </w:style>
  <w:style w:type="paragraph" w:styleId="TOC7">
    <w:name w:val="toc 7"/>
    <w:basedOn w:val="Normal"/>
    <w:next w:val="Normal"/>
    <w:autoRedefine/>
    <w:uiPriority w:val="39"/>
    <w:rsid w:val="00FC1F9E"/>
    <w:pPr>
      <w:spacing w:before="0" w:after="0"/>
      <w:ind w:left="1440"/>
    </w:pPr>
    <w:rPr>
      <w:sz w:val="18"/>
      <w:szCs w:val="18"/>
    </w:rPr>
  </w:style>
  <w:style w:type="paragraph" w:styleId="TOC8">
    <w:name w:val="toc 8"/>
    <w:basedOn w:val="Normal"/>
    <w:next w:val="Normal"/>
    <w:autoRedefine/>
    <w:uiPriority w:val="39"/>
    <w:rsid w:val="00FC1F9E"/>
    <w:pPr>
      <w:spacing w:before="0" w:after="0"/>
      <w:ind w:left="1680"/>
    </w:pPr>
    <w:rPr>
      <w:sz w:val="18"/>
      <w:szCs w:val="18"/>
    </w:rPr>
  </w:style>
  <w:style w:type="paragraph" w:styleId="TOC9">
    <w:name w:val="toc 9"/>
    <w:basedOn w:val="Normal"/>
    <w:next w:val="Normal"/>
    <w:autoRedefine/>
    <w:uiPriority w:val="39"/>
    <w:rsid w:val="00FC1F9E"/>
    <w:pPr>
      <w:spacing w:before="0" w:after="0"/>
      <w:ind w:left="1920"/>
    </w:pPr>
    <w:rPr>
      <w:sz w:val="18"/>
      <w:szCs w:val="18"/>
    </w:rPr>
  </w:style>
  <w:style w:type="paragraph" w:customStyle="1" w:styleId="NoTOCHeading">
    <w:name w:val="No TOC Heading"/>
    <w:basedOn w:val="Normal"/>
    <w:next w:val="Normal"/>
    <w:link w:val="NoTOCHeadingCharChar"/>
    <w:rsid w:val="00343C62"/>
    <w:pPr>
      <w:pageBreakBefore/>
      <w:pBdr>
        <w:bottom w:val="single" w:sz="6" w:space="1" w:color="auto"/>
      </w:pBdr>
      <w:spacing w:before="720" w:after="480"/>
      <w:ind w:left="-720"/>
    </w:pPr>
    <w:rPr>
      <w:rFonts w:ascii="Cambria" w:hAnsi="Cambria"/>
      <w:b/>
      <w:i/>
      <w:color w:val="365F91"/>
      <w:sz w:val="48"/>
      <w:szCs w:val="36"/>
    </w:rPr>
  </w:style>
  <w:style w:type="character" w:customStyle="1" w:styleId="NoTOCHeadingCharChar">
    <w:name w:val="No TOC Heading Char Char"/>
    <w:link w:val="NoTOCHeading"/>
    <w:rsid w:val="00343C62"/>
    <w:rPr>
      <w:rFonts w:ascii="Cambria" w:hAnsi="Cambria"/>
      <w:b/>
      <w:i/>
      <w:color w:val="365F91"/>
      <w:sz w:val="48"/>
      <w:szCs w:val="36"/>
    </w:rPr>
  </w:style>
  <w:style w:type="paragraph" w:customStyle="1" w:styleId="BulletsLevel1">
    <w:name w:val="Bullets Level 1"/>
    <w:basedOn w:val="Normal"/>
    <w:rsid w:val="00305EE0"/>
    <w:pPr>
      <w:numPr>
        <w:numId w:val="2"/>
      </w:numPr>
    </w:pPr>
  </w:style>
  <w:style w:type="paragraph" w:customStyle="1" w:styleId="BulletsLevel2">
    <w:name w:val="Bullets Level 2"/>
    <w:basedOn w:val="BulletsLevel1"/>
    <w:rsid w:val="00305EE0"/>
    <w:pPr>
      <w:numPr>
        <w:ilvl w:val="1"/>
      </w:numPr>
    </w:pPr>
  </w:style>
  <w:style w:type="paragraph" w:customStyle="1" w:styleId="NoNumber1">
    <w:name w:val="No Number 1"/>
    <w:basedOn w:val="Heading1"/>
    <w:next w:val="Normal"/>
    <w:link w:val="NoNumber1Char"/>
    <w:rsid w:val="00C82BAF"/>
    <w:pPr>
      <w:numPr>
        <w:numId w:val="0"/>
      </w:numPr>
      <w:ind w:hanging="720"/>
    </w:pPr>
  </w:style>
  <w:style w:type="paragraph" w:customStyle="1" w:styleId="NoNumber2">
    <w:name w:val="No Number 2"/>
    <w:basedOn w:val="Heading2"/>
    <w:next w:val="Normal"/>
    <w:link w:val="NoNumber2Char"/>
    <w:rsid w:val="00C82BAF"/>
    <w:pPr>
      <w:numPr>
        <w:ilvl w:val="0"/>
        <w:numId w:val="0"/>
      </w:numPr>
      <w:ind w:hanging="720"/>
    </w:pPr>
  </w:style>
  <w:style w:type="paragraph" w:customStyle="1" w:styleId="NoNumber5">
    <w:name w:val="No Number 5"/>
    <w:basedOn w:val="Heading5"/>
    <w:next w:val="Normal"/>
    <w:rsid w:val="008E682A"/>
    <w:pPr>
      <w:numPr>
        <w:ilvl w:val="0"/>
        <w:numId w:val="0"/>
      </w:numPr>
    </w:pPr>
  </w:style>
  <w:style w:type="paragraph" w:customStyle="1" w:styleId="NoNumber6">
    <w:name w:val="No Number 6"/>
    <w:basedOn w:val="Heading6"/>
    <w:next w:val="Normal"/>
    <w:rsid w:val="008E682A"/>
    <w:pPr>
      <w:numPr>
        <w:ilvl w:val="0"/>
        <w:numId w:val="0"/>
      </w:numPr>
    </w:pPr>
  </w:style>
  <w:style w:type="paragraph" w:styleId="Title">
    <w:name w:val="Title"/>
    <w:basedOn w:val="Normal"/>
    <w:qFormat/>
    <w:rsid w:val="00FA6227"/>
    <w:pPr>
      <w:spacing w:before="240" w:after="60"/>
      <w:jc w:val="right"/>
      <w:outlineLvl w:val="0"/>
    </w:pPr>
    <w:rPr>
      <w:rFonts w:ascii="Arial Bold" w:hAnsi="Arial Bold"/>
      <w:b/>
      <w:bCs/>
      <w:caps/>
      <w:kern w:val="28"/>
      <w:sz w:val="48"/>
      <w:szCs w:val="32"/>
    </w:rPr>
  </w:style>
  <w:style w:type="paragraph" w:customStyle="1" w:styleId="TitlePageText">
    <w:name w:val="Title Page Text"/>
    <w:basedOn w:val="Normal"/>
    <w:rsid w:val="00971E85"/>
    <w:pPr>
      <w:spacing w:before="60" w:after="60"/>
    </w:pPr>
  </w:style>
  <w:style w:type="paragraph" w:customStyle="1" w:styleId="NumberedList">
    <w:name w:val="Numbered List"/>
    <w:basedOn w:val="BulletsLevel1"/>
    <w:rsid w:val="00B26C73"/>
    <w:pPr>
      <w:numPr>
        <w:numId w:val="3"/>
      </w:numPr>
    </w:pPr>
  </w:style>
  <w:style w:type="paragraph" w:customStyle="1" w:styleId="NumberedListLevel2">
    <w:name w:val="Numbered List Level 2"/>
    <w:basedOn w:val="NumberedList"/>
    <w:rsid w:val="001A118E"/>
    <w:pPr>
      <w:numPr>
        <w:ilvl w:val="1"/>
      </w:numPr>
      <w:tabs>
        <w:tab w:val="clear" w:pos="1440"/>
        <w:tab w:val="num" w:pos="1080"/>
      </w:tabs>
      <w:ind w:left="1080"/>
    </w:pPr>
  </w:style>
  <w:style w:type="character" w:styleId="CommentReference">
    <w:name w:val="annotation reference"/>
    <w:semiHidden/>
    <w:rsid w:val="00D50EDA"/>
    <w:rPr>
      <w:sz w:val="16"/>
      <w:szCs w:val="16"/>
    </w:rPr>
  </w:style>
  <w:style w:type="paragraph" w:styleId="CommentText">
    <w:name w:val="annotation text"/>
    <w:basedOn w:val="Normal"/>
    <w:link w:val="CommentTextChar"/>
    <w:semiHidden/>
    <w:rsid w:val="00D50EDA"/>
  </w:style>
  <w:style w:type="paragraph" w:styleId="CommentSubject">
    <w:name w:val="annotation subject"/>
    <w:basedOn w:val="CommentText"/>
    <w:next w:val="CommentText"/>
    <w:semiHidden/>
    <w:rsid w:val="00D50EDA"/>
    <w:rPr>
      <w:b/>
      <w:bCs/>
    </w:rPr>
  </w:style>
  <w:style w:type="paragraph" w:styleId="BalloonText">
    <w:name w:val="Balloon Text"/>
    <w:basedOn w:val="Normal"/>
    <w:semiHidden/>
    <w:rsid w:val="00D50EDA"/>
    <w:rPr>
      <w:rFonts w:ascii="Tahoma" w:hAnsi="Tahoma" w:cs="Tahoma"/>
      <w:sz w:val="16"/>
      <w:szCs w:val="16"/>
    </w:rPr>
  </w:style>
  <w:style w:type="paragraph" w:styleId="EndnoteText">
    <w:name w:val="endnote text"/>
    <w:basedOn w:val="Normal"/>
    <w:semiHidden/>
    <w:rsid w:val="00A421A5"/>
  </w:style>
  <w:style w:type="character" w:styleId="EndnoteReference">
    <w:name w:val="endnote reference"/>
    <w:semiHidden/>
    <w:rsid w:val="00A421A5"/>
    <w:rPr>
      <w:vertAlign w:val="superscript"/>
    </w:rPr>
  </w:style>
  <w:style w:type="paragraph" w:customStyle="1" w:styleId="NoTOCHeading2">
    <w:name w:val="No TOC Heading 2"/>
    <w:basedOn w:val="NoTOCHeading"/>
    <w:next w:val="Normal"/>
    <w:qFormat/>
    <w:rsid w:val="00936C41"/>
    <w:pPr>
      <w:pageBreakBefore w:val="0"/>
      <w:pBdr>
        <w:bottom w:val="none" w:sz="0" w:space="0" w:color="auto"/>
      </w:pBdr>
      <w:spacing w:before="480" w:after="140"/>
    </w:pPr>
    <w:rPr>
      <w:sz w:val="32"/>
      <w:szCs w:val="32"/>
    </w:rPr>
  </w:style>
  <w:style w:type="paragraph" w:styleId="ListParagraph">
    <w:name w:val="List Paragraph"/>
    <w:basedOn w:val="Normal"/>
    <w:uiPriority w:val="34"/>
    <w:qFormat/>
    <w:rsid w:val="00664330"/>
    <w:pPr>
      <w:spacing w:before="0" w:after="200" w:line="276" w:lineRule="auto"/>
      <w:ind w:left="720"/>
      <w:contextualSpacing/>
    </w:pPr>
    <w:rPr>
      <w:rFonts w:eastAsia="Calibri"/>
    </w:rPr>
  </w:style>
  <w:style w:type="paragraph" w:customStyle="1" w:styleId="TableHeader">
    <w:name w:val="Table Header"/>
    <w:basedOn w:val="Normal"/>
    <w:link w:val="TableHeaderChar"/>
    <w:qFormat/>
    <w:rsid w:val="00D83E48"/>
    <w:pPr>
      <w:keepNext/>
      <w:spacing w:beforeLines="20" w:afterLines="20"/>
      <w:jc w:val="center"/>
    </w:pPr>
    <w:rPr>
      <w:rFonts w:ascii="Cambria" w:hAnsi="Cambria"/>
      <w:b/>
      <w:bCs/>
      <w:i/>
      <w:color w:val="333399"/>
    </w:rPr>
  </w:style>
  <w:style w:type="paragraph" w:customStyle="1" w:styleId="TableBody">
    <w:name w:val="Table Body"/>
    <w:basedOn w:val="Normal"/>
    <w:link w:val="TableBodyChar"/>
    <w:qFormat/>
    <w:rsid w:val="00D83E48"/>
    <w:pPr>
      <w:spacing w:beforeLines="20" w:afterLines="20"/>
    </w:pPr>
  </w:style>
  <w:style w:type="character" w:customStyle="1" w:styleId="TableHeaderChar">
    <w:name w:val="Table Header Char"/>
    <w:link w:val="TableHeader"/>
    <w:rsid w:val="00D83E48"/>
    <w:rPr>
      <w:rFonts w:ascii="Cambria" w:hAnsi="Cambria"/>
      <w:b/>
      <w:bCs/>
      <w:i/>
      <w:color w:val="333399"/>
      <w:sz w:val="22"/>
      <w:szCs w:val="24"/>
    </w:rPr>
  </w:style>
  <w:style w:type="paragraph" w:styleId="FootnoteText">
    <w:name w:val="footnote text"/>
    <w:basedOn w:val="Normal"/>
    <w:link w:val="FootnoteTextChar"/>
    <w:uiPriority w:val="99"/>
    <w:unhideWhenUsed/>
    <w:rsid w:val="006B6DD9"/>
    <w:pPr>
      <w:spacing w:before="120" w:after="120" w:line="240" w:lineRule="auto"/>
    </w:pPr>
    <w:rPr>
      <w:rFonts w:eastAsia="Calibri"/>
      <w:sz w:val="22"/>
    </w:rPr>
  </w:style>
  <w:style w:type="character" w:customStyle="1" w:styleId="TableBodyChar">
    <w:name w:val="Table Body Char"/>
    <w:link w:val="TableBody"/>
    <w:rsid w:val="00D83E48"/>
    <w:rPr>
      <w:rFonts w:ascii="Calibri" w:hAnsi="Calibri"/>
      <w:szCs w:val="24"/>
    </w:rPr>
  </w:style>
  <w:style w:type="character" w:customStyle="1" w:styleId="FootnoteTextChar">
    <w:name w:val="Footnote Text Char"/>
    <w:link w:val="FootnoteText"/>
    <w:uiPriority w:val="99"/>
    <w:rsid w:val="006B6DD9"/>
    <w:rPr>
      <w:rFonts w:eastAsia="Calibri" w:cs="Arial"/>
      <w:sz w:val="22"/>
      <w:szCs w:val="22"/>
    </w:rPr>
  </w:style>
  <w:style w:type="character" w:styleId="FootnoteReference">
    <w:name w:val="footnote reference"/>
    <w:uiPriority w:val="99"/>
    <w:unhideWhenUsed/>
    <w:rsid w:val="00882411"/>
    <w:rPr>
      <w:vertAlign w:val="superscript"/>
    </w:rPr>
  </w:style>
  <w:style w:type="paragraph" w:styleId="NormalWeb">
    <w:name w:val="Normal (Web)"/>
    <w:basedOn w:val="Normal"/>
    <w:unhideWhenUsed/>
    <w:rsid w:val="00D938A2"/>
    <w:pPr>
      <w:spacing w:before="100" w:beforeAutospacing="1" w:after="100" w:afterAutospacing="1"/>
    </w:pPr>
    <w:rPr>
      <w:lang w:bidi="th-TH"/>
    </w:rPr>
  </w:style>
  <w:style w:type="paragraph" w:customStyle="1" w:styleId="xl65">
    <w:name w:val="xl65"/>
    <w:basedOn w:val="Normal"/>
    <w:rsid w:val="00296C1A"/>
    <w:pPr>
      <w:spacing w:before="100" w:beforeAutospacing="1" w:after="100" w:afterAutospacing="1"/>
      <w:jc w:val="center"/>
      <w:textAlignment w:val="center"/>
    </w:pPr>
  </w:style>
  <w:style w:type="paragraph" w:customStyle="1" w:styleId="xl66">
    <w:name w:val="xl66"/>
    <w:basedOn w:val="Normal"/>
    <w:rsid w:val="00296C1A"/>
    <w:pPr>
      <w:spacing w:before="100" w:beforeAutospacing="1" w:after="100" w:afterAutospacing="1"/>
      <w:textAlignment w:val="center"/>
    </w:pPr>
  </w:style>
  <w:style w:type="paragraph" w:customStyle="1" w:styleId="xl67">
    <w:name w:val="xl67"/>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69">
    <w:name w:val="xl69"/>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70">
    <w:name w:val="xl70"/>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Normal"/>
    <w:rsid w:val="00296C1A"/>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b/>
      <w:bCs/>
    </w:rPr>
  </w:style>
  <w:style w:type="paragraph" w:customStyle="1" w:styleId="xl72">
    <w:name w:val="xl72"/>
    <w:basedOn w:val="Normal"/>
    <w:rsid w:val="00296C1A"/>
    <w:pPr>
      <w:pBdr>
        <w:top w:val="single" w:sz="4" w:space="0" w:color="auto"/>
        <w:bottom w:val="single" w:sz="4" w:space="0" w:color="auto"/>
      </w:pBdr>
      <w:shd w:val="clear" w:color="000000" w:fill="FFFF99"/>
      <w:spacing w:before="100" w:beforeAutospacing="1" w:after="100" w:afterAutospacing="1"/>
      <w:textAlignment w:val="center"/>
    </w:pPr>
    <w:rPr>
      <w:b/>
      <w:bCs/>
    </w:rPr>
  </w:style>
  <w:style w:type="paragraph" w:customStyle="1" w:styleId="xl73">
    <w:name w:val="xl73"/>
    <w:basedOn w:val="Normal"/>
    <w:rsid w:val="00296C1A"/>
    <w:pPr>
      <w:pBdr>
        <w:top w:val="single" w:sz="4" w:space="0" w:color="auto"/>
        <w:bottom w:val="single" w:sz="4" w:space="0" w:color="auto"/>
      </w:pBdr>
      <w:shd w:val="clear" w:color="000000" w:fill="FFFF99"/>
      <w:spacing w:before="100" w:beforeAutospacing="1" w:after="100" w:afterAutospacing="1"/>
      <w:jc w:val="center"/>
      <w:textAlignment w:val="center"/>
    </w:pPr>
    <w:rPr>
      <w:b/>
      <w:bCs/>
    </w:rPr>
  </w:style>
  <w:style w:type="paragraph" w:customStyle="1" w:styleId="xl74">
    <w:name w:val="xl74"/>
    <w:basedOn w:val="Normal"/>
    <w:rsid w:val="00296C1A"/>
    <w:pPr>
      <w:spacing w:before="100" w:beforeAutospacing="1" w:after="100" w:afterAutospacing="1"/>
      <w:textAlignment w:val="center"/>
    </w:pPr>
    <w:rPr>
      <w:sz w:val="18"/>
      <w:szCs w:val="18"/>
    </w:rPr>
  </w:style>
  <w:style w:type="paragraph" w:customStyle="1" w:styleId="xl75">
    <w:name w:val="xl75"/>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Normal"/>
    <w:rsid w:val="00296C1A"/>
    <w:pPr>
      <w:pBdr>
        <w:top w:val="single" w:sz="4" w:space="0" w:color="auto"/>
        <w:bottom w:val="single" w:sz="4" w:space="0" w:color="auto"/>
      </w:pBdr>
      <w:spacing w:before="100" w:beforeAutospacing="1" w:after="100" w:afterAutospacing="1"/>
      <w:jc w:val="center"/>
      <w:textAlignment w:val="center"/>
    </w:pPr>
  </w:style>
  <w:style w:type="paragraph" w:customStyle="1" w:styleId="xl78">
    <w:name w:val="xl78"/>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79">
    <w:name w:val="xl79"/>
    <w:basedOn w:val="Normal"/>
    <w:rsid w:val="00296C1A"/>
    <w:pPr>
      <w:spacing w:before="100" w:beforeAutospacing="1" w:after="100" w:afterAutospacing="1"/>
      <w:textAlignment w:val="center"/>
    </w:pPr>
    <w:rPr>
      <w:b/>
      <w:bCs/>
    </w:rPr>
  </w:style>
  <w:style w:type="paragraph" w:customStyle="1" w:styleId="xl80">
    <w:name w:val="xl80"/>
    <w:basedOn w:val="Normal"/>
    <w:rsid w:val="00296C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1">
    <w:name w:val="xl81"/>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
    <w:name w:val="xl82"/>
    <w:basedOn w:val="Normal"/>
    <w:rsid w:val="00296C1A"/>
    <w:pPr>
      <w:spacing w:before="100" w:beforeAutospacing="1" w:after="100" w:afterAutospacing="1"/>
      <w:textAlignment w:val="center"/>
    </w:pPr>
  </w:style>
  <w:style w:type="paragraph" w:customStyle="1" w:styleId="xl83">
    <w:name w:val="xl83"/>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5">
    <w:name w:val="xl85"/>
    <w:basedOn w:val="Normal"/>
    <w:rsid w:val="00296C1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86">
    <w:name w:val="xl86"/>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7">
    <w:name w:val="xl87"/>
    <w:basedOn w:val="Normal"/>
    <w:rsid w:val="00296C1A"/>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88">
    <w:name w:val="xl88"/>
    <w:basedOn w:val="Normal"/>
    <w:rsid w:val="00296C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Normal"/>
    <w:rsid w:val="00296C1A"/>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92">
    <w:name w:val="xl92"/>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93">
    <w:name w:val="xl93"/>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94">
    <w:name w:val="xl94"/>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95">
    <w:name w:val="xl95"/>
    <w:basedOn w:val="Normal"/>
    <w:rsid w:val="00296C1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96">
    <w:name w:val="xl96"/>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97">
    <w:name w:val="xl97"/>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6"/>
      <w:szCs w:val="16"/>
    </w:rPr>
  </w:style>
  <w:style w:type="paragraph" w:customStyle="1" w:styleId="xl98">
    <w:name w:val="xl98"/>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99">
    <w:name w:val="xl99"/>
    <w:basedOn w:val="Normal"/>
    <w:rsid w:val="00296C1A"/>
    <w:pPr>
      <w:pBdr>
        <w:top w:val="single" w:sz="4" w:space="0" w:color="auto"/>
        <w:bottom w:val="single" w:sz="4" w:space="0" w:color="auto"/>
      </w:pBdr>
      <w:spacing w:before="100" w:beforeAutospacing="1" w:after="100" w:afterAutospacing="1"/>
      <w:textAlignment w:val="center"/>
    </w:pPr>
    <w:rPr>
      <w:b/>
      <w:bCs/>
    </w:rPr>
  </w:style>
  <w:style w:type="paragraph" w:customStyle="1" w:styleId="xl100">
    <w:name w:val="xl100"/>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Default">
    <w:name w:val="Default"/>
    <w:rsid w:val="00B05BEE"/>
    <w:pPr>
      <w:autoSpaceDE w:val="0"/>
      <w:autoSpaceDN w:val="0"/>
      <w:adjustRightInd w:val="0"/>
    </w:pPr>
    <w:rPr>
      <w:rFonts w:ascii="Arial" w:eastAsia="Calibri" w:hAnsi="Arial" w:cs="Arial"/>
      <w:color w:val="000000"/>
      <w:sz w:val="24"/>
      <w:szCs w:val="24"/>
    </w:rPr>
  </w:style>
  <w:style w:type="paragraph" w:customStyle="1" w:styleId="Heading11">
    <w:name w:val="Heading 1.1"/>
    <w:basedOn w:val="NoNumber1"/>
    <w:link w:val="Heading11Char"/>
    <w:rsid w:val="00E67EFB"/>
  </w:style>
  <w:style w:type="paragraph" w:customStyle="1" w:styleId="Heading31">
    <w:name w:val="Heading 3.1"/>
    <w:basedOn w:val="NoNumber2"/>
    <w:link w:val="Heading31Char"/>
    <w:qFormat/>
    <w:rsid w:val="00E67EFB"/>
  </w:style>
  <w:style w:type="character" w:customStyle="1" w:styleId="Heading1Char">
    <w:name w:val="Heading 1 Char"/>
    <w:basedOn w:val="DefaultParagraphFont"/>
    <w:link w:val="Heading1"/>
    <w:rsid w:val="00A451F5"/>
    <w:rPr>
      <w:rFonts w:ascii="Arial" w:hAnsi="Arial" w:cs="Arial"/>
      <w:b/>
      <w:bCs/>
      <w:kern w:val="32"/>
      <w:sz w:val="36"/>
      <w:szCs w:val="36"/>
    </w:rPr>
  </w:style>
  <w:style w:type="character" w:customStyle="1" w:styleId="NoNumber1Char">
    <w:name w:val="No Number 1 Char"/>
    <w:basedOn w:val="Heading1Char"/>
    <w:link w:val="NoNumber1"/>
    <w:rsid w:val="00E67EFB"/>
    <w:rPr>
      <w:rFonts w:ascii="Cambria" w:hAnsi="Cambria" w:cs="Arial"/>
      <w:b/>
      <w:bCs/>
      <w:i/>
      <w:color w:val="365F91"/>
      <w:kern w:val="32"/>
      <w:sz w:val="48"/>
      <w:szCs w:val="32"/>
    </w:rPr>
  </w:style>
  <w:style w:type="character" w:customStyle="1" w:styleId="Heading11Char">
    <w:name w:val="Heading 1.1 Char"/>
    <w:basedOn w:val="NoNumber1Char"/>
    <w:link w:val="Heading11"/>
    <w:rsid w:val="00E67EFB"/>
    <w:rPr>
      <w:rFonts w:ascii="Cambria" w:hAnsi="Cambria" w:cs="Arial"/>
      <w:b/>
      <w:bCs/>
      <w:i/>
      <w:color w:val="365F91"/>
      <w:kern w:val="32"/>
      <w:sz w:val="48"/>
      <w:szCs w:val="32"/>
    </w:rPr>
  </w:style>
  <w:style w:type="paragraph" w:customStyle="1" w:styleId="CharCharChar">
    <w:name w:val="Char Char Char"/>
    <w:basedOn w:val="Normal"/>
    <w:rsid w:val="00C5171F"/>
    <w:pPr>
      <w:spacing w:before="0" w:after="160" w:line="240" w:lineRule="exact"/>
    </w:pPr>
  </w:style>
  <w:style w:type="character" w:customStyle="1" w:styleId="Heading2Char">
    <w:name w:val="Heading 2 Char"/>
    <w:basedOn w:val="DefaultParagraphFont"/>
    <w:link w:val="Heading2"/>
    <w:rsid w:val="00A451F5"/>
    <w:rPr>
      <w:rFonts w:ascii="Arial" w:hAnsi="Arial" w:cs="Arial"/>
      <w:b/>
      <w:bCs/>
      <w:iCs/>
      <w:sz w:val="28"/>
      <w:szCs w:val="28"/>
    </w:rPr>
  </w:style>
  <w:style w:type="character" w:customStyle="1" w:styleId="NoNumber2Char">
    <w:name w:val="No Number 2 Char"/>
    <w:basedOn w:val="Heading2Char"/>
    <w:link w:val="NoNumber2"/>
    <w:rsid w:val="00E67EFB"/>
    <w:rPr>
      <w:rFonts w:ascii="Cambria" w:hAnsi="Cambria" w:cs="Arial"/>
      <w:b/>
      <w:bCs/>
      <w:i/>
      <w:iCs/>
      <w:color w:val="365F91"/>
      <w:sz w:val="32"/>
      <w:szCs w:val="28"/>
    </w:rPr>
  </w:style>
  <w:style w:type="character" w:customStyle="1" w:styleId="Heading31Char">
    <w:name w:val="Heading 3.1 Char"/>
    <w:basedOn w:val="NoNumber2Char"/>
    <w:link w:val="Heading31"/>
    <w:rsid w:val="00E67EFB"/>
    <w:rPr>
      <w:rFonts w:ascii="Cambria" w:hAnsi="Cambria" w:cs="Arial"/>
      <w:b/>
      <w:bCs/>
      <w:i/>
      <w:iCs/>
      <w:color w:val="365F91"/>
      <w:sz w:val="32"/>
      <w:szCs w:val="28"/>
    </w:rPr>
  </w:style>
  <w:style w:type="paragraph" w:styleId="PlainText">
    <w:name w:val="Plain Text"/>
    <w:basedOn w:val="Normal"/>
    <w:link w:val="PlainTextChar"/>
    <w:uiPriority w:val="99"/>
    <w:unhideWhenUsed/>
    <w:rsid w:val="0075321B"/>
    <w:pPr>
      <w:spacing w:before="0" w:after="0"/>
    </w:pPr>
    <w:rPr>
      <w:rFonts w:ascii="Consolas" w:eastAsia="Calibri" w:hAnsi="Consolas"/>
      <w:sz w:val="21"/>
      <w:szCs w:val="21"/>
    </w:rPr>
  </w:style>
  <w:style w:type="character" w:customStyle="1" w:styleId="PlainTextChar">
    <w:name w:val="Plain Text Char"/>
    <w:basedOn w:val="DefaultParagraphFont"/>
    <w:link w:val="PlainText"/>
    <w:uiPriority w:val="99"/>
    <w:rsid w:val="0075321B"/>
    <w:rPr>
      <w:rFonts w:ascii="Consolas" w:eastAsia="Calibri" w:hAnsi="Consolas"/>
      <w:sz w:val="21"/>
      <w:szCs w:val="21"/>
    </w:rPr>
  </w:style>
  <w:style w:type="numbering" w:customStyle="1" w:styleId="Style1">
    <w:name w:val="Style1"/>
    <w:uiPriority w:val="99"/>
    <w:rsid w:val="0075321B"/>
    <w:pPr>
      <w:numPr>
        <w:numId w:val="5"/>
      </w:numPr>
    </w:pPr>
  </w:style>
  <w:style w:type="character" w:customStyle="1" w:styleId="FooterChar">
    <w:name w:val="Footer Char"/>
    <w:basedOn w:val="DefaultParagraphFont"/>
    <w:link w:val="Footer"/>
    <w:uiPriority w:val="99"/>
    <w:rsid w:val="00230C98"/>
    <w:rPr>
      <w:rFonts w:ascii="Arial" w:hAnsi="Arial"/>
      <w:i/>
      <w:sz w:val="16"/>
      <w:szCs w:val="24"/>
    </w:rPr>
  </w:style>
  <w:style w:type="character" w:styleId="Strong">
    <w:name w:val="Strong"/>
    <w:basedOn w:val="DefaultParagraphFont"/>
    <w:qFormat/>
    <w:rsid w:val="00760B1E"/>
    <w:rPr>
      <w:b/>
      <w:bCs/>
    </w:rPr>
  </w:style>
  <w:style w:type="character" w:styleId="SubtleEmphasis">
    <w:name w:val="Subtle Emphasis"/>
    <w:uiPriority w:val="19"/>
    <w:qFormat/>
    <w:rsid w:val="004A3530"/>
    <w:rPr>
      <w:i/>
    </w:rPr>
  </w:style>
  <w:style w:type="paragraph" w:styleId="TableofFigures">
    <w:name w:val="table of figures"/>
    <w:basedOn w:val="Normal"/>
    <w:next w:val="Normal"/>
    <w:uiPriority w:val="99"/>
    <w:rsid w:val="008A536F"/>
    <w:pPr>
      <w:spacing w:after="0"/>
    </w:pPr>
  </w:style>
  <w:style w:type="paragraph" w:customStyle="1" w:styleId="TableText">
    <w:name w:val="Table Text"/>
    <w:basedOn w:val="BodyText"/>
    <w:rsid w:val="00EC75A7"/>
    <w:pPr>
      <w:overflowPunct w:val="0"/>
      <w:autoSpaceDE w:val="0"/>
      <w:autoSpaceDN w:val="0"/>
      <w:adjustRightInd w:val="0"/>
      <w:spacing w:before="0" w:after="0" w:line="240" w:lineRule="auto"/>
      <w:ind w:left="28" w:right="28"/>
      <w:textAlignment w:val="baseline"/>
    </w:pPr>
    <w:rPr>
      <w:rFonts w:cs="Times New Roman"/>
      <w:szCs w:val="20"/>
    </w:rPr>
  </w:style>
  <w:style w:type="paragraph" w:styleId="BodyText">
    <w:name w:val="Body Text"/>
    <w:basedOn w:val="Normal"/>
    <w:link w:val="BodyTextChar"/>
    <w:rsid w:val="00EC75A7"/>
    <w:pPr>
      <w:spacing w:after="120"/>
    </w:pPr>
  </w:style>
  <w:style w:type="character" w:customStyle="1" w:styleId="BodyTextChar">
    <w:name w:val="Body Text Char"/>
    <w:basedOn w:val="DefaultParagraphFont"/>
    <w:link w:val="BodyText"/>
    <w:rsid w:val="00EC75A7"/>
    <w:rPr>
      <w:rFonts w:ascii="Arial" w:hAnsi="Arial" w:cs="Arial"/>
      <w:szCs w:val="22"/>
    </w:rPr>
  </w:style>
  <w:style w:type="paragraph" w:customStyle="1" w:styleId="content">
    <w:name w:val="content"/>
    <w:basedOn w:val="Normal"/>
    <w:rsid w:val="00E560D5"/>
    <w:pPr>
      <w:spacing w:before="100" w:beforeAutospacing="1" w:after="100" w:afterAutospacing="1" w:line="240" w:lineRule="auto"/>
    </w:pPr>
    <w:rPr>
      <w:color w:val="000000"/>
      <w:szCs w:val="20"/>
    </w:rPr>
  </w:style>
  <w:style w:type="paragraph" w:styleId="Revision">
    <w:name w:val="Revision"/>
    <w:hidden/>
    <w:uiPriority w:val="99"/>
    <w:semiHidden/>
    <w:rsid w:val="002C6CF9"/>
    <w:rPr>
      <w:rFonts w:ascii="Arial" w:hAnsi="Arial" w:cs="Arial"/>
      <w:szCs w:val="22"/>
    </w:rPr>
  </w:style>
  <w:style w:type="character" w:customStyle="1" w:styleId="CommentTextChar">
    <w:name w:val="Comment Text Char"/>
    <w:basedOn w:val="DefaultParagraphFont"/>
    <w:link w:val="CommentText"/>
    <w:semiHidden/>
    <w:rsid w:val="00CA1ACB"/>
    <w:rPr>
      <w:rFonts w:ascii="Arial" w:hAnsi="Arial" w:cs="Arial"/>
      <w:szCs w:val="22"/>
    </w:rPr>
  </w:style>
  <w:style w:type="paragraph" w:styleId="TOCHeading">
    <w:name w:val="TOC Heading"/>
    <w:basedOn w:val="Heading1"/>
    <w:next w:val="Normal"/>
    <w:uiPriority w:val="39"/>
    <w:semiHidden/>
    <w:unhideWhenUsed/>
    <w:qFormat/>
    <w:rsid w:val="00272EDA"/>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HeaderChar">
    <w:name w:val="Header Char"/>
    <w:basedOn w:val="DefaultParagraphFont"/>
    <w:link w:val="Header"/>
    <w:uiPriority w:val="99"/>
    <w:rsid w:val="005C3BCB"/>
    <w:rPr>
      <w:rFonts w:cs="Arial"/>
      <w:i/>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5716">
      <w:bodyDiv w:val="1"/>
      <w:marLeft w:val="0"/>
      <w:marRight w:val="0"/>
      <w:marTop w:val="0"/>
      <w:marBottom w:val="0"/>
      <w:divBdr>
        <w:top w:val="none" w:sz="0" w:space="0" w:color="auto"/>
        <w:left w:val="none" w:sz="0" w:space="0" w:color="auto"/>
        <w:bottom w:val="none" w:sz="0" w:space="0" w:color="auto"/>
        <w:right w:val="none" w:sz="0" w:space="0" w:color="auto"/>
      </w:divBdr>
      <w:divsChild>
        <w:div w:id="78061212">
          <w:marLeft w:val="1166"/>
          <w:marRight w:val="0"/>
          <w:marTop w:val="115"/>
          <w:marBottom w:val="0"/>
          <w:divBdr>
            <w:top w:val="none" w:sz="0" w:space="0" w:color="auto"/>
            <w:left w:val="none" w:sz="0" w:space="0" w:color="auto"/>
            <w:bottom w:val="none" w:sz="0" w:space="0" w:color="auto"/>
            <w:right w:val="none" w:sz="0" w:space="0" w:color="auto"/>
          </w:divBdr>
        </w:div>
        <w:div w:id="138815334">
          <w:marLeft w:val="1166"/>
          <w:marRight w:val="0"/>
          <w:marTop w:val="115"/>
          <w:marBottom w:val="0"/>
          <w:divBdr>
            <w:top w:val="none" w:sz="0" w:space="0" w:color="auto"/>
            <w:left w:val="none" w:sz="0" w:space="0" w:color="auto"/>
            <w:bottom w:val="none" w:sz="0" w:space="0" w:color="auto"/>
            <w:right w:val="none" w:sz="0" w:space="0" w:color="auto"/>
          </w:divBdr>
        </w:div>
        <w:div w:id="414520483">
          <w:marLeft w:val="1166"/>
          <w:marRight w:val="0"/>
          <w:marTop w:val="115"/>
          <w:marBottom w:val="0"/>
          <w:divBdr>
            <w:top w:val="none" w:sz="0" w:space="0" w:color="auto"/>
            <w:left w:val="none" w:sz="0" w:space="0" w:color="auto"/>
            <w:bottom w:val="none" w:sz="0" w:space="0" w:color="auto"/>
            <w:right w:val="none" w:sz="0" w:space="0" w:color="auto"/>
          </w:divBdr>
        </w:div>
        <w:div w:id="1229195180">
          <w:marLeft w:val="1166"/>
          <w:marRight w:val="0"/>
          <w:marTop w:val="115"/>
          <w:marBottom w:val="0"/>
          <w:divBdr>
            <w:top w:val="none" w:sz="0" w:space="0" w:color="auto"/>
            <w:left w:val="none" w:sz="0" w:space="0" w:color="auto"/>
            <w:bottom w:val="none" w:sz="0" w:space="0" w:color="auto"/>
            <w:right w:val="none" w:sz="0" w:space="0" w:color="auto"/>
          </w:divBdr>
        </w:div>
        <w:div w:id="1525897312">
          <w:marLeft w:val="1166"/>
          <w:marRight w:val="0"/>
          <w:marTop w:val="115"/>
          <w:marBottom w:val="0"/>
          <w:divBdr>
            <w:top w:val="none" w:sz="0" w:space="0" w:color="auto"/>
            <w:left w:val="none" w:sz="0" w:space="0" w:color="auto"/>
            <w:bottom w:val="none" w:sz="0" w:space="0" w:color="auto"/>
            <w:right w:val="none" w:sz="0" w:space="0" w:color="auto"/>
          </w:divBdr>
        </w:div>
        <w:div w:id="1615212635">
          <w:marLeft w:val="1166"/>
          <w:marRight w:val="0"/>
          <w:marTop w:val="115"/>
          <w:marBottom w:val="0"/>
          <w:divBdr>
            <w:top w:val="none" w:sz="0" w:space="0" w:color="auto"/>
            <w:left w:val="none" w:sz="0" w:space="0" w:color="auto"/>
            <w:bottom w:val="none" w:sz="0" w:space="0" w:color="auto"/>
            <w:right w:val="none" w:sz="0" w:space="0" w:color="auto"/>
          </w:divBdr>
        </w:div>
      </w:divsChild>
    </w:div>
    <w:div w:id="49892463">
      <w:bodyDiv w:val="1"/>
      <w:marLeft w:val="0"/>
      <w:marRight w:val="0"/>
      <w:marTop w:val="0"/>
      <w:marBottom w:val="0"/>
      <w:divBdr>
        <w:top w:val="none" w:sz="0" w:space="0" w:color="auto"/>
        <w:left w:val="none" w:sz="0" w:space="0" w:color="auto"/>
        <w:bottom w:val="none" w:sz="0" w:space="0" w:color="auto"/>
        <w:right w:val="none" w:sz="0" w:space="0" w:color="auto"/>
      </w:divBdr>
      <w:divsChild>
        <w:div w:id="56629426">
          <w:marLeft w:val="547"/>
          <w:marRight w:val="0"/>
          <w:marTop w:val="115"/>
          <w:marBottom w:val="0"/>
          <w:divBdr>
            <w:top w:val="none" w:sz="0" w:space="0" w:color="auto"/>
            <w:left w:val="none" w:sz="0" w:space="0" w:color="auto"/>
            <w:bottom w:val="none" w:sz="0" w:space="0" w:color="auto"/>
            <w:right w:val="none" w:sz="0" w:space="0" w:color="auto"/>
          </w:divBdr>
        </w:div>
        <w:div w:id="140771983">
          <w:marLeft w:val="547"/>
          <w:marRight w:val="0"/>
          <w:marTop w:val="115"/>
          <w:marBottom w:val="0"/>
          <w:divBdr>
            <w:top w:val="none" w:sz="0" w:space="0" w:color="auto"/>
            <w:left w:val="none" w:sz="0" w:space="0" w:color="auto"/>
            <w:bottom w:val="none" w:sz="0" w:space="0" w:color="auto"/>
            <w:right w:val="none" w:sz="0" w:space="0" w:color="auto"/>
          </w:divBdr>
        </w:div>
        <w:div w:id="205261001">
          <w:marLeft w:val="547"/>
          <w:marRight w:val="0"/>
          <w:marTop w:val="115"/>
          <w:marBottom w:val="0"/>
          <w:divBdr>
            <w:top w:val="none" w:sz="0" w:space="0" w:color="auto"/>
            <w:left w:val="none" w:sz="0" w:space="0" w:color="auto"/>
            <w:bottom w:val="none" w:sz="0" w:space="0" w:color="auto"/>
            <w:right w:val="none" w:sz="0" w:space="0" w:color="auto"/>
          </w:divBdr>
        </w:div>
        <w:div w:id="285552564">
          <w:marLeft w:val="547"/>
          <w:marRight w:val="0"/>
          <w:marTop w:val="115"/>
          <w:marBottom w:val="0"/>
          <w:divBdr>
            <w:top w:val="none" w:sz="0" w:space="0" w:color="auto"/>
            <w:left w:val="none" w:sz="0" w:space="0" w:color="auto"/>
            <w:bottom w:val="none" w:sz="0" w:space="0" w:color="auto"/>
            <w:right w:val="none" w:sz="0" w:space="0" w:color="auto"/>
          </w:divBdr>
        </w:div>
        <w:div w:id="673457805">
          <w:marLeft w:val="547"/>
          <w:marRight w:val="0"/>
          <w:marTop w:val="115"/>
          <w:marBottom w:val="0"/>
          <w:divBdr>
            <w:top w:val="none" w:sz="0" w:space="0" w:color="auto"/>
            <w:left w:val="none" w:sz="0" w:space="0" w:color="auto"/>
            <w:bottom w:val="none" w:sz="0" w:space="0" w:color="auto"/>
            <w:right w:val="none" w:sz="0" w:space="0" w:color="auto"/>
          </w:divBdr>
        </w:div>
        <w:div w:id="1553539361">
          <w:marLeft w:val="547"/>
          <w:marRight w:val="0"/>
          <w:marTop w:val="115"/>
          <w:marBottom w:val="0"/>
          <w:divBdr>
            <w:top w:val="none" w:sz="0" w:space="0" w:color="auto"/>
            <w:left w:val="none" w:sz="0" w:space="0" w:color="auto"/>
            <w:bottom w:val="none" w:sz="0" w:space="0" w:color="auto"/>
            <w:right w:val="none" w:sz="0" w:space="0" w:color="auto"/>
          </w:divBdr>
        </w:div>
      </w:divsChild>
    </w:div>
    <w:div w:id="91554468">
      <w:bodyDiv w:val="1"/>
      <w:marLeft w:val="0"/>
      <w:marRight w:val="0"/>
      <w:marTop w:val="0"/>
      <w:marBottom w:val="0"/>
      <w:divBdr>
        <w:top w:val="none" w:sz="0" w:space="0" w:color="auto"/>
        <w:left w:val="none" w:sz="0" w:space="0" w:color="auto"/>
        <w:bottom w:val="none" w:sz="0" w:space="0" w:color="auto"/>
        <w:right w:val="none" w:sz="0" w:space="0" w:color="auto"/>
      </w:divBdr>
    </w:div>
    <w:div w:id="130640040">
      <w:bodyDiv w:val="1"/>
      <w:marLeft w:val="0"/>
      <w:marRight w:val="0"/>
      <w:marTop w:val="0"/>
      <w:marBottom w:val="0"/>
      <w:divBdr>
        <w:top w:val="none" w:sz="0" w:space="0" w:color="auto"/>
        <w:left w:val="none" w:sz="0" w:space="0" w:color="auto"/>
        <w:bottom w:val="none" w:sz="0" w:space="0" w:color="auto"/>
        <w:right w:val="none" w:sz="0" w:space="0" w:color="auto"/>
      </w:divBdr>
    </w:div>
    <w:div w:id="185293804">
      <w:bodyDiv w:val="1"/>
      <w:marLeft w:val="0"/>
      <w:marRight w:val="0"/>
      <w:marTop w:val="0"/>
      <w:marBottom w:val="0"/>
      <w:divBdr>
        <w:top w:val="none" w:sz="0" w:space="0" w:color="auto"/>
        <w:left w:val="none" w:sz="0" w:space="0" w:color="auto"/>
        <w:bottom w:val="none" w:sz="0" w:space="0" w:color="auto"/>
        <w:right w:val="none" w:sz="0" w:space="0" w:color="auto"/>
      </w:divBdr>
    </w:div>
    <w:div w:id="223373210">
      <w:bodyDiv w:val="1"/>
      <w:marLeft w:val="0"/>
      <w:marRight w:val="0"/>
      <w:marTop w:val="0"/>
      <w:marBottom w:val="0"/>
      <w:divBdr>
        <w:top w:val="none" w:sz="0" w:space="0" w:color="auto"/>
        <w:left w:val="none" w:sz="0" w:space="0" w:color="auto"/>
        <w:bottom w:val="none" w:sz="0" w:space="0" w:color="auto"/>
        <w:right w:val="none" w:sz="0" w:space="0" w:color="auto"/>
      </w:divBdr>
      <w:divsChild>
        <w:div w:id="2003924520">
          <w:marLeft w:val="274"/>
          <w:marRight w:val="0"/>
          <w:marTop w:val="77"/>
          <w:marBottom w:val="0"/>
          <w:divBdr>
            <w:top w:val="none" w:sz="0" w:space="0" w:color="auto"/>
            <w:left w:val="none" w:sz="0" w:space="0" w:color="auto"/>
            <w:bottom w:val="none" w:sz="0" w:space="0" w:color="auto"/>
            <w:right w:val="none" w:sz="0" w:space="0" w:color="auto"/>
          </w:divBdr>
        </w:div>
      </w:divsChild>
    </w:div>
    <w:div w:id="351952330">
      <w:bodyDiv w:val="1"/>
      <w:marLeft w:val="0"/>
      <w:marRight w:val="0"/>
      <w:marTop w:val="0"/>
      <w:marBottom w:val="0"/>
      <w:divBdr>
        <w:top w:val="none" w:sz="0" w:space="0" w:color="auto"/>
        <w:left w:val="none" w:sz="0" w:space="0" w:color="auto"/>
        <w:bottom w:val="none" w:sz="0" w:space="0" w:color="auto"/>
        <w:right w:val="none" w:sz="0" w:space="0" w:color="auto"/>
      </w:divBdr>
      <w:divsChild>
        <w:div w:id="1375698296">
          <w:marLeft w:val="187"/>
          <w:marRight w:val="0"/>
          <w:marTop w:val="156"/>
          <w:marBottom w:val="0"/>
          <w:divBdr>
            <w:top w:val="none" w:sz="0" w:space="0" w:color="auto"/>
            <w:left w:val="none" w:sz="0" w:space="0" w:color="auto"/>
            <w:bottom w:val="none" w:sz="0" w:space="0" w:color="auto"/>
            <w:right w:val="none" w:sz="0" w:space="0" w:color="auto"/>
          </w:divBdr>
        </w:div>
      </w:divsChild>
    </w:div>
    <w:div w:id="352263967">
      <w:bodyDiv w:val="1"/>
      <w:marLeft w:val="0"/>
      <w:marRight w:val="0"/>
      <w:marTop w:val="0"/>
      <w:marBottom w:val="0"/>
      <w:divBdr>
        <w:top w:val="none" w:sz="0" w:space="0" w:color="auto"/>
        <w:left w:val="none" w:sz="0" w:space="0" w:color="auto"/>
        <w:bottom w:val="none" w:sz="0" w:space="0" w:color="auto"/>
        <w:right w:val="none" w:sz="0" w:space="0" w:color="auto"/>
      </w:divBdr>
      <w:divsChild>
        <w:div w:id="1619605206">
          <w:marLeft w:val="360"/>
          <w:marRight w:val="0"/>
          <w:marTop w:val="0"/>
          <w:marBottom w:val="0"/>
          <w:divBdr>
            <w:top w:val="none" w:sz="0" w:space="0" w:color="auto"/>
            <w:left w:val="none" w:sz="0" w:space="0" w:color="auto"/>
            <w:bottom w:val="none" w:sz="0" w:space="0" w:color="auto"/>
            <w:right w:val="none" w:sz="0" w:space="0" w:color="auto"/>
          </w:divBdr>
        </w:div>
        <w:div w:id="412627732">
          <w:marLeft w:val="360"/>
          <w:marRight w:val="0"/>
          <w:marTop w:val="0"/>
          <w:marBottom w:val="0"/>
          <w:divBdr>
            <w:top w:val="none" w:sz="0" w:space="0" w:color="auto"/>
            <w:left w:val="none" w:sz="0" w:space="0" w:color="auto"/>
            <w:bottom w:val="none" w:sz="0" w:space="0" w:color="auto"/>
            <w:right w:val="none" w:sz="0" w:space="0" w:color="auto"/>
          </w:divBdr>
        </w:div>
      </w:divsChild>
    </w:div>
    <w:div w:id="421490193">
      <w:bodyDiv w:val="1"/>
      <w:marLeft w:val="0"/>
      <w:marRight w:val="0"/>
      <w:marTop w:val="0"/>
      <w:marBottom w:val="0"/>
      <w:divBdr>
        <w:top w:val="none" w:sz="0" w:space="0" w:color="auto"/>
        <w:left w:val="none" w:sz="0" w:space="0" w:color="auto"/>
        <w:bottom w:val="none" w:sz="0" w:space="0" w:color="auto"/>
        <w:right w:val="none" w:sz="0" w:space="0" w:color="auto"/>
      </w:divBdr>
    </w:div>
    <w:div w:id="456991008">
      <w:bodyDiv w:val="1"/>
      <w:marLeft w:val="0"/>
      <w:marRight w:val="0"/>
      <w:marTop w:val="0"/>
      <w:marBottom w:val="0"/>
      <w:divBdr>
        <w:top w:val="none" w:sz="0" w:space="0" w:color="auto"/>
        <w:left w:val="none" w:sz="0" w:space="0" w:color="auto"/>
        <w:bottom w:val="none" w:sz="0" w:space="0" w:color="auto"/>
        <w:right w:val="none" w:sz="0" w:space="0" w:color="auto"/>
      </w:divBdr>
      <w:divsChild>
        <w:div w:id="39135978">
          <w:marLeft w:val="734"/>
          <w:marRight w:val="0"/>
          <w:marTop w:val="60"/>
          <w:marBottom w:val="0"/>
          <w:divBdr>
            <w:top w:val="none" w:sz="0" w:space="0" w:color="auto"/>
            <w:left w:val="none" w:sz="0" w:space="0" w:color="auto"/>
            <w:bottom w:val="none" w:sz="0" w:space="0" w:color="auto"/>
            <w:right w:val="none" w:sz="0" w:space="0" w:color="auto"/>
          </w:divBdr>
        </w:div>
        <w:div w:id="61950166">
          <w:marLeft w:val="302"/>
          <w:marRight w:val="0"/>
          <w:marTop w:val="72"/>
          <w:marBottom w:val="0"/>
          <w:divBdr>
            <w:top w:val="none" w:sz="0" w:space="0" w:color="auto"/>
            <w:left w:val="none" w:sz="0" w:space="0" w:color="auto"/>
            <w:bottom w:val="none" w:sz="0" w:space="0" w:color="auto"/>
            <w:right w:val="none" w:sz="0" w:space="0" w:color="auto"/>
          </w:divBdr>
        </w:div>
        <w:div w:id="258148556">
          <w:marLeft w:val="734"/>
          <w:marRight w:val="0"/>
          <w:marTop w:val="60"/>
          <w:marBottom w:val="0"/>
          <w:divBdr>
            <w:top w:val="none" w:sz="0" w:space="0" w:color="auto"/>
            <w:left w:val="none" w:sz="0" w:space="0" w:color="auto"/>
            <w:bottom w:val="none" w:sz="0" w:space="0" w:color="auto"/>
            <w:right w:val="none" w:sz="0" w:space="0" w:color="auto"/>
          </w:divBdr>
        </w:div>
        <w:div w:id="408894377">
          <w:marLeft w:val="734"/>
          <w:marRight w:val="0"/>
          <w:marTop w:val="60"/>
          <w:marBottom w:val="0"/>
          <w:divBdr>
            <w:top w:val="none" w:sz="0" w:space="0" w:color="auto"/>
            <w:left w:val="none" w:sz="0" w:space="0" w:color="auto"/>
            <w:bottom w:val="none" w:sz="0" w:space="0" w:color="auto"/>
            <w:right w:val="none" w:sz="0" w:space="0" w:color="auto"/>
          </w:divBdr>
        </w:div>
        <w:div w:id="469715747">
          <w:marLeft w:val="734"/>
          <w:marRight w:val="0"/>
          <w:marTop w:val="60"/>
          <w:marBottom w:val="0"/>
          <w:divBdr>
            <w:top w:val="none" w:sz="0" w:space="0" w:color="auto"/>
            <w:left w:val="none" w:sz="0" w:space="0" w:color="auto"/>
            <w:bottom w:val="none" w:sz="0" w:space="0" w:color="auto"/>
            <w:right w:val="none" w:sz="0" w:space="0" w:color="auto"/>
          </w:divBdr>
        </w:div>
        <w:div w:id="654603152">
          <w:marLeft w:val="734"/>
          <w:marRight w:val="0"/>
          <w:marTop w:val="60"/>
          <w:marBottom w:val="0"/>
          <w:divBdr>
            <w:top w:val="none" w:sz="0" w:space="0" w:color="auto"/>
            <w:left w:val="none" w:sz="0" w:space="0" w:color="auto"/>
            <w:bottom w:val="none" w:sz="0" w:space="0" w:color="auto"/>
            <w:right w:val="none" w:sz="0" w:space="0" w:color="auto"/>
          </w:divBdr>
        </w:div>
        <w:div w:id="740446345">
          <w:marLeft w:val="734"/>
          <w:marRight w:val="0"/>
          <w:marTop w:val="60"/>
          <w:marBottom w:val="0"/>
          <w:divBdr>
            <w:top w:val="none" w:sz="0" w:space="0" w:color="auto"/>
            <w:left w:val="none" w:sz="0" w:space="0" w:color="auto"/>
            <w:bottom w:val="none" w:sz="0" w:space="0" w:color="auto"/>
            <w:right w:val="none" w:sz="0" w:space="0" w:color="auto"/>
          </w:divBdr>
        </w:div>
        <w:div w:id="751506666">
          <w:marLeft w:val="302"/>
          <w:marRight w:val="0"/>
          <w:marTop w:val="72"/>
          <w:marBottom w:val="0"/>
          <w:divBdr>
            <w:top w:val="none" w:sz="0" w:space="0" w:color="auto"/>
            <w:left w:val="none" w:sz="0" w:space="0" w:color="auto"/>
            <w:bottom w:val="none" w:sz="0" w:space="0" w:color="auto"/>
            <w:right w:val="none" w:sz="0" w:space="0" w:color="auto"/>
          </w:divBdr>
        </w:div>
        <w:div w:id="910427304">
          <w:marLeft w:val="734"/>
          <w:marRight w:val="0"/>
          <w:marTop w:val="60"/>
          <w:marBottom w:val="0"/>
          <w:divBdr>
            <w:top w:val="none" w:sz="0" w:space="0" w:color="auto"/>
            <w:left w:val="none" w:sz="0" w:space="0" w:color="auto"/>
            <w:bottom w:val="none" w:sz="0" w:space="0" w:color="auto"/>
            <w:right w:val="none" w:sz="0" w:space="0" w:color="auto"/>
          </w:divBdr>
        </w:div>
        <w:div w:id="1060519018">
          <w:marLeft w:val="734"/>
          <w:marRight w:val="0"/>
          <w:marTop w:val="60"/>
          <w:marBottom w:val="0"/>
          <w:divBdr>
            <w:top w:val="none" w:sz="0" w:space="0" w:color="auto"/>
            <w:left w:val="none" w:sz="0" w:space="0" w:color="auto"/>
            <w:bottom w:val="none" w:sz="0" w:space="0" w:color="auto"/>
            <w:right w:val="none" w:sz="0" w:space="0" w:color="auto"/>
          </w:divBdr>
        </w:div>
        <w:div w:id="1148980856">
          <w:marLeft w:val="734"/>
          <w:marRight w:val="0"/>
          <w:marTop w:val="60"/>
          <w:marBottom w:val="0"/>
          <w:divBdr>
            <w:top w:val="none" w:sz="0" w:space="0" w:color="auto"/>
            <w:left w:val="none" w:sz="0" w:space="0" w:color="auto"/>
            <w:bottom w:val="none" w:sz="0" w:space="0" w:color="auto"/>
            <w:right w:val="none" w:sz="0" w:space="0" w:color="auto"/>
          </w:divBdr>
        </w:div>
        <w:div w:id="1318459393">
          <w:marLeft w:val="734"/>
          <w:marRight w:val="0"/>
          <w:marTop w:val="60"/>
          <w:marBottom w:val="0"/>
          <w:divBdr>
            <w:top w:val="none" w:sz="0" w:space="0" w:color="auto"/>
            <w:left w:val="none" w:sz="0" w:space="0" w:color="auto"/>
            <w:bottom w:val="none" w:sz="0" w:space="0" w:color="auto"/>
            <w:right w:val="none" w:sz="0" w:space="0" w:color="auto"/>
          </w:divBdr>
        </w:div>
        <w:div w:id="1427650952">
          <w:marLeft w:val="734"/>
          <w:marRight w:val="0"/>
          <w:marTop w:val="60"/>
          <w:marBottom w:val="0"/>
          <w:divBdr>
            <w:top w:val="none" w:sz="0" w:space="0" w:color="auto"/>
            <w:left w:val="none" w:sz="0" w:space="0" w:color="auto"/>
            <w:bottom w:val="none" w:sz="0" w:space="0" w:color="auto"/>
            <w:right w:val="none" w:sz="0" w:space="0" w:color="auto"/>
          </w:divBdr>
        </w:div>
        <w:div w:id="1773088452">
          <w:marLeft w:val="734"/>
          <w:marRight w:val="0"/>
          <w:marTop w:val="60"/>
          <w:marBottom w:val="0"/>
          <w:divBdr>
            <w:top w:val="none" w:sz="0" w:space="0" w:color="auto"/>
            <w:left w:val="none" w:sz="0" w:space="0" w:color="auto"/>
            <w:bottom w:val="none" w:sz="0" w:space="0" w:color="auto"/>
            <w:right w:val="none" w:sz="0" w:space="0" w:color="auto"/>
          </w:divBdr>
        </w:div>
        <w:div w:id="1854341579">
          <w:marLeft w:val="734"/>
          <w:marRight w:val="0"/>
          <w:marTop w:val="60"/>
          <w:marBottom w:val="0"/>
          <w:divBdr>
            <w:top w:val="none" w:sz="0" w:space="0" w:color="auto"/>
            <w:left w:val="none" w:sz="0" w:space="0" w:color="auto"/>
            <w:bottom w:val="none" w:sz="0" w:space="0" w:color="auto"/>
            <w:right w:val="none" w:sz="0" w:space="0" w:color="auto"/>
          </w:divBdr>
        </w:div>
        <w:div w:id="1919049772">
          <w:marLeft w:val="302"/>
          <w:marRight w:val="0"/>
          <w:marTop w:val="72"/>
          <w:marBottom w:val="0"/>
          <w:divBdr>
            <w:top w:val="none" w:sz="0" w:space="0" w:color="auto"/>
            <w:left w:val="none" w:sz="0" w:space="0" w:color="auto"/>
            <w:bottom w:val="none" w:sz="0" w:space="0" w:color="auto"/>
            <w:right w:val="none" w:sz="0" w:space="0" w:color="auto"/>
          </w:divBdr>
        </w:div>
        <w:div w:id="1930890435">
          <w:marLeft w:val="734"/>
          <w:marRight w:val="0"/>
          <w:marTop w:val="60"/>
          <w:marBottom w:val="0"/>
          <w:divBdr>
            <w:top w:val="none" w:sz="0" w:space="0" w:color="auto"/>
            <w:left w:val="none" w:sz="0" w:space="0" w:color="auto"/>
            <w:bottom w:val="none" w:sz="0" w:space="0" w:color="auto"/>
            <w:right w:val="none" w:sz="0" w:space="0" w:color="auto"/>
          </w:divBdr>
        </w:div>
      </w:divsChild>
    </w:div>
    <w:div w:id="468404761">
      <w:bodyDiv w:val="1"/>
      <w:marLeft w:val="0"/>
      <w:marRight w:val="0"/>
      <w:marTop w:val="0"/>
      <w:marBottom w:val="0"/>
      <w:divBdr>
        <w:top w:val="none" w:sz="0" w:space="0" w:color="auto"/>
        <w:left w:val="none" w:sz="0" w:space="0" w:color="auto"/>
        <w:bottom w:val="none" w:sz="0" w:space="0" w:color="auto"/>
        <w:right w:val="none" w:sz="0" w:space="0" w:color="auto"/>
      </w:divBdr>
      <w:divsChild>
        <w:div w:id="55864867">
          <w:marLeft w:val="187"/>
          <w:marRight w:val="0"/>
          <w:marTop w:val="156"/>
          <w:marBottom w:val="0"/>
          <w:divBdr>
            <w:top w:val="none" w:sz="0" w:space="0" w:color="auto"/>
            <w:left w:val="none" w:sz="0" w:space="0" w:color="auto"/>
            <w:bottom w:val="none" w:sz="0" w:space="0" w:color="auto"/>
            <w:right w:val="none" w:sz="0" w:space="0" w:color="auto"/>
          </w:divBdr>
        </w:div>
        <w:div w:id="645744890">
          <w:marLeft w:val="187"/>
          <w:marRight w:val="0"/>
          <w:marTop w:val="156"/>
          <w:marBottom w:val="0"/>
          <w:divBdr>
            <w:top w:val="none" w:sz="0" w:space="0" w:color="auto"/>
            <w:left w:val="none" w:sz="0" w:space="0" w:color="auto"/>
            <w:bottom w:val="none" w:sz="0" w:space="0" w:color="auto"/>
            <w:right w:val="none" w:sz="0" w:space="0" w:color="auto"/>
          </w:divBdr>
        </w:div>
        <w:div w:id="1004673473">
          <w:marLeft w:val="187"/>
          <w:marRight w:val="0"/>
          <w:marTop w:val="156"/>
          <w:marBottom w:val="0"/>
          <w:divBdr>
            <w:top w:val="none" w:sz="0" w:space="0" w:color="auto"/>
            <w:left w:val="none" w:sz="0" w:space="0" w:color="auto"/>
            <w:bottom w:val="none" w:sz="0" w:space="0" w:color="auto"/>
            <w:right w:val="none" w:sz="0" w:space="0" w:color="auto"/>
          </w:divBdr>
        </w:div>
        <w:div w:id="1634822998">
          <w:marLeft w:val="187"/>
          <w:marRight w:val="0"/>
          <w:marTop w:val="156"/>
          <w:marBottom w:val="0"/>
          <w:divBdr>
            <w:top w:val="none" w:sz="0" w:space="0" w:color="auto"/>
            <w:left w:val="none" w:sz="0" w:space="0" w:color="auto"/>
            <w:bottom w:val="none" w:sz="0" w:space="0" w:color="auto"/>
            <w:right w:val="none" w:sz="0" w:space="0" w:color="auto"/>
          </w:divBdr>
        </w:div>
        <w:div w:id="1770395415">
          <w:marLeft w:val="187"/>
          <w:marRight w:val="0"/>
          <w:marTop w:val="156"/>
          <w:marBottom w:val="0"/>
          <w:divBdr>
            <w:top w:val="none" w:sz="0" w:space="0" w:color="auto"/>
            <w:left w:val="none" w:sz="0" w:space="0" w:color="auto"/>
            <w:bottom w:val="none" w:sz="0" w:space="0" w:color="auto"/>
            <w:right w:val="none" w:sz="0" w:space="0" w:color="auto"/>
          </w:divBdr>
        </w:div>
        <w:div w:id="1855536383">
          <w:marLeft w:val="187"/>
          <w:marRight w:val="0"/>
          <w:marTop w:val="156"/>
          <w:marBottom w:val="0"/>
          <w:divBdr>
            <w:top w:val="none" w:sz="0" w:space="0" w:color="auto"/>
            <w:left w:val="none" w:sz="0" w:space="0" w:color="auto"/>
            <w:bottom w:val="none" w:sz="0" w:space="0" w:color="auto"/>
            <w:right w:val="none" w:sz="0" w:space="0" w:color="auto"/>
          </w:divBdr>
        </w:div>
      </w:divsChild>
    </w:div>
    <w:div w:id="472213654">
      <w:bodyDiv w:val="1"/>
      <w:marLeft w:val="0"/>
      <w:marRight w:val="0"/>
      <w:marTop w:val="0"/>
      <w:marBottom w:val="0"/>
      <w:divBdr>
        <w:top w:val="none" w:sz="0" w:space="0" w:color="auto"/>
        <w:left w:val="none" w:sz="0" w:space="0" w:color="auto"/>
        <w:bottom w:val="none" w:sz="0" w:space="0" w:color="auto"/>
        <w:right w:val="none" w:sz="0" w:space="0" w:color="auto"/>
      </w:divBdr>
    </w:div>
    <w:div w:id="574973639">
      <w:bodyDiv w:val="1"/>
      <w:marLeft w:val="0"/>
      <w:marRight w:val="0"/>
      <w:marTop w:val="143"/>
      <w:marBottom w:val="0"/>
      <w:divBdr>
        <w:top w:val="none" w:sz="0" w:space="0" w:color="auto"/>
        <w:left w:val="none" w:sz="0" w:space="0" w:color="auto"/>
        <w:bottom w:val="none" w:sz="0" w:space="0" w:color="auto"/>
        <w:right w:val="none" w:sz="0" w:space="0" w:color="auto"/>
      </w:divBdr>
      <w:divsChild>
        <w:div w:id="1442263915">
          <w:marLeft w:val="0"/>
          <w:marRight w:val="0"/>
          <w:marTop w:val="0"/>
          <w:marBottom w:val="0"/>
          <w:divBdr>
            <w:top w:val="none" w:sz="0" w:space="0" w:color="auto"/>
            <w:left w:val="none" w:sz="0" w:space="0" w:color="auto"/>
            <w:bottom w:val="none" w:sz="0" w:space="0" w:color="auto"/>
            <w:right w:val="none" w:sz="0" w:space="0" w:color="auto"/>
          </w:divBdr>
        </w:div>
      </w:divsChild>
    </w:div>
    <w:div w:id="624191596">
      <w:bodyDiv w:val="1"/>
      <w:marLeft w:val="0"/>
      <w:marRight w:val="0"/>
      <w:marTop w:val="0"/>
      <w:marBottom w:val="0"/>
      <w:divBdr>
        <w:top w:val="none" w:sz="0" w:space="0" w:color="auto"/>
        <w:left w:val="none" w:sz="0" w:space="0" w:color="auto"/>
        <w:bottom w:val="none" w:sz="0" w:space="0" w:color="auto"/>
        <w:right w:val="none" w:sz="0" w:space="0" w:color="auto"/>
      </w:divBdr>
    </w:div>
    <w:div w:id="677315984">
      <w:bodyDiv w:val="1"/>
      <w:marLeft w:val="0"/>
      <w:marRight w:val="0"/>
      <w:marTop w:val="0"/>
      <w:marBottom w:val="0"/>
      <w:divBdr>
        <w:top w:val="none" w:sz="0" w:space="0" w:color="auto"/>
        <w:left w:val="none" w:sz="0" w:space="0" w:color="auto"/>
        <w:bottom w:val="none" w:sz="0" w:space="0" w:color="auto"/>
        <w:right w:val="none" w:sz="0" w:space="0" w:color="auto"/>
      </w:divBdr>
    </w:div>
    <w:div w:id="725834221">
      <w:bodyDiv w:val="1"/>
      <w:marLeft w:val="0"/>
      <w:marRight w:val="0"/>
      <w:marTop w:val="0"/>
      <w:marBottom w:val="0"/>
      <w:divBdr>
        <w:top w:val="none" w:sz="0" w:space="0" w:color="auto"/>
        <w:left w:val="none" w:sz="0" w:space="0" w:color="auto"/>
        <w:bottom w:val="none" w:sz="0" w:space="0" w:color="auto"/>
        <w:right w:val="none" w:sz="0" w:space="0" w:color="auto"/>
      </w:divBdr>
    </w:div>
    <w:div w:id="749502174">
      <w:bodyDiv w:val="1"/>
      <w:marLeft w:val="0"/>
      <w:marRight w:val="0"/>
      <w:marTop w:val="0"/>
      <w:marBottom w:val="0"/>
      <w:divBdr>
        <w:top w:val="none" w:sz="0" w:space="0" w:color="auto"/>
        <w:left w:val="none" w:sz="0" w:space="0" w:color="auto"/>
        <w:bottom w:val="none" w:sz="0" w:space="0" w:color="auto"/>
        <w:right w:val="none" w:sz="0" w:space="0" w:color="auto"/>
      </w:divBdr>
      <w:divsChild>
        <w:div w:id="530609944">
          <w:marLeft w:val="360"/>
          <w:marRight w:val="0"/>
          <w:marTop w:val="0"/>
          <w:marBottom w:val="0"/>
          <w:divBdr>
            <w:top w:val="none" w:sz="0" w:space="0" w:color="auto"/>
            <w:left w:val="none" w:sz="0" w:space="0" w:color="auto"/>
            <w:bottom w:val="none" w:sz="0" w:space="0" w:color="auto"/>
            <w:right w:val="none" w:sz="0" w:space="0" w:color="auto"/>
          </w:divBdr>
        </w:div>
        <w:div w:id="1741246741">
          <w:marLeft w:val="360"/>
          <w:marRight w:val="0"/>
          <w:marTop w:val="0"/>
          <w:marBottom w:val="0"/>
          <w:divBdr>
            <w:top w:val="none" w:sz="0" w:space="0" w:color="auto"/>
            <w:left w:val="none" w:sz="0" w:space="0" w:color="auto"/>
            <w:bottom w:val="none" w:sz="0" w:space="0" w:color="auto"/>
            <w:right w:val="none" w:sz="0" w:space="0" w:color="auto"/>
          </w:divBdr>
        </w:div>
      </w:divsChild>
    </w:div>
    <w:div w:id="780802385">
      <w:bodyDiv w:val="1"/>
      <w:marLeft w:val="0"/>
      <w:marRight w:val="0"/>
      <w:marTop w:val="0"/>
      <w:marBottom w:val="0"/>
      <w:divBdr>
        <w:top w:val="none" w:sz="0" w:space="0" w:color="auto"/>
        <w:left w:val="none" w:sz="0" w:space="0" w:color="auto"/>
        <w:bottom w:val="none" w:sz="0" w:space="0" w:color="auto"/>
        <w:right w:val="none" w:sz="0" w:space="0" w:color="auto"/>
      </w:divBdr>
    </w:div>
    <w:div w:id="787435807">
      <w:bodyDiv w:val="1"/>
      <w:marLeft w:val="0"/>
      <w:marRight w:val="0"/>
      <w:marTop w:val="143"/>
      <w:marBottom w:val="0"/>
      <w:divBdr>
        <w:top w:val="none" w:sz="0" w:space="0" w:color="auto"/>
        <w:left w:val="none" w:sz="0" w:space="0" w:color="auto"/>
        <w:bottom w:val="none" w:sz="0" w:space="0" w:color="auto"/>
        <w:right w:val="none" w:sz="0" w:space="0" w:color="auto"/>
      </w:divBdr>
      <w:divsChild>
        <w:div w:id="313459476">
          <w:marLeft w:val="0"/>
          <w:marRight w:val="0"/>
          <w:marTop w:val="0"/>
          <w:marBottom w:val="0"/>
          <w:divBdr>
            <w:top w:val="none" w:sz="0" w:space="0" w:color="auto"/>
            <w:left w:val="none" w:sz="0" w:space="0" w:color="auto"/>
            <w:bottom w:val="none" w:sz="0" w:space="0" w:color="auto"/>
            <w:right w:val="none" w:sz="0" w:space="0" w:color="auto"/>
          </w:divBdr>
        </w:div>
      </w:divsChild>
    </w:div>
    <w:div w:id="840316906">
      <w:bodyDiv w:val="1"/>
      <w:marLeft w:val="0"/>
      <w:marRight w:val="0"/>
      <w:marTop w:val="0"/>
      <w:marBottom w:val="0"/>
      <w:divBdr>
        <w:top w:val="none" w:sz="0" w:space="0" w:color="auto"/>
        <w:left w:val="none" w:sz="0" w:space="0" w:color="auto"/>
        <w:bottom w:val="none" w:sz="0" w:space="0" w:color="auto"/>
        <w:right w:val="none" w:sz="0" w:space="0" w:color="auto"/>
      </w:divBdr>
      <w:divsChild>
        <w:div w:id="785778596">
          <w:marLeft w:val="274"/>
          <w:marRight w:val="0"/>
          <w:marTop w:val="58"/>
          <w:marBottom w:val="0"/>
          <w:divBdr>
            <w:top w:val="none" w:sz="0" w:space="0" w:color="auto"/>
            <w:left w:val="none" w:sz="0" w:space="0" w:color="auto"/>
            <w:bottom w:val="none" w:sz="0" w:space="0" w:color="auto"/>
            <w:right w:val="none" w:sz="0" w:space="0" w:color="auto"/>
          </w:divBdr>
        </w:div>
        <w:div w:id="874344245">
          <w:marLeft w:val="274"/>
          <w:marRight w:val="0"/>
          <w:marTop w:val="58"/>
          <w:marBottom w:val="0"/>
          <w:divBdr>
            <w:top w:val="none" w:sz="0" w:space="0" w:color="auto"/>
            <w:left w:val="none" w:sz="0" w:space="0" w:color="auto"/>
            <w:bottom w:val="none" w:sz="0" w:space="0" w:color="auto"/>
            <w:right w:val="none" w:sz="0" w:space="0" w:color="auto"/>
          </w:divBdr>
        </w:div>
        <w:div w:id="1583835839">
          <w:marLeft w:val="274"/>
          <w:marRight w:val="0"/>
          <w:marTop w:val="58"/>
          <w:marBottom w:val="0"/>
          <w:divBdr>
            <w:top w:val="none" w:sz="0" w:space="0" w:color="auto"/>
            <w:left w:val="none" w:sz="0" w:space="0" w:color="auto"/>
            <w:bottom w:val="none" w:sz="0" w:space="0" w:color="auto"/>
            <w:right w:val="none" w:sz="0" w:space="0" w:color="auto"/>
          </w:divBdr>
        </w:div>
        <w:div w:id="1818263011">
          <w:marLeft w:val="274"/>
          <w:marRight w:val="0"/>
          <w:marTop w:val="58"/>
          <w:marBottom w:val="0"/>
          <w:divBdr>
            <w:top w:val="none" w:sz="0" w:space="0" w:color="auto"/>
            <w:left w:val="none" w:sz="0" w:space="0" w:color="auto"/>
            <w:bottom w:val="none" w:sz="0" w:space="0" w:color="auto"/>
            <w:right w:val="none" w:sz="0" w:space="0" w:color="auto"/>
          </w:divBdr>
        </w:div>
      </w:divsChild>
    </w:div>
    <w:div w:id="866791432">
      <w:bodyDiv w:val="1"/>
      <w:marLeft w:val="0"/>
      <w:marRight w:val="0"/>
      <w:marTop w:val="171"/>
      <w:marBottom w:val="0"/>
      <w:divBdr>
        <w:top w:val="none" w:sz="0" w:space="0" w:color="auto"/>
        <w:left w:val="none" w:sz="0" w:space="0" w:color="auto"/>
        <w:bottom w:val="none" w:sz="0" w:space="0" w:color="auto"/>
        <w:right w:val="none" w:sz="0" w:space="0" w:color="auto"/>
      </w:divBdr>
      <w:divsChild>
        <w:div w:id="1524514488">
          <w:marLeft w:val="0"/>
          <w:marRight w:val="0"/>
          <w:marTop w:val="0"/>
          <w:marBottom w:val="0"/>
          <w:divBdr>
            <w:top w:val="none" w:sz="0" w:space="0" w:color="auto"/>
            <w:left w:val="none" w:sz="0" w:space="0" w:color="auto"/>
            <w:bottom w:val="none" w:sz="0" w:space="0" w:color="auto"/>
            <w:right w:val="none" w:sz="0" w:space="0" w:color="auto"/>
          </w:divBdr>
        </w:div>
      </w:divsChild>
    </w:div>
    <w:div w:id="897401355">
      <w:bodyDiv w:val="1"/>
      <w:marLeft w:val="0"/>
      <w:marRight w:val="0"/>
      <w:marTop w:val="0"/>
      <w:marBottom w:val="0"/>
      <w:divBdr>
        <w:top w:val="none" w:sz="0" w:space="0" w:color="auto"/>
        <w:left w:val="none" w:sz="0" w:space="0" w:color="auto"/>
        <w:bottom w:val="none" w:sz="0" w:space="0" w:color="auto"/>
        <w:right w:val="none" w:sz="0" w:space="0" w:color="auto"/>
      </w:divBdr>
    </w:div>
    <w:div w:id="899906170">
      <w:bodyDiv w:val="1"/>
      <w:marLeft w:val="0"/>
      <w:marRight w:val="0"/>
      <w:marTop w:val="0"/>
      <w:marBottom w:val="0"/>
      <w:divBdr>
        <w:top w:val="none" w:sz="0" w:space="0" w:color="auto"/>
        <w:left w:val="none" w:sz="0" w:space="0" w:color="auto"/>
        <w:bottom w:val="none" w:sz="0" w:space="0" w:color="auto"/>
        <w:right w:val="none" w:sz="0" w:space="0" w:color="auto"/>
      </w:divBdr>
    </w:div>
    <w:div w:id="923804800">
      <w:bodyDiv w:val="1"/>
      <w:marLeft w:val="0"/>
      <w:marRight w:val="0"/>
      <w:marTop w:val="0"/>
      <w:marBottom w:val="0"/>
      <w:divBdr>
        <w:top w:val="none" w:sz="0" w:space="0" w:color="auto"/>
        <w:left w:val="none" w:sz="0" w:space="0" w:color="auto"/>
        <w:bottom w:val="none" w:sz="0" w:space="0" w:color="auto"/>
        <w:right w:val="none" w:sz="0" w:space="0" w:color="auto"/>
      </w:divBdr>
    </w:div>
    <w:div w:id="936333544">
      <w:bodyDiv w:val="1"/>
      <w:marLeft w:val="0"/>
      <w:marRight w:val="0"/>
      <w:marTop w:val="0"/>
      <w:marBottom w:val="0"/>
      <w:divBdr>
        <w:top w:val="none" w:sz="0" w:space="0" w:color="auto"/>
        <w:left w:val="none" w:sz="0" w:space="0" w:color="auto"/>
        <w:bottom w:val="none" w:sz="0" w:space="0" w:color="auto"/>
        <w:right w:val="none" w:sz="0" w:space="0" w:color="auto"/>
      </w:divBdr>
    </w:div>
    <w:div w:id="993291838">
      <w:bodyDiv w:val="1"/>
      <w:marLeft w:val="0"/>
      <w:marRight w:val="0"/>
      <w:marTop w:val="143"/>
      <w:marBottom w:val="0"/>
      <w:divBdr>
        <w:top w:val="none" w:sz="0" w:space="0" w:color="auto"/>
        <w:left w:val="none" w:sz="0" w:space="0" w:color="auto"/>
        <w:bottom w:val="none" w:sz="0" w:space="0" w:color="auto"/>
        <w:right w:val="none" w:sz="0" w:space="0" w:color="auto"/>
      </w:divBdr>
      <w:divsChild>
        <w:div w:id="1666519803">
          <w:marLeft w:val="0"/>
          <w:marRight w:val="0"/>
          <w:marTop w:val="0"/>
          <w:marBottom w:val="0"/>
          <w:divBdr>
            <w:top w:val="none" w:sz="0" w:space="0" w:color="auto"/>
            <w:left w:val="none" w:sz="0" w:space="0" w:color="auto"/>
            <w:bottom w:val="none" w:sz="0" w:space="0" w:color="auto"/>
            <w:right w:val="none" w:sz="0" w:space="0" w:color="auto"/>
          </w:divBdr>
        </w:div>
      </w:divsChild>
    </w:div>
    <w:div w:id="1112213131">
      <w:bodyDiv w:val="1"/>
      <w:marLeft w:val="0"/>
      <w:marRight w:val="0"/>
      <w:marTop w:val="0"/>
      <w:marBottom w:val="0"/>
      <w:divBdr>
        <w:top w:val="none" w:sz="0" w:space="0" w:color="auto"/>
        <w:left w:val="none" w:sz="0" w:space="0" w:color="auto"/>
        <w:bottom w:val="none" w:sz="0" w:space="0" w:color="auto"/>
        <w:right w:val="none" w:sz="0" w:space="0" w:color="auto"/>
      </w:divBdr>
    </w:div>
    <w:div w:id="1137911706">
      <w:bodyDiv w:val="1"/>
      <w:marLeft w:val="0"/>
      <w:marRight w:val="0"/>
      <w:marTop w:val="0"/>
      <w:marBottom w:val="0"/>
      <w:divBdr>
        <w:top w:val="none" w:sz="0" w:space="0" w:color="auto"/>
        <w:left w:val="none" w:sz="0" w:space="0" w:color="auto"/>
        <w:bottom w:val="none" w:sz="0" w:space="0" w:color="auto"/>
        <w:right w:val="none" w:sz="0" w:space="0" w:color="auto"/>
      </w:divBdr>
    </w:div>
    <w:div w:id="1139806055">
      <w:bodyDiv w:val="1"/>
      <w:marLeft w:val="0"/>
      <w:marRight w:val="0"/>
      <w:marTop w:val="0"/>
      <w:marBottom w:val="0"/>
      <w:divBdr>
        <w:top w:val="none" w:sz="0" w:space="0" w:color="auto"/>
        <w:left w:val="none" w:sz="0" w:space="0" w:color="auto"/>
        <w:bottom w:val="none" w:sz="0" w:space="0" w:color="auto"/>
        <w:right w:val="none" w:sz="0" w:space="0" w:color="auto"/>
      </w:divBdr>
    </w:div>
    <w:div w:id="1151599019">
      <w:bodyDiv w:val="1"/>
      <w:marLeft w:val="0"/>
      <w:marRight w:val="0"/>
      <w:marTop w:val="0"/>
      <w:marBottom w:val="0"/>
      <w:divBdr>
        <w:top w:val="none" w:sz="0" w:space="0" w:color="auto"/>
        <w:left w:val="none" w:sz="0" w:space="0" w:color="auto"/>
        <w:bottom w:val="none" w:sz="0" w:space="0" w:color="auto"/>
        <w:right w:val="none" w:sz="0" w:space="0" w:color="auto"/>
      </w:divBdr>
    </w:div>
    <w:div w:id="1182164227">
      <w:bodyDiv w:val="1"/>
      <w:marLeft w:val="0"/>
      <w:marRight w:val="0"/>
      <w:marTop w:val="0"/>
      <w:marBottom w:val="0"/>
      <w:divBdr>
        <w:top w:val="none" w:sz="0" w:space="0" w:color="auto"/>
        <w:left w:val="none" w:sz="0" w:space="0" w:color="auto"/>
        <w:bottom w:val="none" w:sz="0" w:space="0" w:color="auto"/>
        <w:right w:val="none" w:sz="0" w:space="0" w:color="auto"/>
      </w:divBdr>
    </w:div>
    <w:div w:id="1186290222">
      <w:bodyDiv w:val="1"/>
      <w:marLeft w:val="0"/>
      <w:marRight w:val="0"/>
      <w:marTop w:val="0"/>
      <w:marBottom w:val="0"/>
      <w:divBdr>
        <w:top w:val="none" w:sz="0" w:space="0" w:color="auto"/>
        <w:left w:val="none" w:sz="0" w:space="0" w:color="auto"/>
        <w:bottom w:val="none" w:sz="0" w:space="0" w:color="auto"/>
        <w:right w:val="none" w:sz="0" w:space="0" w:color="auto"/>
      </w:divBdr>
    </w:div>
    <w:div w:id="1199899482">
      <w:bodyDiv w:val="1"/>
      <w:marLeft w:val="0"/>
      <w:marRight w:val="0"/>
      <w:marTop w:val="0"/>
      <w:marBottom w:val="0"/>
      <w:divBdr>
        <w:top w:val="none" w:sz="0" w:space="0" w:color="auto"/>
        <w:left w:val="none" w:sz="0" w:space="0" w:color="auto"/>
        <w:bottom w:val="none" w:sz="0" w:space="0" w:color="auto"/>
        <w:right w:val="none" w:sz="0" w:space="0" w:color="auto"/>
      </w:divBdr>
    </w:div>
    <w:div w:id="1239364019">
      <w:bodyDiv w:val="1"/>
      <w:marLeft w:val="0"/>
      <w:marRight w:val="0"/>
      <w:marTop w:val="0"/>
      <w:marBottom w:val="0"/>
      <w:divBdr>
        <w:top w:val="none" w:sz="0" w:space="0" w:color="auto"/>
        <w:left w:val="none" w:sz="0" w:space="0" w:color="auto"/>
        <w:bottom w:val="none" w:sz="0" w:space="0" w:color="auto"/>
        <w:right w:val="none" w:sz="0" w:space="0" w:color="auto"/>
      </w:divBdr>
    </w:div>
    <w:div w:id="1426531796">
      <w:bodyDiv w:val="1"/>
      <w:marLeft w:val="0"/>
      <w:marRight w:val="0"/>
      <w:marTop w:val="0"/>
      <w:marBottom w:val="0"/>
      <w:divBdr>
        <w:top w:val="none" w:sz="0" w:space="0" w:color="auto"/>
        <w:left w:val="none" w:sz="0" w:space="0" w:color="auto"/>
        <w:bottom w:val="none" w:sz="0" w:space="0" w:color="auto"/>
        <w:right w:val="none" w:sz="0" w:space="0" w:color="auto"/>
      </w:divBdr>
    </w:div>
    <w:div w:id="1450319711">
      <w:bodyDiv w:val="1"/>
      <w:marLeft w:val="0"/>
      <w:marRight w:val="0"/>
      <w:marTop w:val="0"/>
      <w:marBottom w:val="0"/>
      <w:divBdr>
        <w:top w:val="none" w:sz="0" w:space="0" w:color="auto"/>
        <w:left w:val="none" w:sz="0" w:space="0" w:color="auto"/>
        <w:bottom w:val="none" w:sz="0" w:space="0" w:color="auto"/>
        <w:right w:val="none" w:sz="0" w:space="0" w:color="auto"/>
      </w:divBdr>
    </w:div>
    <w:div w:id="1548446392">
      <w:bodyDiv w:val="1"/>
      <w:marLeft w:val="0"/>
      <w:marRight w:val="0"/>
      <w:marTop w:val="0"/>
      <w:marBottom w:val="0"/>
      <w:divBdr>
        <w:top w:val="none" w:sz="0" w:space="0" w:color="auto"/>
        <w:left w:val="none" w:sz="0" w:space="0" w:color="auto"/>
        <w:bottom w:val="none" w:sz="0" w:space="0" w:color="auto"/>
        <w:right w:val="none" w:sz="0" w:space="0" w:color="auto"/>
      </w:divBdr>
      <w:divsChild>
        <w:div w:id="311567975">
          <w:marLeft w:val="547"/>
          <w:marRight w:val="0"/>
          <w:marTop w:val="154"/>
          <w:marBottom w:val="0"/>
          <w:divBdr>
            <w:top w:val="none" w:sz="0" w:space="0" w:color="auto"/>
            <w:left w:val="none" w:sz="0" w:space="0" w:color="auto"/>
            <w:bottom w:val="none" w:sz="0" w:space="0" w:color="auto"/>
            <w:right w:val="none" w:sz="0" w:space="0" w:color="auto"/>
          </w:divBdr>
        </w:div>
        <w:div w:id="394665320">
          <w:marLeft w:val="547"/>
          <w:marRight w:val="0"/>
          <w:marTop w:val="154"/>
          <w:marBottom w:val="0"/>
          <w:divBdr>
            <w:top w:val="none" w:sz="0" w:space="0" w:color="auto"/>
            <w:left w:val="none" w:sz="0" w:space="0" w:color="auto"/>
            <w:bottom w:val="none" w:sz="0" w:space="0" w:color="auto"/>
            <w:right w:val="none" w:sz="0" w:space="0" w:color="auto"/>
          </w:divBdr>
        </w:div>
        <w:div w:id="437138098">
          <w:marLeft w:val="547"/>
          <w:marRight w:val="0"/>
          <w:marTop w:val="154"/>
          <w:marBottom w:val="0"/>
          <w:divBdr>
            <w:top w:val="none" w:sz="0" w:space="0" w:color="auto"/>
            <w:left w:val="none" w:sz="0" w:space="0" w:color="auto"/>
            <w:bottom w:val="none" w:sz="0" w:space="0" w:color="auto"/>
            <w:right w:val="none" w:sz="0" w:space="0" w:color="auto"/>
          </w:divBdr>
        </w:div>
        <w:div w:id="544102550">
          <w:marLeft w:val="547"/>
          <w:marRight w:val="0"/>
          <w:marTop w:val="154"/>
          <w:marBottom w:val="0"/>
          <w:divBdr>
            <w:top w:val="none" w:sz="0" w:space="0" w:color="auto"/>
            <w:left w:val="none" w:sz="0" w:space="0" w:color="auto"/>
            <w:bottom w:val="none" w:sz="0" w:space="0" w:color="auto"/>
            <w:right w:val="none" w:sz="0" w:space="0" w:color="auto"/>
          </w:divBdr>
        </w:div>
        <w:div w:id="820387152">
          <w:marLeft w:val="547"/>
          <w:marRight w:val="0"/>
          <w:marTop w:val="154"/>
          <w:marBottom w:val="0"/>
          <w:divBdr>
            <w:top w:val="none" w:sz="0" w:space="0" w:color="auto"/>
            <w:left w:val="none" w:sz="0" w:space="0" w:color="auto"/>
            <w:bottom w:val="none" w:sz="0" w:space="0" w:color="auto"/>
            <w:right w:val="none" w:sz="0" w:space="0" w:color="auto"/>
          </w:divBdr>
        </w:div>
        <w:div w:id="1246111356">
          <w:marLeft w:val="547"/>
          <w:marRight w:val="0"/>
          <w:marTop w:val="154"/>
          <w:marBottom w:val="0"/>
          <w:divBdr>
            <w:top w:val="none" w:sz="0" w:space="0" w:color="auto"/>
            <w:left w:val="none" w:sz="0" w:space="0" w:color="auto"/>
            <w:bottom w:val="none" w:sz="0" w:space="0" w:color="auto"/>
            <w:right w:val="none" w:sz="0" w:space="0" w:color="auto"/>
          </w:divBdr>
        </w:div>
      </w:divsChild>
    </w:div>
    <w:div w:id="1549730293">
      <w:bodyDiv w:val="1"/>
      <w:marLeft w:val="0"/>
      <w:marRight w:val="0"/>
      <w:marTop w:val="0"/>
      <w:marBottom w:val="0"/>
      <w:divBdr>
        <w:top w:val="none" w:sz="0" w:space="0" w:color="auto"/>
        <w:left w:val="none" w:sz="0" w:space="0" w:color="auto"/>
        <w:bottom w:val="none" w:sz="0" w:space="0" w:color="auto"/>
        <w:right w:val="none" w:sz="0" w:space="0" w:color="auto"/>
      </w:divBdr>
    </w:div>
    <w:div w:id="1581912609">
      <w:bodyDiv w:val="1"/>
      <w:marLeft w:val="0"/>
      <w:marRight w:val="0"/>
      <w:marTop w:val="0"/>
      <w:marBottom w:val="0"/>
      <w:divBdr>
        <w:top w:val="none" w:sz="0" w:space="0" w:color="auto"/>
        <w:left w:val="none" w:sz="0" w:space="0" w:color="auto"/>
        <w:bottom w:val="none" w:sz="0" w:space="0" w:color="auto"/>
        <w:right w:val="none" w:sz="0" w:space="0" w:color="auto"/>
      </w:divBdr>
      <w:divsChild>
        <w:div w:id="381901859">
          <w:marLeft w:val="806"/>
          <w:marRight w:val="0"/>
          <w:marTop w:val="77"/>
          <w:marBottom w:val="0"/>
          <w:divBdr>
            <w:top w:val="none" w:sz="0" w:space="0" w:color="auto"/>
            <w:left w:val="none" w:sz="0" w:space="0" w:color="auto"/>
            <w:bottom w:val="none" w:sz="0" w:space="0" w:color="auto"/>
            <w:right w:val="none" w:sz="0" w:space="0" w:color="auto"/>
          </w:divBdr>
        </w:div>
        <w:div w:id="521864845">
          <w:marLeft w:val="274"/>
          <w:marRight w:val="0"/>
          <w:marTop w:val="77"/>
          <w:marBottom w:val="0"/>
          <w:divBdr>
            <w:top w:val="none" w:sz="0" w:space="0" w:color="auto"/>
            <w:left w:val="none" w:sz="0" w:space="0" w:color="auto"/>
            <w:bottom w:val="none" w:sz="0" w:space="0" w:color="auto"/>
            <w:right w:val="none" w:sz="0" w:space="0" w:color="auto"/>
          </w:divBdr>
        </w:div>
        <w:div w:id="832643520">
          <w:marLeft w:val="806"/>
          <w:marRight w:val="0"/>
          <w:marTop w:val="77"/>
          <w:marBottom w:val="0"/>
          <w:divBdr>
            <w:top w:val="none" w:sz="0" w:space="0" w:color="auto"/>
            <w:left w:val="none" w:sz="0" w:space="0" w:color="auto"/>
            <w:bottom w:val="none" w:sz="0" w:space="0" w:color="auto"/>
            <w:right w:val="none" w:sz="0" w:space="0" w:color="auto"/>
          </w:divBdr>
        </w:div>
        <w:div w:id="989094693">
          <w:marLeft w:val="806"/>
          <w:marRight w:val="0"/>
          <w:marTop w:val="77"/>
          <w:marBottom w:val="0"/>
          <w:divBdr>
            <w:top w:val="none" w:sz="0" w:space="0" w:color="auto"/>
            <w:left w:val="none" w:sz="0" w:space="0" w:color="auto"/>
            <w:bottom w:val="none" w:sz="0" w:space="0" w:color="auto"/>
            <w:right w:val="none" w:sz="0" w:space="0" w:color="auto"/>
          </w:divBdr>
        </w:div>
        <w:div w:id="1162626975">
          <w:marLeft w:val="274"/>
          <w:marRight w:val="0"/>
          <w:marTop w:val="77"/>
          <w:marBottom w:val="0"/>
          <w:divBdr>
            <w:top w:val="none" w:sz="0" w:space="0" w:color="auto"/>
            <w:left w:val="none" w:sz="0" w:space="0" w:color="auto"/>
            <w:bottom w:val="none" w:sz="0" w:space="0" w:color="auto"/>
            <w:right w:val="none" w:sz="0" w:space="0" w:color="auto"/>
          </w:divBdr>
        </w:div>
        <w:div w:id="1228220599">
          <w:marLeft w:val="274"/>
          <w:marRight w:val="0"/>
          <w:marTop w:val="77"/>
          <w:marBottom w:val="0"/>
          <w:divBdr>
            <w:top w:val="none" w:sz="0" w:space="0" w:color="auto"/>
            <w:left w:val="none" w:sz="0" w:space="0" w:color="auto"/>
            <w:bottom w:val="none" w:sz="0" w:space="0" w:color="auto"/>
            <w:right w:val="none" w:sz="0" w:space="0" w:color="auto"/>
          </w:divBdr>
        </w:div>
        <w:div w:id="1318340887">
          <w:marLeft w:val="806"/>
          <w:marRight w:val="0"/>
          <w:marTop w:val="77"/>
          <w:marBottom w:val="0"/>
          <w:divBdr>
            <w:top w:val="none" w:sz="0" w:space="0" w:color="auto"/>
            <w:left w:val="none" w:sz="0" w:space="0" w:color="auto"/>
            <w:bottom w:val="none" w:sz="0" w:space="0" w:color="auto"/>
            <w:right w:val="none" w:sz="0" w:space="0" w:color="auto"/>
          </w:divBdr>
        </w:div>
      </w:divsChild>
    </w:div>
    <w:div w:id="1585608249">
      <w:bodyDiv w:val="1"/>
      <w:marLeft w:val="0"/>
      <w:marRight w:val="0"/>
      <w:marTop w:val="0"/>
      <w:marBottom w:val="0"/>
      <w:divBdr>
        <w:top w:val="none" w:sz="0" w:space="0" w:color="auto"/>
        <w:left w:val="none" w:sz="0" w:space="0" w:color="auto"/>
        <w:bottom w:val="none" w:sz="0" w:space="0" w:color="auto"/>
        <w:right w:val="none" w:sz="0" w:space="0" w:color="auto"/>
      </w:divBdr>
    </w:div>
    <w:div w:id="1634410930">
      <w:bodyDiv w:val="1"/>
      <w:marLeft w:val="0"/>
      <w:marRight w:val="0"/>
      <w:marTop w:val="0"/>
      <w:marBottom w:val="0"/>
      <w:divBdr>
        <w:top w:val="none" w:sz="0" w:space="0" w:color="auto"/>
        <w:left w:val="none" w:sz="0" w:space="0" w:color="auto"/>
        <w:bottom w:val="none" w:sz="0" w:space="0" w:color="auto"/>
        <w:right w:val="none" w:sz="0" w:space="0" w:color="auto"/>
      </w:divBdr>
    </w:div>
    <w:div w:id="1686326042">
      <w:bodyDiv w:val="1"/>
      <w:marLeft w:val="0"/>
      <w:marRight w:val="0"/>
      <w:marTop w:val="0"/>
      <w:marBottom w:val="0"/>
      <w:divBdr>
        <w:top w:val="none" w:sz="0" w:space="0" w:color="auto"/>
        <w:left w:val="none" w:sz="0" w:space="0" w:color="auto"/>
        <w:bottom w:val="none" w:sz="0" w:space="0" w:color="auto"/>
        <w:right w:val="none" w:sz="0" w:space="0" w:color="auto"/>
      </w:divBdr>
    </w:div>
    <w:div w:id="1704402809">
      <w:bodyDiv w:val="1"/>
      <w:marLeft w:val="0"/>
      <w:marRight w:val="0"/>
      <w:marTop w:val="0"/>
      <w:marBottom w:val="0"/>
      <w:divBdr>
        <w:top w:val="none" w:sz="0" w:space="0" w:color="auto"/>
        <w:left w:val="none" w:sz="0" w:space="0" w:color="auto"/>
        <w:bottom w:val="none" w:sz="0" w:space="0" w:color="auto"/>
        <w:right w:val="none" w:sz="0" w:space="0" w:color="auto"/>
      </w:divBdr>
    </w:div>
    <w:div w:id="1713462563">
      <w:bodyDiv w:val="1"/>
      <w:marLeft w:val="0"/>
      <w:marRight w:val="0"/>
      <w:marTop w:val="0"/>
      <w:marBottom w:val="0"/>
      <w:divBdr>
        <w:top w:val="none" w:sz="0" w:space="0" w:color="auto"/>
        <w:left w:val="none" w:sz="0" w:space="0" w:color="auto"/>
        <w:bottom w:val="none" w:sz="0" w:space="0" w:color="auto"/>
        <w:right w:val="none" w:sz="0" w:space="0" w:color="auto"/>
      </w:divBdr>
    </w:div>
    <w:div w:id="1769160551">
      <w:bodyDiv w:val="1"/>
      <w:marLeft w:val="0"/>
      <w:marRight w:val="0"/>
      <w:marTop w:val="0"/>
      <w:marBottom w:val="0"/>
      <w:divBdr>
        <w:top w:val="none" w:sz="0" w:space="0" w:color="auto"/>
        <w:left w:val="none" w:sz="0" w:space="0" w:color="auto"/>
        <w:bottom w:val="none" w:sz="0" w:space="0" w:color="auto"/>
        <w:right w:val="none" w:sz="0" w:space="0" w:color="auto"/>
      </w:divBdr>
      <w:divsChild>
        <w:div w:id="1739329336">
          <w:marLeft w:val="720"/>
          <w:marRight w:val="0"/>
          <w:marTop w:val="0"/>
          <w:marBottom w:val="0"/>
          <w:divBdr>
            <w:top w:val="none" w:sz="0" w:space="0" w:color="auto"/>
            <w:left w:val="none" w:sz="0" w:space="0" w:color="auto"/>
            <w:bottom w:val="none" w:sz="0" w:space="0" w:color="auto"/>
            <w:right w:val="none" w:sz="0" w:space="0" w:color="auto"/>
          </w:divBdr>
        </w:div>
        <w:div w:id="68888115">
          <w:marLeft w:val="1440"/>
          <w:marRight w:val="0"/>
          <w:marTop w:val="0"/>
          <w:marBottom w:val="0"/>
          <w:divBdr>
            <w:top w:val="none" w:sz="0" w:space="0" w:color="auto"/>
            <w:left w:val="none" w:sz="0" w:space="0" w:color="auto"/>
            <w:bottom w:val="none" w:sz="0" w:space="0" w:color="auto"/>
            <w:right w:val="none" w:sz="0" w:space="0" w:color="auto"/>
          </w:divBdr>
        </w:div>
        <w:div w:id="725691114">
          <w:marLeft w:val="1440"/>
          <w:marRight w:val="0"/>
          <w:marTop w:val="0"/>
          <w:marBottom w:val="0"/>
          <w:divBdr>
            <w:top w:val="none" w:sz="0" w:space="0" w:color="auto"/>
            <w:left w:val="none" w:sz="0" w:space="0" w:color="auto"/>
            <w:bottom w:val="none" w:sz="0" w:space="0" w:color="auto"/>
            <w:right w:val="none" w:sz="0" w:space="0" w:color="auto"/>
          </w:divBdr>
        </w:div>
      </w:divsChild>
    </w:div>
    <w:div w:id="1806117918">
      <w:bodyDiv w:val="1"/>
      <w:marLeft w:val="0"/>
      <w:marRight w:val="0"/>
      <w:marTop w:val="0"/>
      <w:marBottom w:val="0"/>
      <w:divBdr>
        <w:top w:val="none" w:sz="0" w:space="0" w:color="auto"/>
        <w:left w:val="none" w:sz="0" w:space="0" w:color="auto"/>
        <w:bottom w:val="none" w:sz="0" w:space="0" w:color="auto"/>
        <w:right w:val="none" w:sz="0" w:space="0" w:color="auto"/>
      </w:divBdr>
    </w:div>
    <w:div w:id="1806197920">
      <w:bodyDiv w:val="1"/>
      <w:marLeft w:val="0"/>
      <w:marRight w:val="0"/>
      <w:marTop w:val="0"/>
      <w:marBottom w:val="0"/>
      <w:divBdr>
        <w:top w:val="none" w:sz="0" w:space="0" w:color="auto"/>
        <w:left w:val="none" w:sz="0" w:space="0" w:color="auto"/>
        <w:bottom w:val="none" w:sz="0" w:space="0" w:color="auto"/>
        <w:right w:val="none" w:sz="0" w:space="0" w:color="auto"/>
      </w:divBdr>
      <w:divsChild>
        <w:div w:id="640772300">
          <w:marLeft w:val="720"/>
          <w:marRight w:val="0"/>
          <w:marTop w:val="0"/>
          <w:marBottom w:val="0"/>
          <w:divBdr>
            <w:top w:val="none" w:sz="0" w:space="0" w:color="auto"/>
            <w:left w:val="none" w:sz="0" w:space="0" w:color="auto"/>
            <w:bottom w:val="none" w:sz="0" w:space="0" w:color="auto"/>
            <w:right w:val="none" w:sz="0" w:space="0" w:color="auto"/>
          </w:divBdr>
        </w:div>
        <w:div w:id="23555066">
          <w:marLeft w:val="1440"/>
          <w:marRight w:val="0"/>
          <w:marTop w:val="0"/>
          <w:marBottom w:val="0"/>
          <w:divBdr>
            <w:top w:val="none" w:sz="0" w:space="0" w:color="auto"/>
            <w:left w:val="none" w:sz="0" w:space="0" w:color="auto"/>
            <w:bottom w:val="none" w:sz="0" w:space="0" w:color="auto"/>
            <w:right w:val="none" w:sz="0" w:space="0" w:color="auto"/>
          </w:divBdr>
        </w:div>
        <w:div w:id="1757944995">
          <w:marLeft w:val="1440"/>
          <w:marRight w:val="0"/>
          <w:marTop w:val="0"/>
          <w:marBottom w:val="0"/>
          <w:divBdr>
            <w:top w:val="none" w:sz="0" w:space="0" w:color="auto"/>
            <w:left w:val="none" w:sz="0" w:space="0" w:color="auto"/>
            <w:bottom w:val="none" w:sz="0" w:space="0" w:color="auto"/>
            <w:right w:val="none" w:sz="0" w:space="0" w:color="auto"/>
          </w:divBdr>
        </w:div>
        <w:div w:id="174539591">
          <w:marLeft w:val="720"/>
          <w:marRight w:val="0"/>
          <w:marTop w:val="0"/>
          <w:marBottom w:val="0"/>
          <w:divBdr>
            <w:top w:val="none" w:sz="0" w:space="0" w:color="auto"/>
            <w:left w:val="none" w:sz="0" w:space="0" w:color="auto"/>
            <w:bottom w:val="none" w:sz="0" w:space="0" w:color="auto"/>
            <w:right w:val="none" w:sz="0" w:space="0" w:color="auto"/>
          </w:divBdr>
        </w:div>
        <w:div w:id="2052148055">
          <w:marLeft w:val="1440"/>
          <w:marRight w:val="0"/>
          <w:marTop w:val="0"/>
          <w:marBottom w:val="0"/>
          <w:divBdr>
            <w:top w:val="none" w:sz="0" w:space="0" w:color="auto"/>
            <w:left w:val="none" w:sz="0" w:space="0" w:color="auto"/>
            <w:bottom w:val="none" w:sz="0" w:space="0" w:color="auto"/>
            <w:right w:val="none" w:sz="0" w:space="0" w:color="auto"/>
          </w:divBdr>
        </w:div>
      </w:divsChild>
    </w:div>
    <w:div w:id="1840535526">
      <w:bodyDiv w:val="1"/>
      <w:marLeft w:val="0"/>
      <w:marRight w:val="0"/>
      <w:marTop w:val="0"/>
      <w:marBottom w:val="0"/>
      <w:divBdr>
        <w:top w:val="none" w:sz="0" w:space="0" w:color="auto"/>
        <w:left w:val="none" w:sz="0" w:space="0" w:color="auto"/>
        <w:bottom w:val="none" w:sz="0" w:space="0" w:color="auto"/>
        <w:right w:val="none" w:sz="0" w:space="0" w:color="auto"/>
      </w:divBdr>
      <w:divsChild>
        <w:div w:id="138546273">
          <w:marLeft w:val="187"/>
          <w:marRight w:val="0"/>
          <w:marTop w:val="156"/>
          <w:marBottom w:val="0"/>
          <w:divBdr>
            <w:top w:val="none" w:sz="0" w:space="0" w:color="auto"/>
            <w:left w:val="none" w:sz="0" w:space="0" w:color="auto"/>
            <w:bottom w:val="none" w:sz="0" w:space="0" w:color="auto"/>
            <w:right w:val="none" w:sz="0" w:space="0" w:color="auto"/>
          </w:divBdr>
        </w:div>
        <w:div w:id="286400516">
          <w:marLeft w:val="187"/>
          <w:marRight w:val="0"/>
          <w:marTop w:val="156"/>
          <w:marBottom w:val="0"/>
          <w:divBdr>
            <w:top w:val="none" w:sz="0" w:space="0" w:color="auto"/>
            <w:left w:val="none" w:sz="0" w:space="0" w:color="auto"/>
            <w:bottom w:val="none" w:sz="0" w:space="0" w:color="auto"/>
            <w:right w:val="none" w:sz="0" w:space="0" w:color="auto"/>
          </w:divBdr>
        </w:div>
        <w:div w:id="1169641210">
          <w:marLeft w:val="187"/>
          <w:marRight w:val="0"/>
          <w:marTop w:val="156"/>
          <w:marBottom w:val="0"/>
          <w:divBdr>
            <w:top w:val="none" w:sz="0" w:space="0" w:color="auto"/>
            <w:left w:val="none" w:sz="0" w:space="0" w:color="auto"/>
            <w:bottom w:val="none" w:sz="0" w:space="0" w:color="auto"/>
            <w:right w:val="none" w:sz="0" w:space="0" w:color="auto"/>
          </w:divBdr>
        </w:div>
        <w:div w:id="1274361947">
          <w:marLeft w:val="187"/>
          <w:marRight w:val="0"/>
          <w:marTop w:val="156"/>
          <w:marBottom w:val="0"/>
          <w:divBdr>
            <w:top w:val="none" w:sz="0" w:space="0" w:color="auto"/>
            <w:left w:val="none" w:sz="0" w:space="0" w:color="auto"/>
            <w:bottom w:val="none" w:sz="0" w:space="0" w:color="auto"/>
            <w:right w:val="none" w:sz="0" w:space="0" w:color="auto"/>
          </w:divBdr>
        </w:div>
        <w:div w:id="1393889178">
          <w:marLeft w:val="187"/>
          <w:marRight w:val="0"/>
          <w:marTop w:val="156"/>
          <w:marBottom w:val="0"/>
          <w:divBdr>
            <w:top w:val="none" w:sz="0" w:space="0" w:color="auto"/>
            <w:left w:val="none" w:sz="0" w:space="0" w:color="auto"/>
            <w:bottom w:val="none" w:sz="0" w:space="0" w:color="auto"/>
            <w:right w:val="none" w:sz="0" w:space="0" w:color="auto"/>
          </w:divBdr>
        </w:div>
        <w:div w:id="1784035347">
          <w:marLeft w:val="187"/>
          <w:marRight w:val="0"/>
          <w:marTop w:val="156"/>
          <w:marBottom w:val="0"/>
          <w:divBdr>
            <w:top w:val="none" w:sz="0" w:space="0" w:color="auto"/>
            <w:left w:val="none" w:sz="0" w:space="0" w:color="auto"/>
            <w:bottom w:val="none" w:sz="0" w:space="0" w:color="auto"/>
            <w:right w:val="none" w:sz="0" w:space="0" w:color="auto"/>
          </w:divBdr>
        </w:div>
      </w:divsChild>
    </w:div>
    <w:div w:id="1879736303">
      <w:bodyDiv w:val="1"/>
      <w:marLeft w:val="0"/>
      <w:marRight w:val="0"/>
      <w:marTop w:val="0"/>
      <w:marBottom w:val="0"/>
      <w:divBdr>
        <w:top w:val="none" w:sz="0" w:space="0" w:color="auto"/>
        <w:left w:val="none" w:sz="0" w:space="0" w:color="auto"/>
        <w:bottom w:val="none" w:sz="0" w:space="0" w:color="auto"/>
        <w:right w:val="none" w:sz="0" w:space="0" w:color="auto"/>
      </w:divBdr>
      <w:divsChild>
        <w:div w:id="2100053780">
          <w:marLeft w:val="187"/>
          <w:marRight w:val="0"/>
          <w:marTop w:val="156"/>
          <w:marBottom w:val="0"/>
          <w:divBdr>
            <w:top w:val="none" w:sz="0" w:space="0" w:color="auto"/>
            <w:left w:val="none" w:sz="0" w:space="0" w:color="auto"/>
            <w:bottom w:val="none" w:sz="0" w:space="0" w:color="auto"/>
            <w:right w:val="none" w:sz="0" w:space="0" w:color="auto"/>
          </w:divBdr>
        </w:div>
      </w:divsChild>
    </w:div>
    <w:div w:id="1887061180">
      <w:bodyDiv w:val="1"/>
      <w:marLeft w:val="0"/>
      <w:marRight w:val="0"/>
      <w:marTop w:val="0"/>
      <w:marBottom w:val="0"/>
      <w:divBdr>
        <w:top w:val="none" w:sz="0" w:space="0" w:color="auto"/>
        <w:left w:val="none" w:sz="0" w:space="0" w:color="auto"/>
        <w:bottom w:val="none" w:sz="0" w:space="0" w:color="auto"/>
        <w:right w:val="none" w:sz="0" w:space="0" w:color="auto"/>
      </w:divBdr>
    </w:div>
    <w:div w:id="1924533210">
      <w:bodyDiv w:val="1"/>
      <w:marLeft w:val="0"/>
      <w:marRight w:val="0"/>
      <w:marTop w:val="0"/>
      <w:marBottom w:val="0"/>
      <w:divBdr>
        <w:top w:val="none" w:sz="0" w:space="0" w:color="auto"/>
        <w:left w:val="none" w:sz="0" w:space="0" w:color="auto"/>
        <w:bottom w:val="none" w:sz="0" w:space="0" w:color="auto"/>
        <w:right w:val="none" w:sz="0" w:space="0" w:color="auto"/>
      </w:divBdr>
      <w:divsChild>
        <w:div w:id="119569499">
          <w:marLeft w:val="1354"/>
          <w:marRight w:val="0"/>
          <w:marTop w:val="77"/>
          <w:marBottom w:val="0"/>
          <w:divBdr>
            <w:top w:val="none" w:sz="0" w:space="0" w:color="auto"/>
            <w:left w:val="none" w:sz="0" w:space="0" w:color="auto"/>
            <w:bottom w:val="none" w:sz="0" w:space="0" w:color="auto"/>
            <w:right w:val="none" w:sz="0" w:space="0" w:color="auto"/>
          </w:divBdr>
        </w:div>
        <w:div w:id="288633698">
          <w:marLeft w:val="806"/>
          <w:marRight w:val="0"/>
          <w:marTop w:val="77"/>
          <w:marBottom w:val="0"/>
          <w:divBdr>
            <w:top w:val="none" w:sz="0" w:space="0" w:color="auto"/>
            <w:left w:val="none" w:sz="0" w:space="0" w:color="auto"/>
            <w:bottom w:val="none" w:sz="0" w:space="0" w:color="auto"/>
            <w:right w:val="none" w:sz="0" w:space="0" w:color="auto"/>
          </w:divBdr>
        </w:div>
        <w:div w:id="1065908229">
          <w:marLeft w:val="1354"/>
          <w:marRight w:val="0"/>
          <w:marTop w:val="77"/>
          <w:marBottom w:val="0"/>
          <w:divBdr>
            <w:top w:val="none" w:sz="0" w:space="0" w:color="auto"/>
            <w:left w:val="none" w:sz="0" w:space="0" w:color="auto"/>
            <w:bottom w:val="none" w:sz="0" w:space="0" w:color="auto"/>
            <w:right w:val="none" w:sz="0" w:space="0" w:color="auto"/>
          </w:divBdr>
        </w:div>
        <w:div w:id="1346640123">
          <w:marLeft w:val="1354"/>
          <w:marRight w:val="0"/>
          <w:marTop w:val="77"/>
          <w:marBottom w:val="0"/>
          <w:divBdr>
            <w:top w:val="none" w:sz="0" w:space="0" w:color="auto"/>
            <w:left w:val="none" w:sz="0" w:space="0" w:color="auto"/>
            <w:bottom w:val="none" w:sz="0" w:space="0" w:color="auto"/>
            <w:right w:val="none" w:sz="0" w:space="0" w:color="auto"/>
          </w:divBdr>
        </w:div>
        <w:div w:id="1486048845">
          <w:marLeft w:val="1354"/>
          <w:marRight w:val="0"/>
          <w:marTop w:val="77"/>
          <w:marBottom w:val="0"/>
          <w:divBdr>
            <w:top w:val="none" w:sz="0" w:space="0" w:color="auto"/>
            <w:left w:val="none" w:sz="0" w:space="0" w:color="auto"/>
            <w:bottom w:val="none" w:sz="0" w:space="0" w:color="auto"/>
            <w:right w:val="none" w:sz="0" w:space="0" w:color="auto"/>
          </w:divBdr>
        </w:div>
        <w:div w:id="1737776601">
          <w:marLeft w:val="1354"/>
          <w:marRight w:val="0"/>
          <w:marTop w:val="77"/>
          <w:marBottom w:val="0"/>
          <w:divBdr>
            <w:top w:val="none" w:sz="0" w:space="0" w:color="auto"/>
            <w:left w:val="none" w:sz="0" w:space="0" w:color="auto"/>
            <w:bottom w:val="none" w:sz="0" w:space="0" w:color="auto"/>
            <w:right w:val="none" w:sz="0" w:space="0" w:color="auto"/>
          </w:divBdr>
        </w:div>
        <w:div w:id="1799253736">
          <w:marLeft w:val="1354"/>
          <w:marRight w:val="0"/>
          <w:marTop w:val="77"/>
          <w:marBottom w:val="0"/>
          <w:divBdr>
            <w:top w:val="none" w:sz="0" w:space="0" w:color="auto"/>
            <w:left w:val="none" w:sz="0" w:space="0" w:color="auto"/>
            <w:bottom w:val="none" w:sz="0" w:space="0" w:color="auto"/>
            <w:right w:val="none" w:sz="0" w:space="0" w:color="auto"/>
          </w:divBdr>
        </w:div>
      </w:divsChild>
    </w:div>
    <w:div w:id="1947468088">
      <w:bodyDiv w:val="1"/>
      <w:marLeft w:val="0"/>
      <w:marRight w:val="0"/>
      <w:marTop w:val="0"/>
      <w:marBottom w:val="0"/>
      <w:divBdr>
        <w:top w:val="none" w:sz="0" w:space="0" w:color="auto"/>
        <w:left w:val="none" w:sz="0" w:space="0" w:color="auto"/>
        <w:bottom w:val="none" w:sz="0" w:space="0" w:color="auto"/>
        <w:right w:val="none" w:sz="0" w:space="0" w:color="auto"/>
      </w:divBdr>
    </w:div>
    <w:div w:id="1967731070">
      <w:bodyDiv w:val="1"/>
      <w:marLeft w:val="0"/>
      <w:marRight w:val="0"/>
      <w:marTop w:val="0"/>
      <w:marBottom w:val="0"/>
      <w:divBdr>
        <w:top w:val="none" w:sz="0" w:space="0" w:color="auto"/>
        <w:left w:val="none" w:sz="0" w:space="0" w:color="auto"/>
        <w:bottom w:val="none" w:sz="0" w:space="0" w:color="auto"/>
        <w:right w:val="none" w:sz="0" w:space="0" w:color="auto"/>
      </w:divBdr>
    </w:div>
    <w:div w:id="2062048610">
      <w:bodyDiv w:val="1"/>
      <w:marLeft w:val="0"/>
      <w:marRight w:val="0"/>
      <w:marTop w:val="0"/>
      <w:marBottom w:val="0"/>
      <w:divBdr>
        <w:top w:val="none" w:sz="0" w:space="0" w:color="auto"/>
        <w:left w:val="none" w:sz="0" w:space="0" w:color="auto"/>
        <w:bottom w:val="none" w:sz="0" w:space="0" w:color="auto"/>
        <w:right w:val="none" w:sz="0" w:space="0" w:color="auto"/>
      </w:divBdr>
    </w:div>
    <w:div w:id="2135707251">
      <w:bodyDiv w:val="1"/>
      <w:marLeft w:val="0"/>
      <w:marRight w:val="0"/>
      <w:marTop w:val="0"/>
      <w:marBottom w:val="0"/>
      <w:divBdr>
        <w:top w:val="none" w:sz="0" w:space="0" w:color="auto"/>
        <w:left w:val="none" w:sz="0" w:space="0" w:color="auto"/>
        <w:bottom w:val="none" w:sz="0" w:space="0" w:color="auto"/>
        <w:right w:val="none" w:sz="0" w:space="0" w:color="auto"/>
      </w:divBdr>
    </w:div>
    <w:div w:id="214179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hyperlink" Target="http://www.whitehouse.gov/blog/2011/09/15/modeling-green-energy-challenge-after-blue-button" TargetMode="External"/><Relationship Id="rId10" Type="http://schemas.openxmlformats.org/officeDocument/2006/relationships/header" Target="head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interchange.puc.texas.gov/WebApp/Interchange/application/dbapps/filings/pgSearch.asp" TargetMode="External"/><Relationship Id="rId3" Type="http://schemas.openxmlformats.org/officeDocument/2006/relationships/hyperlink" Target="file:///C:\Work\Smart%20Meter%20Texas\SMT%20Documentation\3rd%20Party%20doc\(http:\www.puc.texas.gov\agency\rulesnlaws\statutes\Pura11.pdf)" TargetMode="External"/><Relationship Id="rId7" Type="http://schemas.openxmlformats.org/officeDocument/2006/relationships/hyperlink" Target="http://interchange.puc.texas.gov/WebApp/Interchange/application/dbapps/filings/pgSearch.asp" TargetMode="External"/><Relationship Id="rId2" Type="http://schemas.openxmlformats.org/officeDocument/2006/relationships/hyperlink" Target="http://www.puc.texas.gov/industry/projects/electric/34610/34610.aspx" TargetMode="External"/><Relationship Id="rId1" Type="http://schemas.openxmlformats.org/officeDocument/2006/relationships/hyperlink" Target="http://www.puc.texas.gov/agency/rulesnlaws/subrules/electric/25.130/25.130.pdf" TargetMode="External"/><Relationship Id="rId6" Type="http://schemas.openxmlformats.org/officeDocument/2006/relationships/hyperlink" Target="http://webstore.iec.ch/webstore/webstore.nsf/Artnum_PK/38920" TargetMode="External"/><Relationship Id="rId11" Type="http://schemas.openxmlformats.org/officeDocument/2006/relationships/hyperlink" Target="http://osgug.ucaiug.org/sgsystems/openhan/Shared%20Documents/OpenHAN%202.0/UCAIug%20HAN%20SRS%20-%20v2.0.pdf" TargetMode="External"/><Relationship Id="rId5" Type="http://schemas.openxmlformats.org/officeDocument/2006/relationships/hyperlink" Target="http://www.nist.gov/smartgrid/upload/1-20-12_Green_Button_Webinar_-_Wollman_and_Irwin.pdf" TargetMode="External"/><Relationship Id="rId10" Type="http://schemas.openxmlformats.org/officeDocument/2006/relationships/hyperlink" Target="file:///C:\Users\ben\AppData\Local\Microsoft\Windows\Temporary%20Internet%20Files\Content.Outlook\DKBK8BSV\OpenHAN%20System%20Requirements%20Specification%20v1.04" TargetMode="External"/><Relationship Id="rId4" Type="http://schemas.openxmlformats.org/officeDocument/2006/relationships/hyperlink" Target="http://www.puc.texas.gov/agency/rulesnlaws/subrules/electric/25.130/25.130.pdf" TargetMode="External"/><Relationship Id="rId9" Type="http://schemas.openxmlformats.org/officeDocument/2006/relationships/hyperlink" Target="http://interchange.puc.texas.gov/WebApp/Interchange/application/dbapps/filings/pgSearch.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nt.ENERNEX\Documents\Templates%20for%20EnerNex\EnerNex%20Technical%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98AE4ED-C5B9-4AB7-ABD9-0C59B34F7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EnerNex Technical Report Template.dotx</Template>
  <TotalTime>1</TotalTime>
  <Pages>54</Pages>
  <Words>10964</Words>
  <Characters>62496</Characters>
  <Application>Microsoft Office Word</Application>
  <DocSecurity>4</DocSecurity>
  <Lines>520</Lines>
  <Paragraphs>146</Paragraphs>
  <ScaleCrop>false</ScaleCrop>
  <HeadingPairs>
    <vt:vector size="2" baseType="variant">
      <vt:variant>
        <vt:lpstr>Title</vt:lpstr>
      </vt:variant>
      <vt:variant>
        <vt:i4>1</vt:i4>
      </vt:variant>
    </vt:vector>
  </HeadingPairs>
  <TitlesOfParts>
    <vt:vector size="1" baseType="lpstr">
      <vt:lpstr>SMT Third Party Access</vt:lpstr>
    </vt:vector>
  </TitlesOfParts>
  <Company>EnerNex</Company>
  <LinksUpToDate>false</LinksUpToDate>
  <CharactersWithSpaces>73314</CharactersWithSpaces>
  <SharedDoc>false</SharedDoc>
  <HLinks>
    <vt:vector size="576" baseType="variant">
      <vt:variant>
        <vt:i4>4128783</vt:i4>
      </vt:variant>
      <vt:variant>
        <vt:i4>543</vt:i4>
      </vt:variant>
      <vt:variant>
        <vt:i4>0</vt:i4>
      </vt:variant>
      <vt:variant>
        <vt:i4>5</vt:i4>
      </vt:variant>
      <vt:variant>
        <vt:lpwstr>https://www.smartmetertexas.com/CAP/public/home/home_faq.html</vt:lpwstr>
      </vt:variant>
      <vt:variant>
        <vt:lpwstr>top</vt:lpwstr>
      </vt:variant>
      <vt:variant>
        <vt:i4>4128783</vt:i4>
      </vt:variant>
      <vt:variant>
        <vt:i4>540</vt:i4>
      </vt:variant>
      <vt:variant>
        <vt:i4>0</vt:i4>
      </vt:variant>
      <vt:variant>
        <vt:i4>5</vt:i4>
      </vt:variant>
      <vt:variant>
        <vt:lpwstr>https://www.smartmetertexas.com/CAP/public/home/home_faq.html</vt:lpwstr>
      </vt:variant>
      <vt:variant>
        <vt:lpwstr>top</vt:lpwstr>
      </vt:variant>
      <vt:variant>
        <vt:i4>3080223</vt:i4>
      </vt:variant>
      <vt:variant>
        <vt:i4>537</vt:i4>
      </vt:variant>
      <vt:variant>
        <vt:i4>0</vt:i4>
      </vt:variant>
      <vt:variant>
        <vt:i4>5</vt:i4>
      </vt:variant>
      <vt:variant>
        <vt:lpwstr>https://www.smartmetertexas.com/CAP/private/home/home_faq.html</vt:lpwstr>
      </vt:variant>
      <vt:variant>
        <vt:lpwstr>top</vt:lpwstr>
      </vt:variant>
      <vt:variant>
        <vt:i4>3080223</vt:i4>
      </vt:variant>
      <vt:variant>
        <vt:i4>534</vt:i4>
      </vt:variant>
      <vt:variant>
        <vt:i4>0</vt:i4>
      </vt:variant>
      <vt:variant>
        <vt:i4>5</vt:i4>
      </vt:variant>
      <vt:variant>
        <vt:lpwstr>https://www.smartmetertexas.com/CAP/private/home/home_faq.html</vt:lpwstr>
      </vt:variant>
      <vt:variant>
        <vt:lpwstr>top</vt:lpwstr>
      </vt:variant>
      <vt:variant>
        <vt:i4>3080223</vt:i4>
      </vt:variant>
      <vt:variant>
        <vt:i4>531</vt:i4>
      </vt:variant>
      <vt:variant>
        <vt:i4>0</vt:i4>
      </vt:variant>
      <vt:variant>
        <vt:i4>5</vt:i4>
      </vt:variant>
      <vt:variant>
        <vt:lpwstr>https://www.smartmetertexas.com/CAP/private/home/home_faq.html</vt:lpwstr>
      </vt:variant>
      <vt:variant>
        <vt:lpwstr>top</vt:lpwstr>
      </vt:variant>
      <vt:variant>
        <vt:i4>4128783</vt:i4>
      </vt:variant>
      <vt:variant>
        <vt:i4>528</vt:i4>
      </vt:variant>
      <vt:variant>
        <vt:i4>0</vt:i4>
      </vt:variant>
      <vt:variant>
        <vt:i4>5</vt:i4>
      </vt:variant>
      <vt:variant>
        <vt:lpwstr>https://www.smartmetertexas.com/CAP/public/home/home_faq.html</vt:lpwstr>
      </vt:variant>
      <vt:variant>
        <vt:lpwstr>top</vt:lpwstr>
      </vt:variant>
      <vt:variant>
        <vt:i4>917569</vt:i4>
      </vt:variant>
      <vt:variant>
        <vt:i4>525</vt:i4>
      </vt:variant>
      <vt:variant>
        <vt:i4>0</vt:i4>
      </vt:variant>
      <vt:variant>
        <vt:i4>5</vt:i4>
      </vt:variant>
      <vt:variant>
        <vt:lpwstr>http://www.puc.texas.gov/agency/rulesnlaws/subrules/electric/25.130/25.130ei.aspx</vt:lpwstr>
      </vt:variant>
      <vt:variant>
        <vt:lpwstr/>
      </vt:variant>
      <vt:variant>
        <vt:i4>1376307</vt:i4>
      </vt:variant>
      <vt:variant>
        <vt:i4>458</vt:i4>
      </vt:variant>
      <vt:variant>
        <vt:i4>0</vt:i4>
      </vt:variant>
      <vt:variant>
        <vt:i4>5</vt:i4>
      </vt:variant>
      <vt:variant>
        <vt:lpwstr/>
      </vt:variant>
      <vt:variant>
        <vt:lpwstr>_Toc345243176</vt:lpwstr>
      </vt:variant>
      <vt:variant>
        <vt:i4>1376307</vt:i4>
      </vt:variant>
      <vt:variant>
        <vt:i4>452</vt:i4>
      </vt:variant>
      <vt:variant>
        <vt:i4>0</vt:i4>
      </vt:variant>
      <vt:variant>
        <vt:i4>5</vt:i4>
      </vt:variant>
      <vt:variant>
        <vt:lpwstr/>
      </vt:variant>
      <vt:variant>
        <vt:lpwstr>_Toc345243175</vt:lpwstr>
      </vt:variant>
      <vt:variant>
        <vt:i4>1376307</vt:i4>
      </vt:variant>
      <vt:variant>
        <vt:i4>446</vt:i4>
      </vt:variant>
      <vt:variant>
        <vt:i4>0</vt:i4>
      </vt:variant>
      <vt:variant>
        <vt:i4>5</vt:i4>
      </vt:variant>
      <vt:variant>
        <vt:lpwstr/>
      </vt:variant>
      <vt:variant>
        <vt:lpwstr>_Toc345243174</vt:lpwstr>
      </vt:variant>
      <vt:variant>
        <vt:i4>1376307</vt:i4>
      </vt:variant>
      <vt:variant>
        <vt:i4>440</vt:i4>
      </vt:variant>
      <vt:variant>
        <vt:i4>0</vt:i4>
      </vt:variant>
      <vt:variant>
        <vt:i4>5</vt:i4>
      </vt:variant>
      <vt:variant>
        <vt:lpwstr/>
      </vt:variant>
      <vt:variant>
        <vt:lpwstr>_Toc345243173</vt:lpwstr>
      </vt:variant>
      <vt:variant>
        <vt:i4>1376307</vt:i4>
      </vt:variant>
      <vt:variant>
        <vt:i4>434</vt:i4>
      </vt:variant>
      <vt:variant>
        <vt:i4>0</vt:i4>
      </vt:variant>
      <vt:variant>
        <vt:i4>5</vt:i4>
      </vt:variant>
      <vt:variant>
        <vt:lpwstr/>
      </vt:variant>
      <vt:variant>
        <vt:lpwstr>_Toc345243172</vt:lpwstr>
      </vt:variant>
      <vt:variant>
        <vt:i4>1376307</vt:i4>
      </vt:variant>
      <vt:variant>
        <vt:i4>428</vt:i4>
      </vt:variant>
      <vt:variant>
        <vt:i4>0</vt:i4>
      </vt:variant>
      <vt:variant>
        <vt:i4>5</vt:i4>
      </vt:variant>
      <vt:variant>
        <vt:lpwstr/>
      </vt:variant>
      <vt:variant>
        <vt:lpwstr>_Toc345243171</vt:lpwstr>
      </vt:variant>
      <vt:variant>
        <vt:i4>1376307</vt:i4>
      </vt:variant>
      <vt:variant>
        <vt:i4>422</vt:i4>
      </vt:variant>
      <vt:variant>
        <vt:i4>0</vt:i4>
      </vt:variant>
      <vt:variant>
        <vt:i4>5</vt:i4>
      </vt:variant>
      <vt:variant>
        <vt:lpwstr/>
      </vt:variant>
      <vt:variant>
        <vt:lpwstr>_Toc345243170</vt:lpwstr>
      </vt:variant>
      <vt:variant>
        <vt:i4>1310771</vt:i4>
      </vt:variant>
      <vt:variant>
        <vt:i4>416</vt:i4>
      </vt:variant>
      <vt:variant>
        <vt:i4>0</vt:i4>
      </vt:variant>
      <vt:variant>
        <vt:i4>5</vt:i4>
      </vt:variant>
      <vt:variant>
        <vt:lpwstr/>
      </vt:variant>
      <vt:variant>
        <vt:lpwstr>_Toc345243169</vt:lpwstr>
      </vt:variant>
      <vt:variant>
        <vt:i4>1310771</vt:i4>
      </vt:variant>
      <vt:variant>
        <vt:i4>410</vt:i4>
      </vt:variant>
      <vt:variant>
        <vt:i4>0</vt:i4>
      </vt:variant>
      <vt:variant>
        <vt:i4>5</vt:i4>
      </vt:variant>
      <vt:variant>
        <vt:lpwstr/>
      </vt:variant>
      <vt:variant>
        <vt:lpwstr>_Toc345243168</vt:lpwstr>
      </vt:variant>
      <vt:variant>
        <vt:i4>1310771</vt:i4>
      </vt:variant>
      <vt:variant>
        <vt:i4>404</vt:i4>
      </vt:variant>
      <vt:variant>
        <vt:i4>0</vt:i4>
      </vt:variant>
      <vt:variant>
        <vt:i4>5</vt:i4>
      </vt:variant>
      <vt:variant>
        <vt:lpwstr/>
      </vt:variant>
      <vt:variant>
        <vt:lpwstr>_Toc345243167</vt:lpwstr>
      </vt:variant>
      <vt:variant>
        <vt:i4>1310771</vt:i4>
      </vt:variant>
      <vt:variant>
        <vt:i4>398</vt:i4>
      </vt:variant>
      <vt:variant>
        <vt:i4>0</vt:i4>
      </vt:variant>
      <vt:variant>
        <vt:i4>5</vt:i4>
      </vt:variant>
      <vt:variant>
        <vt:lpwstr/>
      </vt:variant>
      <vt:variant>
        <vt:lpwstr>_Toc345243166</vt:lpwstr>
      </vt:variant>
      <vt:variant>
        <vt:i4>1310771</vt:i4>
      </vt:variant>
      <vt:variant>
        <vt:i4>392</vt:i4>
      </vt:variant>
      <vt:variant>
        <vt:i4>0</vt:i4>
      </vt:variant>
      <vt:variant>
        <vt:i4>5</vt:i4>
      </vt:variant>
      <vt:variant>
        <vt:lpwstr/>
      </vt:variant>
      <vt:variant>
        <vt:lpwstr>_Toc345243165</vt:lpwstr>
      </vt:variant>
      <vt:variant>
        <vt:i4>1310771</vt:i4>
      </vt:variant>
      <vt:variant>
        <vt:i4>386</vt:i4>
      </vt:variant>
      <vt:variant>
        <vt:i4>0</vt:i4>
      </vt:variant>
      <vt:variant>
        <vt:i4>5</vt:i4>
      </vt:variant>
      <vt:variant>
        <vt:lpwstr/>
      </vt:variant>
      <vt:variant>
        <vt:lpwstr>_Toc345243164</vt:lpwstr>
      </vt:variant>
      <vt:variant>
        <vt:i4>1310771</vt:i4>
      </vt:variant>
      <vt:variant>
        <vt:i4>380</vt:i4>
      </vt:variant>
      <vt:variant>
        <vt:i4>0</vt:i4>
      </vt:variant>
      <vt:variant>
        <vt:i4>5</vt:i4>
      </vt:variant>
      <vt:variant>
        <vt:lpwstr/>
      </vt:variant>
      <vt:variant>
        <vt:lpwstr>_Toc345243163</vt:lpwstr>
      </vt:variant>
      <vt:variant>
        <vt:i4>1310771</vt:i4>
      </vt:variant>
      <vt:variant>
        <vt:i4>374</vt:i4>
      </vt:variant>
      <vt:variant>
        <vt:i4>0</vt:i4>
      </vt:variant>
      <vt:variant>
        <vt:i4>5</vt:i4>
      </vt:variant>
      <vt:variant>
        <vt:lpwstr/>
      </vt:variant>
      <vt:variant>
        <vt:lpwstr>_Toc345243162</vt:lpwstr>
      </vt:variant>
      <vt:variant>
        <vt:i4>1310771</vt:i4>
      </vt:variant>
      <vt:variant>
        <vt:i4>368</vt:i4>
      </vt:variant>
      <vt:variant>
        <vt:i4>0</vt:i4>
      </vt:variant>
      <vt:variant>
        <vt:i4>5</vt:i4>
      </vt:variant>
      <vt:variant>
        <vt:lpwstr/>
      </vt:variant>
      <vt:variant>
        <vt:lpwstr>_Toc345243161</vt:lpwstr>
      </vt:variant>
      <vt:variant>
        <vt:i4>1310771</vt:i4>
      </vt:variant>
      <vt:variant>
        <vt:i4>362</vt:i4>
      </vt:variant>
      <vt:variant>
        <vt:i4>0</vt:i4>
      </vt:variant>
      <vt:variant>
        <vt:i4>5</vt:i4>
      </vt:variant>
      <vt:variant>
        <vt:lpwstr/>
      </vt:variant>
      <vt:variant>
        <vt:lpwstr>_Toc345243160</vt:lpwstr>
      </vt:variant>
      <vt:variant>
        <vt:i4>1507379</vt:i4>
      </vt:variant>
      <vt:variant>
        <vt:i4>356</vt:i4>
      </vt:variant>
      <vt:variant>
        <vt:i4>0</vt:i4>
      </vt:variant>
      <vt:variant>
        <vt:i4>5</vt:i4>
      </vt:variant>
      <vt:variant>
        <vt:lpwstr/>
      </vt:variant>
      <vt:variant>
        <vt:lpwstr>_Toc345243159</vt:lpwstr>
      </vt:variant>
      <vt:variant>
        <vt:i4>1507379</vt:i4>
      </vt:variant>
      <vt:variant>
        <vt:i4>350</vt:i4>
      </vt:variant>
      <vt:variant>
        <vt:i4>0</vt:i4>
      </vt:variant>
      <vt:variant>
        <vt:i4>5</vt:i4>
      </vt:variant>
      <vt:variant>
        <vt:lpwstr/>
      </vt:variant>
      <vt:variant>
        <vt:lpwstr>_Toc345243158</vt:lpwstr>
      </vt:variant>
      <vt:variant>
        <vt:i4>1507379</vt:i4>
      </vt:variant>
      <vt:variant>
        <vt:i4>344</vt:i4>
      </vt:variant>
      <vt:variant>
        <vt:i4>0</vt:i4>
      </vt:variant>
      <vt:variant>
        <vt:i4>5</vt:i4>
      </vt:variant>
      <vt:variant>
        <vt:lpwstr/>
      </vt:variant>
      <vt:variant>
        <vt:lpwstr>_Toc345243157</vt:lpwstr>
      </vt:variant>
      <vt:variant>
        <vt:i4>1507379</vt:i4>
      </vt:variant>
      <vt:variant>
        <vt:i4>338</vt:i4>
      </vt:variant>
      <vt:variant>
        <vt:i4>0</vt:i4>
      </vt:variant>
      <vt:variant>
        <vt:i4>5</vt:i4>
      </vt:variant>
      <vt:variant>
        <vt:lpwstr/>
      </vt:variant>
      <vt:variant>
        <vt:lpwstr>_Toc345243156</vt:lpwstr>
      </vt:variant>
      <vt:variant>
        <vt:i4>1507379</vt:i4>
      </vt:variant>
      <vt:variant>
        <vt:i4>332</vt:i4>
      </vt:variant>
      <vt:variant>
        <vt:i4>0</vt:i4>
      </vt:variant>
      <vt:variant>
        <vt:i4>5</vt:i4>
      </vt:variant>
      <vt:variant>
        <vt:lpwstr/>
      </vt:variant>
      <vt:variant>
        <vt:lpwstr>_Toc345243155</vt:lpwstr>
      </vt:variant>
      <vt:variant>
        <vt:i4>1507379</vt:i4>
      </vt:variant>
      <vt:variant>
        <vt:i4>326</vt:i4>
      </vt:variant>
      <vt:variant>
        <vt:i4>0</vt:i4>
      </vt:variant>
      <vt:variant>
        <vt:i4>5</vt:i4>
      </vt:variant>
      <vt:variant>
        <vt:lpwstr/>
      </vt:variant>
      <vt:variant>
        <vt:lpwstr>_Toc345243154</vt:lpwstr>
      </vt:variant>
      <vt:variant>
        <vt:i4>1507379</vt:i4>
      </vt:variant>
      <vt:variant>
        <vt:i4>320</vt:i4>
      </vt:variant>
      <vt:variant>
        <vt:i4>0</vt:i4>
      </vt:variant>
      <vt:variant>
        <vt:i4>5</vt:i4>
      </vt:variant>
      <vt:variant>
        <vt:lpwstr/>
      </vt:variant>
      <vt:variant>
        <vt:lpwstr>_Toc345243153</vt:lpwstr>
      </vt:variant>
      <vt:variant>
        <vt:i4>1507379</vt:i4>
      </vt:variant>
      <vt:variant>
        <vt:i4>314</vt:i4>
      </vt:variant>
      <vt:variant>
        <vt:i4>0</vt:i4>
      </vt:variant>
      <vt:variant>
        <vt:i4>5</vt:i4>
      </vt:variant>
      <vt:variant>
        <vt:lpwstr/>
      </vt:variant>
      <vt:variant>
        <vt:lpwstr>_Toc345243152</vt:lpwstr>
      </vt:variant>
      <vt:variant>
        <vt:i4>1507379</vt:i4>
      </vt:variant>
      <vt:variant>
        <vt:i4>308</vt:i4>
      </vt:variant>
      <vt:variant>
        <vt:i4>0</vt:i4>
      </vt:variant>
      <vt:variant>
        <vt:i4>5</vt:i4>
      </vt:variant>
      <vt:variant>
        <vt:lpwstr/>
      </vt:variant>
      <vt:variant>
        <vt:lpwstr>_Toc345243151</vt:lpwstr>
      </vt:variant>
      <vt:variant>
        <vt:i4>1507379</vt:i4>
      </vt:variant>
      <vt:variant>
        <vt:i4>302</vt:i4>
      </vt:variant>
      <vt:variant>
        <vt:i4>0</vt:i4>
      </vt:variant>
      <vt:variant>
        <vt:i4>5</vt:i4>
      </vt:variant>
      <vt:variant>
        <vt:lpwstr/>
      </vt:variant>
      <vt:variant>
        <vt:lpwstr>_Toc345243150</vt:lpwstr>
      </vt:variant>
      <vt:variant>
        <vt:i4>1441843</vt:i4>
      </vt:variant>
      <vt:variant>
        <vt:i4>296</vt:i4>
      </vt:variant>
      <vt:variant>
        <vt:i4>0</vt:i4>
      </vt:variant>
      <vt:variant>
        <vt:i4>5</vt:i4>
      </vt:variant>
      <vt:variant>
        <vt:lpwstr/>
      </vt:variant>
      <vt:variant>
        <vt:lpwstr>_Toc345243149</vt:lpwstr>
      </vt:variant>
      <vt:variant>
        <vt:i4>1441843</vt:i4>
      </vt:variant>
      <vt:variant>
        <vt:i4>290</vt:i4>
      </vt:variant>
      <vt:variant>
        <vt:i4>0</vt:i4>
      </vt:variant>
      <vt:variant>
        <vt:i4>5</vt:i4>
      </vt:variant>
      <vt:variant>
        <vt:lpwstr/>
      </vt:variant>
      <vt:variant>
        <vt:lpwstr>_Toc345243148</vt:lpwstr>
      </vt:variant>
      <vt:variant>
        <vt:i4>1441843</vt:i4>
      </vt:variant>
      <vt:variant>
        <vt:i4>284</vt:i4>
      </vt:variant>
      <vt:variant>
        <vt:i4>0</vt:i4>
      </vt:variant>
      <vt:variant>
        <vt:i4>5</vt:i4>
      </vt:variant>
      <vt:variant>
        <vt:lpwstr/>
      </vt:variant>
      <vt:variant>
        <vt:lpwstr>_Toc345243147</vt:lpwstr>
      </vt:variant>
      <vt:variant>
        <vt:i4>1441843</vt:i4>
      </vt:variant>
      <vt:variant>
        <vt:i4>278</vt:i4>
      </vt:variant>
      <vt:variant>
        <vt:i4>0</vt:i4>
      </vt:variant>
      <vt:variant>
        <vt:i4>5</vt:i4>
      </vt:variant>
      <vt:variant>
        <vt:lpwstr/>
      </vt:variant>
      <vt:variant>
        <vt:lpwstr>_Toc345243146</vt:lpwstr>
      </vt:variant>
      <vt:variant>
        <vt:i4>1441843</vt:i4>
      </vt:variant>
      <vt:variant>
        <vt:i4>272</vt:i4>
      </vt:variant>
      <vt:variant>
        <vt:i4>0</vt:i4>
      </vt:variant>
      <vt:variant>
        <vt:i4>5</vt:i4>
      </vt:variant>
      <vt:variant>
        <vt:lpwstr/>
      </vt:variant>
      <vt:variant>
        <vt:lpwstr>_Toc345243145</vt:lpwstr>
      </vt:variant>
      <vt:variant>
        <vt:i4>1441843</vt:i4>
      </vt:variant>
      <vt:variant>
        <vt:i4>266</vt:i4>
      </vt:variant>
      <vt:variant>
        <vt:i4>0</vt:i4>
      </vt:variant>
      <vt:variant>
        <vt:i4>5</vt:i4>
      </vt:variant>
      <vt:variant>
        <vt:lpwstr/>
      </vt:variant>
      <vt:variant>
        <vt:lpwstr>_Toc345243144</vt:lpwstr>
      </vt:variant>
      <vt:variant>
        <vt:i4>1441843</vt:i4>
      </vt:variant>
      <vt:variant>
        <vt:i4>260</vt:i4>
      </vt:variant>
      <vt:variant>
        <vt:i4>0</vt:i4>
      </vt:variant>
      <vt:variant>
        <vt:i4>5</vt:i4>
      </vt:variant>
      <vt:variant>
        <vt:lpwstr/>
      </vt:variant>
      <vt:variant>
        <vt:lpwstr>_Toc345243143</vt:lpwstr>
      </vt:variant>
      <vt:variant>
        <vt:i4>1441843</vt:i4>
      </vt:variant>
      <vt:variant>
        <vt:i4>254</vt:i4>
      </vt:variant>
      <vt:variant>
        <vt:i4>0</vt:i4>
      </vt:variant>
      <vt:variant>
        <vt:i4>5</vt:i4>
      </vt:variant>
      <vt:variant>
        <vt:lpwstr/>
      </vt:variant>
      <vt:variant>
        <vt:lpwstr>_Toc345243142</vt:lpwstr>
      </vt:variant>
      <vt:variant>
        <vt:i4>1441843</vt:i4>
      </vt:variant>
      <vt:variant>
        <vt:i4>248</vt:i4>
      </vt:variant>
      <vt:variant>
        <vt:i4>0</vt:i4>
      </vt:variant>
      <vt:variant>
        <vt:i4>5</vt:i4>
      </vt:variant>
      <vt:variant>
        <vt:lpwstr/>
      </vt:variant>
      <vt:variant>
        <vt:lpwstr>_Toc345243141</vt:lpwstr>
      </vt:variant>
      <vt:variant>
        <vt:i4>1441843</vt:i4>
      </vt:variant>
      <vt:variant>
        <vt:i4>242</vt:i4>
      </vt:variant>
      <vt:variant>
        <vt:i4>0</vt:i4>
      </vt:variant>
      <vt:variant>
        <vt:i4>5</vt:i4>
      </vt:variant>
      <vt:variant>
        <vt:lpwstr/>
      </vt:variant>
      <vt:variant>
        <vt:lpwstr>_Toc345243140</vt:lpwstr>
      </vt:variant>
      <vt:variant>
        <vt:i4>1114163</vt:i4>
      </vt:variant>
      <vt:variant>
        <vt:i4>236</vt:i4>
      </vt:variant>
      <vt:variant>
        <vt:i4>0</vt:i4>
      </vt:variant>
      <vt:variant>
        <vt:i4>5</vt:i4>
      </vt:variant>
      <vt:variant>
        <vt:lpwstr/>
      </vt:variant>
      <vt:variant>
        <vt:lpwstr>_Toc345243139</vt:lpwstr>
      </vt:variant>
      <vt:variant>
        <vt:i4>1114163</vt:i4>
      </vt:variant>
      <vt:variant>
        <vt:i4>230</vt:i4>
      </vt:variant>
      <vt:variant>
        <vt:i4>0</vt:i4>
      </vt:variant>
      <vt:variant>
        <vt:i4>5</vt:i4>
      </vt:variant>
      <vt:variant>
        <vt:lpwstr/>
      </vt:variant>
      <vt:variant>
        <vt:lpwstr>_Toc345243138</vt:lpwstr>
      </vt:variant>
      <vt:variant>
        <vt:i4>1114163</vt:i4>
      </vt:variant>
      <vt:variant>
        <vt:i4>224</vt:i4>
      </vt:variant>
      <vt:variant>
        <vt:i4>0</vt:i4>
      </vt:variant>
      <vt:variant>
        <vt:i4>5</vt:i4>
      </vt:variant>
      <vt:variant>
        <vt:lpwstr/>
      </vt:variant>
      <vt:variant>
        <vt:lpwstr>_Toc345243137</vt:lpwstr>
      </vt:variant>
      <vt:variant>
        <vt:i4>1114163</vt:i4>
      </vt:variant>
      <vt:variant>
        <vt:i4>218</vt:i4>
      </vt:variant>
      <vt:variant>
        <vt:i4>0</vt:i4>
      </vt:variant>
      <vt:variant>
        <vt:i4>5</vt:i4>
      </vt:variant>
      <vt:variant>
        <vt:lpwstr/>
      </vt:variant>
      <vt:variant>
        <vt:lpwstr>_Toc345243136</vt:lpwstr>
      </vt:variant>
      <vt:variant>
        <vt:i4>1114163</vt:i4>
      </vt:variant>
      <vt:variant>
        <vt:i4>212</vt:i4>
      </vt:variant>
      <vt:variant>
        <vt:i4>0</vt:i4>
      </vt:variant>
      <vt:variant>
        <vt:i4>5</vt:i4>
      </vt:variant>
      <vt:variant>
        <vt:lpwstr/>
      </vt:variant>
      <vt:variant>
        <vt:lpwstr>_Toc345243135</vt:lpwstr>
      </vt:variant>
      <vt:variant>
        <vt:i4>1114163</vt:i4>
      </vt:variant>
      <vt:variant>
        <vt:i4>206</vt:i4>
      </vt:variant>
      <vt:variant>
        <vt:i4>0</vt:i4>
      </vt:variant>
      <vt:variant>
        <vt:i4>5</vt:i4>
      </vt:variant>
      <vt:variant>
        <vt:lpwstr/>
      </vt:variant>
      <vt:variant>
        <vt:lpwstr>_Toc345243134</vt:lpwstr>
      </vt:variant>
      <vt:variant>
        <vt:i4>1114163</vt:i4>
      </vt:variant>
      <vt:variant>
        <vt:i4>200</vt:i4>
      </vt:variant>
      <vt:variant>
        <vt:i4>0</vt:i4>
      </vt:variant>
      <vt:variant>
        <vt:i4>5</vt:i4>
      </vt:variant>
      <vt:variant>
        <vt:lpwstr/>
      </vt:variant>
      <vt:variant>
        <vt:lpwstr>_Toc345243133</vt:lpwstr>
      </vt:variant>
      <vt:variant>
        <vt:i4>1114163</vt:i4>
      </vt:variant>
      <vt:variant>
        <vt:i4>194</vt:i4>
      </vt:variant>
      <vt:variant>
        <vt:i4>0</vt:i4>
      </vt:variant>
      <vt:variant>
        <vt:i4>5</vt:i4>
      </vt:variant>
      <vt:variant>
        <vt:lpwstr/>
      </vt:variant>
      <vt:variant>
        <vt:lpwstr>_Toc345243132</vt:lpwstr>
      </vt:variant>
      <vt:variant>
        <vt:i4>1114163</vt:i4>
      </vt:variant>
      <vt:variant>
        <vt:i4>188</vt:i4>
      </vt:variant>
      <vt:variant>
        <vt:i4>0</vt:i4>
      </vt:variant>
      <vt:variant>
        <vt:i4>5</vt:i4>
      </vt:variant>
      <vt:variant>
        <vt:lpwstr/>
      </vt:variant>
      <vt:variant>
        <vt:lpwstr>_Toc345243131</vt:lpwstr>
      </vt:variant>
      <vt:variant>
        <vt:i4>1114163</vt:i4>
      </vt:variant>
      <vt:variant>
        <vt:i4>182</vt:i4>
      </vt:variant>
      <vt:variant>
        <vt:i4>0</vt:i4>
      </vt:variant>
      <vt:variant>
        <vt:i4>5</vt:i4>
      </vt:variant>
      <vt:variant>
        <vt:lpwstr/>
      </vt:variant>
      <vt:variant>
        <vt:lpwstr>_Toc345243130</vt:lpwstr>
      </vt:variant>
      <vt:variant>
        <vt:i4>1048627</vt:i4>
      </vt:variant>
      <vt:variant>
        <vt:i4>176</vt:i4>
      </vt:variant>
      <vt:variant>
        <vt:i4>0</vt:i4>
      </vt:variant>
      <vt:variant>
        <vt:i4>5</vt:i4>
      </vt:variant>
      <vt:variant>
        <vt:lpwstr/>
      </vt:variant>
      <vt:variant>
        <vt:lpwstr>_Toc345243129</vt:lpwstr>
      </vt:variant>
      <vt:variant>
        <vt:i4>1048627</vt:i4>
      </vt:variant>
      <vt:variant>
        <vt:i4>170</vt:i4>
      </vt:variant>
      <vt:variant>
        <vt:i4>0</vt:i4>
      </vt:variant>
      <vt:variant>
        <vt:i4>5</vt:i4>
      </vt:variant>
      <vt:variant>
        <vt:lpwstr/>
      </vt:variant>
      <vt:variant>
        <vt:lpwstr>_Toc345243128</vt:lpwstr>
      </vt:variant>
      <vt:variant>
        <vt:i4>1048627</vt:i4>
      </vt:variant>
      <vt:variant>
        <vt:i4>164</vt:i4>
      </vt:variant>
      <vt:variant>
        <vt:i4>0</vt:i4>
      </vt:variant>
      <vt:variant>
        <vt:i4>5</vt:i4>
      </vt:variant>
      <vt:variant>
        <vt:lpwstr/>
      </vt:variant>
      <vt:variant>
        <vt:lpwstr>_Toc345243127</vt:lpwstr>
      </vt:variant>
      <vt:variant>
        <vt:i4>1048627</vt:i4>
      </vt:variant>
      <vt:variant>
        <vt:i4>158</vt:i4>
      </vt:variant>
      <vt:variant>
        <vt:i4>0</vt:i4>
      </vt:variant>
      <vt:variant>
        <vt:i4>5</vt:i4>
      </vt:variant>
      <vt:variant>
        <vt:lpwstr/>
      </vt:variant>
      <vt:variant>
        <vt:lpwstr>_Toc345243126</vt:lpwstr>
      </vt:variant>
      <vt:variant>
        <vt:i4>1048627</vt:i4>
      </vt:variant>
      <vt:variant>
        <vt:i4>152</vt:i4>
      </vt:variant>
      <vt:variant>
        <vt:i4>0</vt:i4>
      </vt:variant>
      <vt:variant>
        <vt:i4>5</vt:i4>
      </vt:variant>
      <vt:variant>
        <vt:lpwstr/>
      </vt:variant>
      <vt:variant>
        <vt:lpwstr>_Toc345243125</vt:lpwstr>
      </vt:variant>
      <vt:variant>
        <vt:i4>1048627</vt:i4>
      </vt:variant>
      <vt:variant>
        <vt:i4>146</vt:i4>
      </vt:variant>
      <vt:variant>
        <vt:i4>0</vt:i4>
      </vt:variant>
      <vt:variant>
        <vt:i4>5</vt:i4>
      </vt:variant>
      <vt:variant>
        <vt:lpwstr/>
      </vt:variant>
      <vt:variant>
        <vt:lpwstr>_Toc345243124</vt:lpwstr>
      </vt:variant>
      <vt:variant>
        <vt:i4>1048627</vt:i4>
      </vt:variant>
      <vt:variant>
        <vt:i4>140</vt:i4>
      </vt:variant>
      <vt:variant>
        <vt:i4>0</vt:i4>
      </vt:variant>
      <vt:variant>
        <vt:i4>5</vt:i4>
      </vt:variant>
      <vt:variant>
        <vt:lpwstr/>
      </vt:variant>
      <vt:variant>
        <vt:lpwstr>_Toc345243123</vt:lpwstr>
      </vt:variant>
      <vt:variant>
        <vt:i4>1048627</vt:i4>
      </vt:variant>
      <vt:variant>
        <vt:i4>134</vt:i4>
      </vt:variant>
      <vt:variant>
        <vt:i4>0</vt:i4>
      </vt:variant>
      <vt:variant>
        <vt:i4>5</vt:i4>
      </vt:variant>
      <vt:variant>
        <vt:lpwstr/>
      </vt:variant>
      <vt:variant>
        <vt:lpwstr>_Toc345243122</vt:lpwstr>
      </vt:variant>
      <vt:variant>
        <vt:i4>1048627</vt:i4>
      </vt:variant>
      <vt:variant>
        <vt:i4>128</vt:i4>
      </vt:variant>
      <vt:variant>
        <vt:i4>0</vt:i4>
      </vt:variant>
      <vt:variant>
        <vt:i4>5</vt:i4>
      </vt:variant>
      <vt:variant>
        <vt:lpwstr/>
      </vt:variant>
      <vt:variant>
        <vt:lpwstr>_Toc345243121</vt:lpwstr>
      </vt:variant>
      <vt:variant>
        <vt:i4>1048627</vt:i4>
      </vt:variant>
      <vt:variant>
        <vt:i4>122</vt:i4>
      </vt:variant>
      <vt:variant>
        <vt:i4>0</vt:i4>
      </vt:variant>
      <vt:variant>
        <vt:i4>5</vt:i4>
      </vt:variant>
      <vt:variant>
        <vt:lpwstr/>
      </vt:variant>
      <vt:variant>
        <vt:lpwstr>_Toc345243120</vt:lpwstr>
      </vt:variant>
      <vt:variant>
        <vt:i4>1245235</vt:i4>
      </vt:variant>
      <vt:variant>
        <vt:i4>116</vt:i4>
      </vt:variant>
      <vt:variant>
        <vt:i4>0</vt:i4>
      </vt:variant>
      <vt:variant>
        <vt:i4>5</vt:i4>
      </vt:variant>
      <vt:variant>
        <vt:lpwstr/>
      </vt:variant>
      <vt:variant>
        <vt:lpwstr>_Toc345243119</vt:lpwstr>
      </vt:variant>
      <vt:variant>
        <vt:i4>1245235</vt:i4>
      </vt:variant>
      <vt:variant>
        <vt:i4>110</vt:i4>
      </vt:variant>
      <vt:variant>
        <vt:i4>0</vt:i4>
      </vt:variant>
      <vt:variant>
        <vt:i4>5</vt:i4>
      </vt:variant>
      <vt:variant>
        <vt:lpwstr/>
      </vt:variant>
      <vt:variant>
        <vt:lpwstr>_Toc345243118</vt:lpwstr>
      </vt:variant>
      <vt:variant>
        <vt:i4>1245235</vt:i4>
      </vt:variant>
      <vt:variant>
        <vt:i4>104</vt:i4>
      </vt:variant>
      <vt:variant>
        <vt:i4>0</vt:i4>
      </vt:variant>
      <vt:variant>
        <vt:i4>5</vt:i4>
      </vt:variant>
      <vt:variant>
        <vt:lpwstr/>
      </vt:variant>
      <vt:variant>
        <vt:lpwstr>_Toc345243117</vt:lpwstr>
      </vt:variant>
      <vt:variant>
        <vt:i4>1245235</vt:i4>
      </vt:variant>
      <vt:variant>
        <vt:i4>98</vt:i4>
      </vt:variant>
      <vt:variant>
        <vt:i4>0</vt:i4>
      </vt:variant>
      <vt:variant>
        <vt:i4>5</vt:i4>
      </vt:variant>
      <vt:variant>
        <vt:lpwstr/>
      </vt:variant>
      <vt:variant>
        <vt:lpwstr>_Toc345243116</vt:lpwstr>
      </vt:variant>
      <vt:variant>
        <vt:i4>1245235</vt:i4>
      </vt:variant>
      <vt:variant>
        <vt:i4>92</vt:i4>
      </vt:variant>
      <vt:variant>
        <vt:i4>0</vt:i4>
      </vt:variant>
      <vt:variant>
        <vt:i4>5</vt:i4>
      </vt:variant>
      <vt:variant>
        <vt:lpwstr/>
      </vt:variant>
      <vt:variant>
        <vt:lpwstr>_Toc345243115</vt:lpwstr>
      </vt:variant>
      <vt:variant>
        <vt:i4>1245235</vt:i4>
      </vt:variant>
      <vt:variant>
        <vt:i4>86</vt:i4>
      </vt:variant>
      <vt:variant>
        <vt:i4>0</vt:i4>
      </vt:variant>
      <vt:variant>
        <vt:i4>5</vt:i4>
      </vt:variant>
      <vt:variant>
        <vt:lpwstr/>
      </vt:variant>
      <vt:variant>
        <vt:lpwstr>_Toc345243114</vt:lpwstr>
      </vt:variant>
      <vt:variant>
        <vt:i4>1245235</vt:i4>
      </vt:variant>
      <vt:variant>
        <vt:i4>80</vt:i4>
      </vt:variant>
      <vt:variant>
        <vt:i4>0</vt:i4>
      </vt:variant>
      <vt:variant>
        <vt:i4>5</vt:i4>
      </vt:variant>
      <vt:variant>
        <vt:lpwstr/>
      </vt:variant>
      <vt:variant>
        <vt:lpwstr>_Toc345243113</vt:lpwstr>
      </vt:variant>
      <vt:variant>
        <vt:i4>1245235</vt:i4>
      </vt:variant>
      <vt:variant>
        <vt:i4>74</vt:i4>
      </vt:variant>
      <vt:variant>
        <vt:i4>0</vt:i4>
      </vt:variant>
      <vt:variant>
        <vt:i4>5</vt:i4>
      </vt:variant>
      <vt:variant>
        <vt:lpwstr/>
      </vt:variant>
      <vt:variant>
        <vt:lpwstr>_Toc345243112</vt:lpwstr>
      </vt:variant>
      <vt:variant>
        <vt:i4>1245235</vt:i4>
      </vt:variant>
      <vt:variant>
        <vt:i4>68</vt:i4>
      </vt:variant>
      <vt:variant>
        <vt:i4>0</vt:i4>
      </vt:variant>
      <vt:variant>
        <vt:i4>5</vt:i4>
      </vt:variant>
      <vt:variant>
        <vt:lpwstr/>
      </vt:variant>
      <vt:variant>
        <vt:lpwstr>_Toc345243111</vt:lpwstr>
      </vt:variant>
      <vt:variant>
        <vt:i4>1245235</vt:i4>
      </vt:variant>
      <vt:variant>
        <vt:i4>62</vt:i4>
      </vt:variant>
      <vt:variant>
        <vt:i4>0</vt:i4>
      </vt:variant>
      <vt:variant>
        <vt:i4>5</vt:i4>
      </vt:variant>
      <vt:variant>
        <vt:lpwstr/>
      </vt:variant>
      <vt:variant>
        <vt:lpwstr>_Toc345243110</vt:lpwstr>
      </vt:variant>
      <vt:variant>
        <vt:i4>1179699</vt:i4>
      </vt:variant>
      <vt:variant>
        <vt:i4>56</vt:i4>
      </vt:variant>
      <vt:variant>
        <vt:i4>0</vt:i4>
      </vt:variant>
      <vt:variant>
        <vt:i4>5</vt:i4>
      </vt:variant>
      <vt:variant>
        <vt:lpwstr/>
      </vt:variant>
      <vt:variant>
        <vt:lpwstr>_Toc345243109</vt:lpwstr>
      </vt:variant>
      <vt:variant>
        <vt:i4>1179699</vt:i4>
      </vt:variant>
      <vt:variant>
        <vt:i4>50</vt:i4>
      </vt:variant>
      <vt:variant>
        <vt:i4>0</vt:i4>
      </vt:variant>
      <vt:variant>
        <vt:i4>5</vt:i4>
      </vt:variant>
      <vt:variant>
        <vt:lpwstr/>
      </vt:variant>
      <vt:variant>
        <vt:lpwstr>_Toc345243108</vt:lpwstr>
      </vt:variant>
      <vt:variant>
        <vt:i4>1179699</vt:i4>
      </vt:variant>
      <vt:variant>
        <vt:i4>44</vt:i4>
      </vt:variant>
      <vt:variant>
        <vt:i4>0</vt:i4>
      </vt:variant>
      <vt:variant>
        <vt:i4>5</vt:i4>
      </vt:variant>
      <vt:variant>
        <vt:lpwstr/>
      </vt:variant>
      <vt:variant>
        <vt:lpwstr>_Toc345243107</vt:lpwstr>
      </vt:variant>
      <vt:variant>
        <vt:i4>1179699</vt:i4>
      </vt:variant>
      <vt:variant>
        <vt:i4>38</vt:i4>
      </vt:variant>
      <vt:variant>
        <vt:i4>0</vt:i4>
      </vt:variant>
      <vt:variant>
        <vt:i4>5</vt:i4>
      </vt:variant>
      <vt:variant>
        <vt:lpwstr/>
      </vt:variant>
      <vt:variant>
        <vt:lpwstr>_Toc345243106</vt:lpwstr>
      </vt:variant>
      <vt:variant>
        <vt:i4>1179699</vt:i4>
      </vt:variant>
      <vt:variant>
        <vt:i4>32</vt:i4>
      </vt:variant>
      <vt:variant>
        <vt:i4>0</vt:i4>
      </vt:variant>
      <vt:variant>
        <vt:i4>5</vt:i4>
      </vt:variant>
      <vt:variant>
        <vt:lpwstr/>
      </vt:variant>
      <vt:variant>
        <vt:lpwstr>_Toc345243105</vt:lpwstr>
      </vt:variant>
      <vt:variant>
        <vt:i4>1179699</vt:i4>
      </vt:variant>
      <vt:variant>
        <vt:i4>26</vt:i4>
      </vt:variant>
      <vt:variant>
        <vt:i4>0</vt:i4>
      </vt:variant>
      <vt:variant>
        <vt:i4>5</vt:i4>
      </vt:variant>
      <vt:variant>
        <vt:lpwstr/>
      </vt:variant>
      <vt:variant>
        <vt:lpwstr>_Toc345243104</vt:lpwstr>
      </vt:variant>
      <vt:variant>
        <vt:i4>1179699</vt:i4>
      </vt:variant>
      <vt:variant>
        <vt:i4>20</vt:i4>
      </vt:variant>
      <vt:variant>
        <vt:i4>0</vt:i4>
      </vt:variant>
      <vt:variant>
        <vt:i4>5</vt:i4>
      </vt:variant>
      <vt:variant>
        <vt:lpwstr/>
      </vt:variant>
      <vt:variant>
        <vt:lpwstr>_Toc345243103</vt:lpwstr>
      </vt:variant>
      <vt:variant>
        <vt:i4>1179699</vt:i4>
      </vt:variant>
      <vt:variant>
        <vt:i4>14</vt:i4>
      </vt:variant>
      <vt:variant>
        <vt:i4>0</vt:i4>
      </vt:variant>
      <vt:variant>
        <vt:i4>5</vt:i4>
      </vt:variant>
      <vt:variant>
        <vt:lpwstr/>
      </vt:variant>
      <vt:variant>
        <vt:lpwstr>_Toc345243102</vt:lpwstr>
      </vt:variant>
      <vt:variant>
        <vt:i4>1179699</vt:i4>
      </vt:variant>
      <vt:variant>
        <vt:i4>8</vt:i4>
      </vt:variant>
      <vt:variant>
        <vt:i4>0</vt:i4>
      </vt:variant>
      <vt:variant>
        <vt:i4>5</vt:i4>
      </vt:variant>
      <vt:variant>
        <vt:lpwstr/>
      </vt:variant>
      <vt:variant>
        <vt:lpwstr>_Toc345243101</vt:lpwstr>
      </vt:variant>
      <vt:variant>
        <vt:i4>4522073</vt:i4>
      </vt:variant>
      <vt:variant>
        <vt:i4>36</vt:i4>
      </vt:variant>
      <vt:variant>
        <vt:i4>0</vt:i4>
      </vt:variant>
      <vt:variant>
        <vt:i4>5</vt:i4>
      </vt:variant>
      <vt:variant>
        <vt:lpwstr>http://www.puc.texas.gov/industry/projects/electric/34610/34610.aspx</vt:lpwstr>
      </vt:variant>
      <vt:variant>
        <vt:lpwstr/>
      </vt:variant>
      <vt:variant>
        <vt:i4>7471192</vt:i4>
      </vt:variant>
      <vt:variant>
        <vt:i4>33</vt:i4>
      </vt:variant>
      <vt:variant>
        <vt:i4>0</vt:i4>
      </vt:variant>
      <vt:variant>
        <vt:i4>5</vt:i4>
      </vt:variant>
      <vt:variant>
        <vt:lpwstr>http://www.puc.texas.gov/industry/projects/electric/34610/presentations/ERCOTBoard_0811.pdf</vt:lpwstr>
      </vt:variant>
      <vt:variant>
        <vt:lpwstr/>
      </vt:variant>
      <vt:variant>
        <vt:i4>1245238</vt:i4>
      </vt:variant>
      <vt:variant>
        <vt:i4>30</vt:i4>
      </vt:variant>
      <vt:variant>
        <vt:i4>0</vt:i4>
      </vt:variant>
      <vt:variant>
        <vt:i4>5</vt:i4>
      </vt:variant>
      <vt:variant>
        <vt:lpwstr>http://www.puc.texas.gov/industry/projects/electric/34610/presentations/Utilimetrics_0811.pdf</vt:lpwstr>
      </vt:variant>
      <vt:variant>
        <vt:lpwstr/>
      </vt:variant>
      <vt:variant>
        <vt:i4>5570579</vt:i4>
      </vt:variant>
      <vt:variant>
        <vt:i4>27</vt:i4>
      </vt:variant>
      <vt:variant>
        <vt:i4>0</vt:i4>
      </vt:variant>
      <vt:variant>
        <vt:i4>5</vt:i4>
      </vt:variant>
      <vt:variant>
        <vt:lpwstr>http://standards.gov/a119.cfm</vt:lpwstr>
      </vt:variant>
      <vt:variant>
        <vt:lpwstr/>
      </vt:variant>
      <vt:variant>
        <vt:i4>4522073</vt:i4>
      </vt:variant>
      <vt:variant>
        <vt:i4>24</vt:i4>
      </vt:variant>
      <vt:variant>
        <vt:i4>0</vt:i4>
      </vt:variant>
      <vt:variant>
        <vt:i4>5</vt:i4>
      </vt:variant>
      <vt:variant>
        <vt:lpwstr>http://www.puc.texas.gov/industry/projects/electric/34610/34610.aspx</vt:lpwstr>
      </vt:variant>
      <vt:variant>
        <vt:lpwstr/>
      </vt:variant>
      <vt:variant>
        <vt:i4>8060950</vt:i4>
      </vt:variant>
      <vt:variant>
        <vt:i4>21</vt:i4>
      </vt:variant>
      <vt:variant>
        <vt:i4>0</vt:i4>
      </vt:variant>
      <vt:variant>
        <vt:i4>5</vt:i4>
      </vt:variant>
      <vt:variant>
        <vt:lpwstr>http://www.nist.gov/smartgrid/upload/1-20-12_Green_Button_Webinar_-_Wollman_and_Irwin.pdf</vt:lpwstr>
      </vt:variant>
      <vt:variant>
        <vt:lpwstr/>
      </vt:variant>
      <vt:variant>
        <vt:i4>6291507</vt:i4>
      </vt:variant>
      <vt:variant>
        <vt:i4>18</vt:i4>
      </vt:variant>
      <vt:variant>
        <vt:i4>0</vt:i4>
      </vt:variant>
      <vt:variant>
        <vt:i4>5</vt:i4>
      </vt:variant>
      <vt:variant>
        <vt:lpwstr>http://www.puc.texas.gov/agency/rulesnlaws/subrules/electric/25.130/25.130.pdf</vt:lpwstr>
      </vt:variant>
      <vt:variant>
        <vt:lpwstr/>
      </vt:variant>
      <vt:variant>
        <vt:i4>6357052</vt:i4>
      </vt:variant>
      <vt:variant>
        <vt:i4>15</vt:i4>
      </vt:variant>
      <vt:variant>
        <vt:i4>0</vt:i4>
      </vt:variant>
      <vt:variant>
        <vt:i4>5</vt:i4>
      </vt:variant>
      <vt:variant>
        <vt:lpwstr>(http:/www.puc.texas.gov/agency/rulesnlaws/statutes/Pura11.pdf)</vt:lpwstr>
      </vt:variant>
      <vt:variant>
        <vt:lpwstr/>
      </vt:variant>
      <vt:variant>
        <vt:i4>720950</vt:i4>
      </vt:variant>
      <vt:variant>
        <vt:i4>12</vt:i4>
      </vt:variant>
      <vt:variant>
        <vt:i4>0</vt:i4>
      </vt:variant>
      <vt:variant>
        <vt:i4>5</vt:i4>
      </vt:variant>
      <vt:variant>
        <vt:lpwstr>http://www.nist.gov/public_affairs/releases/upload/smartgrid_interoperability_final.pdf</vt:lpwstr>
      </vt:variant>
      <vt:variant>
        <vt:lpwstr/>
      </vt:variant>
      <vt:variant>
        <vt:i4>5177411</vt:i4>
      </vt:variant>
      <vt:variant>
        <vt:i4>9</vt:i4>
      </vt:variant>
      <vt:variant>
        <vt:i4>0</vt:i4>
      </vt:variant>
      <vt:variant>
        <vt:i4>5</vt:i4>
      </vt:variant>
      <vt:variant>
        <vt:lpwstr>http://www.nist.gov/smartgrid/upload/NIST_Framework_Release_2-0_corr.pdf</vt:lpwstr>
      </vt:variant>
      <vt:variant>
        <vt:lpwstr/>
      </vt:variant>
      <vt:variant>
        <vt:i4>6291507</vt:i4>
      </vt:variant>
      <vt:variant>
        <vt:i4>6</vt:i4>
      </vt:variant>
      <vt:variant>
        <vt:i4>0</vt:i4>
      </vt:variant>
      <vt:variant>
        <vt:i4>5</vt:i4>
      </vt:variant>
      <vt:variant>
        <vt:lpwstr>http://www.puc.texas.gov/agency/rulesnlaws/subrules/electric/25.130/25.130.pdf</vt:lpwstr>
      </vt:variant>
      <vt:variant>
        <vt:lpwstr/>
      </vt:variant>
      <vt:variant>
        <vt:i4>7667820</vt:i4>
      </vt:variant>
      <vt:variant>
        <vt:i4>3</vt:i4>
      </vt:variant>
      <vt:variant>
        <vt:i4>0</vt:i4>
      </vt:variant>
      <vt:variant>
        <vt:i4>5</vt:i4>
      </vt:variant>
      <vt:variant>
        <vt:lpwstr>http://www.whitehouse.gov/blog/2011/09/15/modeling-green-energy-challenge-after-blue-button</vt:lpwstr>
      </vt:variant>
      <vt:variant>
        <vt:lpwstr/>
      </vt:variant>
      <vt:variant>
        <vt:i4>7536650</vt:i4>
      </vt:variant>
      <vt:variant>
        <vt:i4>0</vt:i4>
      </vt:variant>
      <vt:variant>
        <vt:i4>0</vt:i4>
      </vt:variant>
      <vt:variant>
        <vt:i4>5</vt:i4>
      </vt:variant>
      <vt:variant>
        <vt:lpwstr>http://webstore.iec.ch/webstore/webstore.nsf/Artnum_PK/38920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SMT Third Party Access</dc:title>
  <dc:creator>Mary Zientara</dc:creator>
  <cp:lastModifiedBy>00018207</cp:lastModifiedBy>
  <cp:revision>2</cp:revision>
  <cp:lastPrinted>2013-03-27T15:52:00Z</cp:lastPrinted>
  <dcterms:created xsi:type="dcterms:W3CDTF">2015-06-19T15:14:00Z</dcterms:created>
  <dcterms:modified xsi:type="dcterms:W3CDTF">2015-06-19T15:14:00Z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Version 1</vt:lpwstr>
  </property>
  <property fmtid="{D5CDD505-2E9C-101B-9397-08002B2CF9AE}" pid="3" name="Date completed">
    <vt:lpwstr>June 18, 2012</vt:lpwstr>
  </property>
  <property fmtid="{D5CDD505-2E9C-101B-9397-08002B2CF9AE}" pid="4" name="Client">
    <vt:lpwstr>LADWP</vt:lpwstr>
  </property>
  <property fmtid="{D5CDD505-2E9C-101B-9397-08002B2CF9AE}" pid="5" name="Owner">
    <vt:lpwstr>LADWP</vt:lpwstr>
  </property>
</Properties>
</file>