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91" w:rsidRDefault="00AD70DD">
      <w:bookmarkStart w:id="0" w:name="_GoBack"/>
      <w:bookmarkEnd w:id="0"/>
      <w:r>
        <w:t xml:space="preserve">AMWG </w:t>
      </w:r>
      <w:r w:rsidR="00387F38">
        <w:t>Ma</w:t>
      </w:r>
      <w:r w:rsidR="00691A3F">
        <w:t>y</w:t>
      </w:r>
      <w:r w:rsidR="00387F38">
        <w:t xml:space="preserve"> </w:t>
      </w:r>
      <w:r>
        <w:t>Meeting Notes</w:t>
      </w:r>
    </w:p>
    <w:p w:rsidR="00AD70DD" w:rsidRDefault="00691A3F">
      <w:r>
        <w:t>Tu</w:t>
      </w:r>
      <w:r w:rsidR="00387F38">
        <w:t>es</w:t>
      </w:r>
      <w:r w:rsidR="002B2582">
        <w:t xml:space="preserve">day, </w:t>
      </w:r>
      <w:r w:rsidR="00387F38">
        <w:t>Ma</w:t>
      </w:r>
      <w:r>
        <w:t>y</w:t>
      </w:r>
      <w:r w:rsidR="00387F38">
        <w:t xml:space="preserve"> </w:t>
      </w:r>
      <w:r>
        <w:t>19</w:t>
      </w:r>
      <w:r w:rsidR="00413EDD">
        <w:t>, 2015</w:t>
      </w:r>
      <w:r w:rsidR="009B6FAE">
        <w:t xml:space="preserve"> </w:t>
      </w:r>
      <w:r w:rsidR="002B2582">
        <w:t>9:00 a.m. – 3:00 p.m.</w:t>
      </w:r>
    </w:p>
    <w:p w:rsidR="00AD70DD" w:rsidRDefault="00387F38">
      <w:r>
        <w:t xml:space="preserve">ERCOT Met Center Room 168 and via </w:t>
      </w:r>
      <w:r w:rsidR="00413EDD">
        <w:t>WebEx</w:t>
      </w:r>
      <w:r w:rsidR="00A67E32">
        <w:t xml:space="preserve"> </w:t>
      </w:r>
    </w:p>
    <w:p w:rsidR="00310897" w:rsidRDefault="00310897"/>
    <w:p w:rsidR="00310897" w:rsidRDefault="00310897"/>
    <w:p w:rsidR="00310897" w:rsidRDefault="00310897" w:rsidP="00310897">
      <w:pPr>
        <w:numPr>
          <w:ilvl w:val="0"/>
          <w:numId w:val="1"/>
        </w:numPr>
      </w:pPr>
      <w:r w:rsidRPr="005E3127">
        <w:rPr>
          <w:b/>
        </w:rPr>
        <w:t>Antitrust Admonition</w:t>
      </w:r>
      <w:r>
        <w:t xml:space="preserve"> –</w:t>
      </w:r>
      <w:r w:rsidR="00413EDD">
        <w:t xml:space="preserve"> Esther Kent</w:t>
      </w:r>
    </w:p>
    <w:p w:rsidR="005E3127" w:rsidRDefault="00310897" w:rsidP="005E3127">
      <w:pPr>
        <w:numPr>
          <w:ilvl w:val="0"/>
          <w:numId w:val="1"/>
        </w:numPr>
      </w:pPr>
      <w:r w:rsidRPr="005E3127">
        <w:rPr>
          <w:b/>
        </w:rPr>
        <w:t>Introductions</w:t>
      </w:r>
      <w:r w:rsidR="005E3127">
        <w:t xml:space="preserve"> –</w:t>
      </w:r>
      <w:r w:rsidR="009D08B2">
        <w:t xml:space="preserve"> Attendees</w:t>
      </w:r>
    </w:p>
    <w:tbl>
      <w:tblPr>
        <w:tblW w:w="4965" w:type="dxa"/>
        <w:tblInd w:w="93" w:type="dxa"/>
        <w:tblLook w:val="04A0" w:firstRow="1" w:lastRow="0" w:firstColumn="1" w:lastColumn="0" w:noHBand="0" w:noVBand="1"/>
      </w:tblPr>
      <w:tblGrid>
        <w:gridCol w:w="2320"/>
        <w:gridCol w:w="2645"/>
      </w:tblGrid>
      <w:tr w:rsidR="009D08B2" w:rsidRPr="005E3127" w:rsidTr="002B2582">
        <w:trPr>
          <w:trHeight w:val="300"/>
        </w:trPr>
        <w:tc>
          <w:tcPr>
            <w:tcW w:w="23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Name</w:t>
            </w:r>
          </w:p>
        </w:tc>
        <w:tc>
          <w:tcPr>
            <w:tcW w:w="2645" w:type="dxa"/>
            <w:tcBorders>
              <w:top w:val="single" w:sz="4" w:space="0" w:color="auto"/>
              <w:left w:val="nil"/>
              <w:bottom w:val="single" w:sz="4" w:space="0" w:color="auto"/>
              <w:right w:val="single" w:sz="4" w:space="0" w:color="auto"/>
            </w:tcBorders>
            <w:shd w:val="clear" w:color="000000" w:fill="D9D9D9"/>
            <w:noWrap/>
            <w:vAlign w:val="bottom"/>
            <w:hideMark/>
          </w:tcPr>
          <w:p w:rsidR="009D08B2" w:rsidRPr="005E3127" w:rsidRDefault="009D08B2" w:rsidP="005E3127">
            <w:pPr>
              <w:rPr>
                <w:rFonts w:eastAsia="Times New Roman" w:cs="Calibri"/>
                <w:b/>
                <w:color w:val="000000"/>
                <w:sz w:val="20"/>
                <w:szCs w:val="20"/>
              </w:rPr>
            </w:pPr>
            <w:r w:rsidRPr="005E3127">
              <w:rPr>
                <w:rFonts w:eastAsia="Times New Roman" w:cs="Calibri"/>
                <w:b/>
                <w:color w:val="000000"/>
                <w:sz w:val="20"/>
                <w:szCs w:val="20"/>
              </w:rPr>
              <w:t>Company</w:t>
            </w:r>
          </w:p>
        </w:tc>
      </w:tr>
      <w:tr w:rsidR="00FB5BAF"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FB5BAF" w:rsidRDefault="00FB5BAF" w:rsidP="005E3127">
            <w:pPr>
              <w:rPr>
                <w:rFonts w:eastAsia="Times New Roman" w:cs="Calibri"/>
                <w:color w:val="000000"/>
                <w:sz w:val="20"/>
                <w:szCs w:val="20"/>
              </w:rPr>
            </w:pPr>
            <w:r>
              <w:rPr>
                <w:rFonts w:eastAsia="Times New Roman" w:cs="Calibri"/>
                <w:color w:val="000000"/>
                <w:sz w:val="20"/>
                <w:szCs w:val="20"/>
              </w:rPr>
              <w:t>Esther Kent</w:t>
            </w:r>
          </w:p>
        </w:tc>
        <w:tc>
          <w:tcPr>
            <w:tcW w:w="2645" w:type="dxa"/>
            <w:tcBorders>
              <w:top w:val="nil"/>
              <w:left w:val="nil"/>
              <w:bottom w:val="single" w:sz="4" w:space="0" w:color="auto"/>
              <w:right w:val="single" w:sz="4" w:space="0" w:color="auto"/>
            </w:tcBorders>
            <w:shd w:val="clear" w:color="auto" w:fill="auto"/>
            <w:noWrap/>
            <w:vAlign w:val="bottom"/>
          </w:tcPr>
          <w:p w:rsidR="00FB5BAF" w:rsidRDefault="00FB5BAF" w:rsidP="005E3127">
            <w:pPr>
              <w:rPr>
                <w:rFonts w:eastAsia="Times New Roman" w:cs="Calibri"/>
                <w:color w:val="000000"/>
                <w:sz w:val="20"/>
                <w:szCs w:val="20"/>
              </w:rPr>
            </w:pPr>
            <w:r>
              <w:rPr>
                <w:rFonts w:eastAsia="Times New Roman" w:cs="Calibri"/>
                <w:color w:val="000000"/>
                <w:sz w:val="20"/>
                <w:szCs w:val="20"/>
              </w:rPr>
              <w:t>CenterPoint Energy</w:t>
            </w:r>
          </w:p>
        </w:tc>
      </w:tr>
      <w:tr w:rsidR="009D08B2"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9D08B2" w:rsidRPr="005E3127" w:rsidRDefault="00C446DF" w:rsidP="005E3127">
            <w:pPr>
              <w:rPr>
                <w:rFonts w:eastAsia="Times New Roman" w:cs="Calibri"/>
                <w:color w:val="000000"/>
                <w:sz w:val="20"/>
                <w:szCs w:val="20"/>
              </w:rPr>
            </w:pPr>
            <w:r>
              <w:rPr>
                <w:rFonts w:eastAsia="Times New Roman" w:cs="Calibri"/>
                <w:color w:val="000000"/>
                <w:sz w:val="20"/>
                <w:szCs w:val="20"/>
              </w:rPr>
              <w:t>John Schatz</w:t>
            </w:r>
          </w:p>
        </w:tc>
        <w:tc>
          <w:tcPr>
            <w:tcW w:w="2645" w:type="dxa"/>
            <w:tcBorders>
              <w:top w:val="nil"/>
              <w:left w:val="nil"/>
              <w:bottom w:val="single" w:sz="4" w:space="0" w:color="auto"/>
              <w:right w:val="single" w:sz="4" w:space="0" w:color="auto"/>
            </w:tcBorders>
            <w:shd w:val="clear" w:color="auto" w:fill="auto"/>
            <w:noWrap/>
            <w:vAlign w:val="bottom"/>
            <w:hideMark/>
          </w:tcPr>
          <w:p w:rsidR="009D08B2" w:rsidRPr="005E3127" w:rsidRDefault="00C446DF" w:rsidP="005E3127">
            <w:pPr>
              <w:rPr>
                <w:rFonts w:eastAsia="Times New Roman" w:cs="Calibri"/>
                <w:color w:val="000000"/>
                <w:sz w:val="20"/>
                <w:szCs w:val="20"/>
              </w:rPr>
            </w:pPr>
            <w:r>
              <w:rPr>
                <w:rFonts w:eastAsia="Times New Roman" w:cs="Calibri"/>
                <w:color w:val="000000"/>
                <w:sz w:val="20"/>
                <w:szCs w:val="20"/>
              </w:rPr>
              <w:t>TXU Energy</w:t>
            </w:r>
          </w:p>
        </w:tc>
      </w:tr>
      <w:tr w:rsidR="002B2582"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B2582" w:rsidRPr="005E3127" w:rsidRDefault="002B2582" w:rsidP="006E65DE">
            <w:pPr>
              <w:rPr>
                <w:rFonts w:eastAsia="Times New Roman" w:cs="Calibri"/>
                <w:color w:val="000000"/>
                <w:sz w:val="20"/>
                <w:szCs w:val="20"/>
              </w:rPr>
            </w:pPr>
            <w:r w:rsidRPr="005E3127">
              <w:rPr>
                <w:rFonts w:eastAsia="Times New Roman" w:cs="Calibri"/>
                <w:color w:val="000000"/>
                <w:sz w:val="20"/>
                <w:szCs w:val="20"/>
              </w:rPr>
              <w:t>Kathy Scott</w:t>
            </w:r>
          </w:p>
        </w:tc>
        <w:tc>
          <w:tcPr>
            <w:tcW w:w="2645" w:type="dxa"/>
            <w:tcBorders>
              <w:top w:val="nil"/>
              <w:left w:val="nil"/>
              <w:bottom w:val="single" w:sz="4" w:space="0" w:color="auto"/>
              <w:right w:val="single" w:sz="4" w:space="0" w:color="auto"/>
            </w:tcBorders>
            <w:shd w:val="clear" w:color="auto" w:fill="auto"/>
            <w:noWrap/>
            <w:vAlign w:val="bottom"/>
            <w:hideMark/>
          </w:tcPr>
          <w:p w:rsidR="002B2582" w:rsidRPr="005E3127" w:rsidRDefault="002B2582" w:rsidP="006E65DE">
            <w:pPr>
              <w:rPr>
                <w:rFonts w:eastAsia="Times New Roman" w:cs="Calibri"/>
                <w:color w:val="000000"/>
                <w:sz w:val="20"/>
                <w:szCs w:val="20"/>
              </w:rPr>
            </w:pPr>
            <w:r w:rsidRPr="005E3127">
              <w:rPr>
                <w:rFonts w:eastAsia="Times New Roman" w:cs="Calibri"/>
                <w:color w:val="000000"/>
                <w:sz w:val="20"/>
                <w:szCs w:val="20"/>
              </w:rPr>
              <w:t>CenterPoint Energy</w:t>
            </w:r>
          </w:p>
        </w:tc>
      </w:tr>
      <w:tr w:rsidR="002B2582"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2B2582" w:rsidRPr="005E3127" w:rsidRDefault="002B2582" w:rsidP="005E3127">
            <w:pPr>
              <w:rPr>
                <w:rFonts w:eastAsia="Times New Roman" w:cs="Calibri"/>
                <w:color w:val="000000"/>
                <w:sz w:val="20"/>
                <w:szCs w:val="20"/>
              </w:rPr>
            </w:pPr>
            <w:r>
              <w:rPr>
                <w:rFonts w:eastAsia="Times New Roman" w:cs="Calibri"/>
                <w:color w:val="000000"/>
                <w:sz w:val="20"/>
                <w:szCs w:val="20"/>
              </w:rPr>
              <w:t>Christine Wright</w:t>
            </w:r>
          </w:p>
        </w:tc>
        <w:tc>
          <w:tcPr>
            <w:tcW w:w="2645" w:type="dxa"/>
            <w:tcBorders>
              <w:top w:val="nil"/>
              <w:left w:val="nil"/>
              <w:bottom w:val="single" w:sz="4" w:space="0" w:color="auto"/>
              <w:right w:val="single" w:sz="4" w:space="0" w:color="auto"/>
            </w:tcBorders>
            <w:shd w:val="clear" w:color="auto" w:fill="auto"/>
            <w:noWrap/>
            <w:vAlign w:val="bottom"/>
            <w:hideMark/>
          </w:tcPr>
          <w:p w:rsidR="002B2582" w:rsidRPr="005E3127" w:rsidRDefault="002B2582" w:rsidP="005E3127">
            <w:pPr>
              <w:rPr>
                <w:rFonts w:eastAsia="Times New Roman" w:cs="Calibri"/>
                <w:color w:val="000000"/>
                <w:sz w:val="20"/>
                <w:szCs w:val="20"/>
              </w:rPr>
            </w:pPr>
            <w:r w:rsidRPr="005E3127">
              <w:rPr>
                <w:rFonts w:eastAsia="Times New Roman" w:cs="Calibri"/>
                <w:color w:val="000000"/>
                <w:sz w:val="20"/>
                <w:szCs w:val="20"/>
              </w:rPr>
              <w:t>P</w:t>
            </w:r>
            <w:r>
              <w:rPr>
                <w:rFonts w:eastAsia="Times New Roman" w:cs="Calibri"/>
                <w:color w:val="000000"/>
                <w:sz w:val="20"/>
                <w:szCs w:val="20"/>
              </w:rPr>
              <w:t>UCT</w:t>
            </w:r>
          </w:p>
        </w:tc>
      </w:tr>
      <w:tr w:rsidR="00691A3F"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91A3F" w:rsidRPr="005E3127" w:rsidRDefault="00691A3F" w:rsidP="005E3127">
            <w:pPr>
              <w:rPr>
                <w:rFonts w:eastAsia="Times New Roman" w:cs="Calibri"/>
                <w:color w:val="000000"/>
                <w:sz w:val="20"/>
                <w:szCs w:val="20"/>
              </w:rPr>
            </w:pPr>
            <w:r>
              <w:rPr>
                <w:rFonts w:eastAsia="Times New Roman" w:cs="Calibri"/>
                <w:color w:val="000000"/>
                <w:sz w:val="20"/>
                <w:szCs w:val="20"/>
              </w:rPr>
              <w:t>Bobby Roberts</w:t>
            </w:r>
          </w:p>
        </w:tc>
        <w:tc>
          <w:tcPr>
            <w:tcW w:w="2645" w:type="dxa"/>
            <w:tcBorders>
              <w:top w:val="nil"/>
              <w:left w:val="nil"/>
              <w:bottom w:val="single" w:sz="4" w:space="0" w:color="auto"/>
              <w:right w:val="single" w:sz="4" w:space="0" w:color="auto"/>
            </w:tcBorders>
            <w:shd w:val="clear" w:color="auto" w:fill="auto"/>
            <w:noWrap/>
            <w:vAlign w:val="bottom"/>
            <w:hideMark/>
          </w:tcPr>
          <w:p w:rsidR="00691A3F" w:rsidRPr="005E3127" w:rsidRDefault="00691A3F" w:rsidP="005E3127">
            <w:pPr>
              <w:rPr>
                <w:rFonts w:eastAsia="Times New Roman" w:cs="Calibri"/>
                <w:color w:val="000000"/>
                <w:sz w:val="20"/>
                <w:szCs w:val="20"/>
              </w:rPr>
            </w:pPr>
            <w:r>
              <w:rPr>
                <w:rFonts w:eastAsia="Times New Roman" w:cs="Calibri"/>
                <w:color w:val="000000"/>
                <w:sz w:val="20"/>
                <w:szCs w:val="20"/>
              </w:rPr>
              <w:t>T</w:t>
            </w:r>
            <w:r w:rsidR="00150736">
              <w:rPr>
                <w:rFonts w:eastAsia="Times New Roman" w:cs="Calibri"/>
                <w:color w:val="000000"/>
                <w:sz w:val="20"/>
                <w:szCs w:val="20"/>
              </w:rPr>
              <w:t>NMP</w:t>
            </w:r>
          </w:p>
        </w:tc>
      </w:tr>
      <w:tr w:rsidR="00691A3F"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91A3F" w:rsidRPr="005E3127" w:rsidRDefault="00150736" w:rsidP="005E3127">
            <w:pPr>
              <w:rPr>
                <w:rFonts w:eastAsia="Times New Roman" w:cs="Calibri"/>
                <w:color w:val="000000"/>
                <w:sz w:val="20"/>
                <w:szCs w:val="20"/>
              </w:rPr>
            </w:pPr>
            <w:r>
              <w:rPr>
                <w:rFonts w:eastAsia="Times New Roman" w:cs="Calibri"/>
                <w:color w:val="000000"/>
                <w:sz w:val="20"/>
                <w:szCs w:val="20"/>
              </w:rPr>
              <w:t>Andrea O’Flaherty</w:t>
            </w:r>
          </w:p>
        </w:tc>
        <w:tc>
          <w:tcPr>
            <w:tcW w:w="2645" w:type="dxa"/>
            <w:tcBorders>
              <w:top w:val="nil"/>
              <w:left w:val="nil"/>
              <w:bottom w:val="single" w:sz="4" w:space="0" w:color="auto"/>
              <w:right w:val="single" w:sz="4" w:space="0" w:color="auto"/>
            </w:tcBorders>
            <w:shd w:val="clear" w:color="auto" w:fill="auto"/>
            <w:noWrap/>
            <w:vAlign w:val="bottom"/>
            <w:hideMark/>
          </w:tcPr>
          <w:p w:rsidR="00691A3F" w:rsidRPr="005E3127" w:rsidRDefault="00150736" w:rsidP="005E3127">
            <w:pPr>
              <w:rPr>
                <w:rFonts w:eastAsia="Times New Roman" w:cs="Calibri"/>
                <w:color w:val="000000"/>
                <w:sz w:val="20"/>
                <w:szCs w:val="20"/>
              </w:rPr>
            </w:pPr>
            <w:r>
              <w:rPr>
                <w:rFonts w:eastAsia="Times New Roman" w:cs="Calibri"/>
                <w:color w:val="000000"/>
                <w:sz w:val="20"/>
                <w:szCs w:val="20"/>
              </w:rPr>
              <w:t>Solutions Cube</w:t>
            </w:r>
          </w:p>
        </w:tc>
      </w:tr>
      <w:tr w:rsidR="00691A3F"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691A3F" w:rsidRPr="005E3127" w:rsidRDefault="00691A3F" w:rsidP="005E3127">
            <w:pPr>
              <w:rPr>
                <w:rFonts w:eastAsia="Times New Roman" w:cs="Calibri"/>
                <w:color w:val="000000"/>
                <w:sz w:val="20"/>
                <w:szCs w:val="20"/>
              </w:rPr>
            </w:pPr>
            <w:r>
              <w:rPr>
                <w:rFonts w:eastAsia="Times New Roman" w:cs="Calibri"/>
                <w:color w:val="000000"/>
                <w:sz w:val="20"/>
                <w:szCs w:val="20"/>
              </w:rPr>
              <w:t>Carolynn Reed</w:t>
            </w:r>
          </w:p>
        </w:tc>
        <w:tc>
          <w:tcPr>
            <w:tcW w:w="2645" w:type="dxa"/>
            <w:tcBorders>
              <w:top w:val="nil"/>
              <w:left w:val="nil"/>
              <w:bottom w:val="single" w:sz="4" w:space="0" w:color="auto"/>
              <w:right w:val="single" w:sz="4" w:space="0" w:color="auto"/>
            </w:tcBorders>
            <w:shd w:val="clear" w:color="auto" w:fill="auto"/>
            <w:noWrap/>
            <w:vAlign w:val="bottom"/>
            <w:hideMark/>
          </w:tcPr>
          <w:p w:rsidR="00691A3F" w:rsidRPr="005E3127" w:rsidRDefault="00691A3F" w:rsidP="005E3127">
            <w:pPr>
              <w:rPr>
                <w:rFonts w:eastAsia="Times New Roman" w:cs="Calibri"/>
                <w:color w:val="000000"/>
                <w:sz w:val="20"/>
                <w:szCs w:val="20"/>
              </w:rPr>
            </w:pPr>
            <w:r>
              <w:rPr>
                <w:rFonts w:eastAsia="Times New Roman" w:cs="Calibri"/>
                <w:color w:val="000000"/>
                <w:sz w:val="20"/>
                <w:szCs w:val="20"/>
              </w:rPr>
              <w:t>Oncor</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Jason Moschos</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TNMP</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Jim Lee</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AEP</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Kyle Patrick</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Reliant</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150736" w:rsidP="00150736">
            <w:pPr>
              <w:rPr>
                <w:rFonts w:eastAsia="Times New Roman" w:cs="Calibri"/>
                <w:color w:val="000000"/>
                <w:sz w:val="20"/>
                <w:szCs w:val="20"/>
              </w:rPr>
            </w:pPr>
            <w:r>
              <w:rPr>
                <w:rFonts w:eastAsia="Times New Roman" w:cs="Calibri"/>
                <w:color w:val="000000"/>
                <w:sz w:val="20"/>
                <w:szCs w:val="20"/>
              </w:rPr>
              <w:t>Steve Brightman</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SWES</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Eric Blakey</w:t>
            </w:r>
          </w:p>
        </w:tc>
        <w:tc>
          <w:tcPr>
            <w:tcW w:w="2645" w:type="dxa"/>
            <w:tcBorders>
              <w:top w:val="nil"/>
              <w:left w:val="nil"/>
              <w:bottom w:val="single" w:sz="4" w:space="0" w:color="auto"/>
              <w:right w:val="single" w:sz="4" w:space="0" w:color="auto"/>
            </w:tcBorders>
            <w:shd w:val="clear" w:color="auto" w:fill="auto"/>
            <w:noWrap/>
            <w:vAlign w:val="bottom"/>
            <w:hideMark/>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Just Energy</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Taylor Woodruff</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Oncor</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2B2582" w:rsidRDefault="00150736" w:rsidP="005E3127">
            <w:pPr>
              <w:rPr>
                <w:rFonts w:eastAsia="Times New Roman" w:cs="Calibri"/>
                <w:color w:val="000000"/>
                <w:sz w:val="20"/>
                <w:szCs w:val="20"/>
              </w:rPr>
            </w:pPr>
            <w:r>
              <w:rPr>
                <w:rFonts w:eastAsia="Times New Roman" w:cs="Calibri"/>
                <w:color w:val="000000"/>
                <w:sz w:val="20"/>
                <w:szCs w:val="20"/>
              </w:rPr>
              <w:t>Doug Lewin</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SPEER</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Robert Pool</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150736">
            <w:pPr>
              <w:rPr>
                <w:rFonts w:eastAsia="Times New Roman" w:cs="Calibri"/>
                <w:color w:val="000000"/>
                <w:sz w:val="20"/>
                <w:szCs w:val="20"/>
              </w:rPr>
            </w:pPr>
            <w:r>
              <w:rPr>
                <w:rFonts w:eastAsia="Times New Roman" w:cs="Calibri"/>
                <w:color w:val="000000"/>
                <w:sz w:val="20"/>
                <w:szCs w:val="20"/>
              </w:rPr>
              <w:t>Blue Dot</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Sheri Moore</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CenterPoint Energy</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Michele Gregg</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OPUC</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150736" w:rsidRDefault="00150736" w:rsidP="005E3127">
            <w:pPr>
              <w:rPr>
                <w:rFonts w:eastAsia="Times New Roman" w:cs="Calibri"/>
                <w:color w:val="000000"/>
                <w:sz w:val="20"/>
                <w:szCs w:val="20"/>
              </w:rPr>
            </w:pPr>
            <w:r>
              <w:rPr>
                <w:rFonts w:eastAsia="Times New Roman" w:cs="Calibri"/>
                <w:color w:val="000000"/>
                <w:sz w:val="20"/>
                <w:szCs w:val="20"/>
              </w:rPr>
              <w:t>Bill Barnes</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Reliant</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b/>
                <w:i/>
                <w:color w:val="000000"/>
                <w:sz w:val="20"/>
                <w:szCs w:val="20"/>
              </w:rPr>
              <w:t>Via WebEx</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C16782">
            <w:pPr>
              <w:rPr>
                <w:rFonts w:eastAsia="Times New Roman" w:cs="Calibri"/>
                <w:color w:val="000000"/>
                <w:sz w:val="20"/>
                <w:szCs w:val="20"/>
              </w:rPr>
            </w:pP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r>
              <w:rPr>
                <w:rFonts w:eastAsia="Times New Roman" w:cs="Calibri"/>
                <w:color w:val="000000"/>
                <w:sz w:val="20"/>
                <w:szCs w:val="20"/>
              </w:rPr>
              <w:t>Ken Conway</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602A93" w:rsidP="005E3127">
            <w:pPr>
              <w:rPr>
                <w:rFonts w:eastAsia="Times New Roman" w:cs="Calibri"/>
                <w:color w:val="000000"/>
                <w:sz w:val="20"/>
                <w:szCs w:val="20"/>
              </w:rPr>
            </w:pPr>
            <w:r>
              <w:rPr>
                <w:rFonts w:eastAsia="Times New Roman" w:cs="Calibri"/>
                <w:color w:val="000000"/>
                <w:sz w:val="20"/>
                <w:szCs w:val="20"/>
              </w:rPr>
              <w:t>Oncor</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602A93" w:rsidP="005E3127">
            <w:pPr>
              <w:rPr>
                <w:rFonts w:eastAsia="Times New Roman" w:cs="Calibri"/>
                <w:color w:val="000000"/>
                <w:sz w:val="20"/>
                <w:szCs w:val="20"/>
              </w:rPr>
            </w:pPr>
            <w:r>
              <w:rPr>
                <w:rFonts w:eastAsia="Times New Roman" w:cs="Calibri"/>
                <w:color w:val="000000"/>
                <w:sz w:val="20"/>
                <w:szCs w:val="20"/>
              </w:rPr>
              <w:t>Eric Blakey</w:t>
            </w:r>
          </w:p>
        </w:tc>
        <w:tc>
          <w:tcPr>
            <w:tcW w:w="2645" w:type="dxa"/>
            <w:tcBorders>
              <w:top w:val="nil"/>
              <w:left w:val="nil"/>
              <w:bottom w:val="single" w:sz="4" w:space="0" w:color="auto"/>
              <w:right w:val="single" w:sz="4" w:space="0" w:color="auto"/>
            </w:tcBorders>
            <w:shd w:val="clear" w:color="auto" w:fill="auto"/>
            <w:noWrap/>
            <w:vAlign w:val="bottom"/>
          </w:tcPr>
          <w:p w:rsidR="00150736" w:rsidRDefault="00602A93" w:rsidP="005E3127">
            <w:pPr>
              <w:rPr>
                <w:rFonts w:eastAsia="Times New Roman" w:cs="Calibri"/>
                <w:color w:val="000000"/>
                <w:sz w:val="20"/>
                <w:szCs w:val="20"/>
              </w:rPr>
            </w:pPr>
            <w:r>
              <w:rPr>
                <w:rFonts w:eastAsia="Times New Roman" w:cs="Calibri"/>
                <w:color w:val="000000"/>
                <w:sz w:val="20"/>
                <w:szCs w:val="20"/>
              </w:rPr>
              <w:t>Just Energy</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Kaci Jacobs</w:t>
            </w:r>
          </w:p>
        </w:tc>
        <w:tc>
          <w:tcPr>
            <w:tcW w:w="2645" w:type="dxa"/>
            <w:tcBorders>
              <w:top w:val="nil"/>
              <w:left w:val="nil"/>
              <w:bottom w:val="single" w:sz="4" w:space="0" w:color="auto"/>
              <w:right w:val="single" w:sz="4" w:space="0" w:color="auto"/>
            </w:tcBorders>
            <w:shd w:val="clear" w:color="auto" w:fill="auto"/>
            <w:noWrap/>
            <w:vAlign w:val="bottom"/>
          </w:tcPr>
          <w:p w:rsidR="00150736" w:rsidRPr="005E3127" w:rsidRDefault="00602A93" w:rsidP="005E3127">
            <w:pPr>
              <w:rPr>
                <w:rFonts w:eastAsia="Times New Roman" w:cs="Calibri"/>
                <w:color w:val="000000"/>
                <w:sz w:val="20"/>
                <w:szCs w:val="20"/>
              </w:rPr>
            </w:pPr>
            <w:r>
              <w:rPr>
                <w:rFonts w:eastAsia="Times New Roman" w:cs="Calibri"/>
                <w:color w:val="000000"/>
                <w:sz w:val="20"/>
                <w:szCs w:val="20"/>
              </w:rPr>
              <w:t xml:space="preserve">TXU </w:t>
            </w:r>
            <w:r w:rsidR="00150736">
              <w:rPr>
                <w:rFonts w:eastAsia="Times New Roman" w:cs="Calibri"/>
                <w:color w:val="000000"/>
                <w:sz w:val="20"/>
                <w:szCs w:val="20"/>
              </w:rPr>
              <w:t>Energy</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E3127" w:rsidRDefault="00150736" w:rsidP="00602A93">
            <w:pPr>
              <w:rPr>
                <w:rFonts w:eastAsia="Times New Roman" w:cs="Calibri"/>
                <w:color w:val="000000"/>
                <w:sz w:val="20"/>
                <w:szCs w:val="20"/>
              </w:rPr>
            </w:pPr>
            <w:r>
              <w:rPr>
                <w:rFonts w:eastAsia="Times New Roman" w:cs="Calibri"/>
                <w:color w:val="000000"/>
                <w:sz w:val="20"/>
                <w:szCs w:val="20"/>
              </w:rPr>
              <w:t>M</w:t>
            </w:r>
            <w:r w:rsidR="00602A93">
              <w:rPr>
                <w:rFonts w:eastAsia="Times New Roman" w:cs="Calibri"/>
                <w:color w:val="000000"/>
                <w:sz w:val="20"/>
                <w:szCs w:val="20"/>
              </w:rPr>
              <w:t>ichael Glass</w:t>
            </w:r>
          </w:p>
        </w:tc>
        <w:tc>
          <w:tcPr>
            <w:tcW w:w="2645" w:type="dxa"/>
            <w:tcBorders>
              <w:top w:val="nil"/>
              <w:left w:val="nil"/>
              <w:bottom w:val="single" w:sz="4" w:space="0" w:color="auto"/>
              <w:right w:val="single" w:sz="4" w:space="0" w:color="auto"/>
            </w:tcBorders>
            <w:shd w:val="clear" w:color="auto" w:fill="auto"/>
            <w:noWrap/>
            <w:vAlign w:val="bottom"/>
          </w:tcPr>
          <w:p w:rsidR="00150736" w:rsidRPr="005E3127" w:rsidRDefault="00602A93" w:rsidP="005E3127">
            <w:pPr>
              <w:rPr>
                <w:rFonts w:eastAsia="Times New Roman" w:cs="Calibri"/>
                <w:color w:val="000000"/>
                <w:sz w:val="20"/>
                <w:szCs w:val="20"/>
              </w:rPr>
            </w:pPr>
            <w:r>
              <w:rPr>
                <w:rFonts w:eastAsia="Times New Roman" w:cs="Calibri"/>
                <w:color w:val="000000"/>
                <w:sz w:val="20"/>
                <w:szCs w:val="20"/>
              </w:rPr>
              <w:t>Sharyland Utilities</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E3127" w:rsidRDefault="00150736" w:rsidP="00602A93">
            <w:pPr>
              <w:rPr>
                <w:rFonts w:eastAsia="Times New Roman" w:cs="Calibri"/>
                <w:color w:val="000000"/>
                <w:sz w:val="20"/>
                <w:szCs w:val="20"/>
              </w:rPr>
            </w:pPr>
            <w:r>
              <w:rPr>
                <w:rFonts w:eastAsia="Times New Roman" w:cs="Calibri"/>
                <w:color w:val="000000"/>
                <w:sz w:val="20"/>
                <w:szCs w:val="20"/>
              </w:rPr>
              <w:t>M</w:t>
            </w:r>
            <w:r w:rsidR="00602A93">
              <w:rPr>
                <w:rFonts w:eastAsia="Times New Roman" w:cs="Calibri"/>
                <w:color w:val="000000"/>
                <w:sz w:val="20"/>
                <w:szCs w:val="20"/>
              </w:rPr>
              <w:t>ike ??</w:t>
            </w:r>
          </w:p>
        </w:tc>
        <w:tc>
          <w:tcPr>
            <w:tcW w:w="2645" w:type="dxa"/>
            <w:tcBorders>
              <w:top w:val="nil"/>
              <w:left w:val="nil"/>
              <w:bottom w:val="single" w:sz="4" w:space="0" w:color="auto"/>
              <w:right w:val="single" w:sz="4" w:space="0" w:color="auto"/>
            </w:tcBorders>
            <w:shd w:val="clear" w:color="auto" w:fill="auto"/>
            <w:noWrap/>
            <w:vAlign w:val="bottom"/>
          </w:tcPr>
          <w:p w:rsidR="00150736" w:rsidRPr="005E3127" w:rsidRDefault="00602A93" w:rsidP="005E3127">
            <w:pPr>
              <w:rPr>
                <w:rFonts w:eastAsia="Times New Roman" w:cs="Calibri"/>
                <w:color w:val="000000"/>
                <w:sz w:val="20"/>
                <w:szCs w:val="20"/>
              </w:rPr>
            </w:pPr>
            <w:r>
              <w:rPr>
                <w:rFonts w:eastAsia="Times New Roman" w:cs="Calibri"/>
                <w:color w:val="000000"/>
                <w:sz w:val="20"/>
                <w:szCs w:val="20"/>
              </w:rPr>
              <w:t>Softsmiths</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Mary Gano</w:t>
            </w:r>
          </w:p>
        </w:tc>
        <w:tc>
          <w:tcPr>
            <w:tcW w:w="2645" w:type="dxa"/>
            <w:tcBorders>
              <w:top w:val="nil"/>
              <w:left w:val="nil"/>
              <w:bottom w:val="single" w:sz="4" w:space="0" w:color="auto"/>
              <w:right w:val="single" w:sz="4" w:space="0" w:color="auto"/>
            </w:tcBorders>
            <w:shd w:val="clear" w:color="auto" w:fill="auto"/>
            <w:noWrap/>
            <w:vAlign w:val="bottom"/>
          </w:tcPr>
          <w:p w:rsidR="00150736" w:rsidRPr="005E3127" w:rsidRDefault="00150736" w:rsidP="005E3127">
            <w:pPr>
              <w:rPr>
                <w:rFonts w:eastAsia="Times New Roman" w:cs="Calibri"/>
                <w:color w:val="000000"/>
                <w:sz w:val="20"/>
                <w:szCs w:val="20"/>
              </w:rPr>
            </w:pPr>
            <w:r>
              <w:rPr>
                <w:rFonts w:eastAsia="Times New Roman" w:cs="Calibri"/>
                <w:color w:val="000000"/>
                <w:sz w:val="20"/>
                <w:szCs w:val="20"/>
              </w:rPr>
              <w:t>SWES</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E3127" w:rsidRDefault="00602A93" w:rsidP="005E3127">
            <w:pPr>
              <w:rPr>
                <w:rFonts w:eastAsia="Times New Roman" w:cs="Calibri"/>
                <w:color w:val="000000"/>
                <w:sz w:val="20"/>
                <w:szCs w:val="20"/>
              </w:rPr>
            </w:pPr>
            <w:r>
              <w:rPr>
                <w:rFonts w:eastAsia="Times New Roman" w:cs="Calibri"/>
                <w:color w:val="000000"/>
                <w:sz w:val="20"/>
                <w:szCs w:val="20"/>
              </w:rPr>
              <w:t>Sheri Wiegand</w:t>
            </w:r>
          </w:p>
        </w:tc>
        <w:tc>
          <w:tcPr>
            <w:tcW w:w="2645" w:type="dxa"/>
            <w:tcBorders>
              <w:top w:val="nil"/>
              <w:left w:val="nil"/>
              <w:bottom w:val="single" w:sz="4" w:space="0" w:color="auto"/>
              <w:right w:val="single" w:sz="4" w:space="0" w:color="auto"/>
            </w:tcBorders>
            <w:shd w:val="clear" w:color="auto" w:fill="auto"/>
            <w:noWrap/>
            <w:vAlign w:val="bottom"/>
          </w:tcPr>
          <w:p w:rsidR="00150736" w:rsidRPr="005E3127" w:rsidRDefault="00602A93" w:rsidP="005E3127">
            <w:pPr>
              <w:rPr>
                <w:rFonts w:eastAsia="Times New Roman" w:cs="Calibri"/>
                <w:color w:val="000000"/>
                <w:sz w:val="20"/>
                <w:szCs w:val="20"/>
              </w:rPr>
            </w:pPr>
            <w:r>
              <w:rPr>
                <w:rFonts w:eastAsia="Times New Roman" w:cs="Calibri"/>
                <w:color w:val="000000"/>
                <w:sz w:val="20"/>
                <w:szCs w:val="20"/>
              </w:rPr>
              <w:t>TXU Energy</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Pr="005E3127" w:rsidRDefault="00602A93" w:rsidP="005E3127">
            <w:pPr>
              <w:rPr>
                <w:rFonts w:eastAsia="Times New Roman" w:cs="Calibri"/>
                <w:color w:val="000000"/>
                <w:sz w:val="20"/>
                <w:szCs w:val="20"/>
              </w:rPr>
            </w:pPr>
            <w:r>
              <w:rPr>
                <w:rFonts w:eastAsia="Times New Roman" w:cs="Calibri"/>
                <w:color w:val="000000"/>
                <w:sz w:val="20"/>
                <w:szCs w:val="20"/>
              </w:rPr>
              <w:t>Rebecca Reed</w:t>
            </w:r>
          </w:p>
        </w:tc>
        <w:tc>
          <w:tcPr>
            <w:tcW w:w="2645" w:type="dxa"/>
            <w:tcBorders>
              <w:top w:val="nil"/>
              <w:left w:val="nil"/>
              <w:bottom w:val="single" w:sz="4" w:space="0" w:color="auto"/>
              <w:right w:val="single" w:sz="4" w:space="0" w:color="auto"/>
            </w:tcBorders>
            <w:shd w:val="clear" w:color="auto" w:fill="auto"/>
            <w:noWrap/>
            <w:vAlign w:val="bottom"/>
          </w:tcPr>
          <w:p w:rsidR="00150736" w:rsidRPr="005E3127" w:rsidRDefault="00602A93" w:rsidP="005E3127">
            <w:pPr>
              <w:rPr>
                <w:rFonts w:eastAsia="Times New Roman" w:cs="Calibri"/>
                <w:color w:val="000000"/>
                <w:sz w:val="20"/>
                <w:szCs w:val="20"/>
              </w:rPr>
            </w:pPr>
            <w:r>
              <w:rPr>
                <w:rFonts w:eastAsia="Times New Roman" w:cs="Calibri"/>
                <w:color w:val="000000"/>
                <w:sz w:val="20"/>
                <w:szCs w:val="20"/>
              </w:rPr>
              <w:t>NRG</w:t>
            </w:r>
          </w:p>
        </w:tc>
      </w:tr>
      <w:tr w:rsidR="00150736" w:rsidRPr="005E3127" w:rsidTr="002B2582">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p>
        </w:tc>
        <w:tc>
          <w:tcPr>
            <w:tcW w:w="2645" w:type="dxa"/>
            <w:tcBorders>
              <w:top w:val="nil"/>
              <w:left w:val="nil"/>
              <w:bottom w:val="single" w:sz="4" w:space="0" w:color="auto"/>
              <w:right w:val="single" w:sz="4" w:space="0" w:color="auto"/>
            </w:tcBorders>
            <w:shd w:val="clear" w:color="auto" w:fill="auto"/>
            <w:noWrap/>
            <w:vAlign w:val="bottom"/>
          </w:tcPr>
          <w:p w:rsidR="00150736" w:rsidRDefault="00150736" w:rsidP="005E3127">
            <w:pPr>
              <w:rPr>
                <w:rFonts w:eastAsia="Times New Roman" w:cs="Calibri"/>
                <w:color w:val="000000"/>
                <w:sz w:val="20"/>
                <w:szCs w:val="20"/>
              </w:rPr>
            </w:pPr>
          </w:p>
        </w:tc>
      </w:tr>
    </w:tbl>
    <w:p w:rsidR="005E3127" w:rsidRDefault="005E3127" w:rsidP="005E3127">
      <w:pPr>
        <w:ind w:left="720"/>
      </w:pPr>
    </w:p>
    <w:p w:rsidR="00D046A1" w:rsidRPr="00D046A1" w:rsidRDefault="00D046A1" w:rsidP="00D046A1">
      <w:pPr>
        <w:ind w:left="1260"/>
      </w:pPr>
    </w:p>
    <w:p w:rsidR="005E3127" w:rsidRPr="005E3127" w:rsidRDefault="005E3127" w:rsidP="005E3127">
      <w:pPr>
        <w:numPr>
          <w:ilvl w:val="0"/>
          <w:numId w:val="1"/>
        </w:numPr>
      </w:pPr>
      <w:r>
        <w:rPr>
          <w:b/>
        </w:rPr>
        <w:t xml:space="preserve">Review draft meeting notes and action items from </w:t>
      </w:r>
      <w:r w:rsidR="00600F04">
        <w:rPr>
          <w:b/>
        </w:rPr>
        <w:t xml:space="preserve">the </w:t>
      </w:r>
      <w:r w:rsidR="00EC373B">
        <w:rPr>
          <w:b/>
        </w:rPr>
        <w:t xml:space="preserve">April </w:t>
      </w:r>
      <w:r w:rsidR="00362545">
        <w:rPr>
          <w:b/>
        </w:rPr>
        <w:t xml:space="preserve">AMWG </w:t>
      </w:r>
      <w:r>
        <w:rPr>
          <w:b/>
        </w:rPr>
        <w:t>meeting and make necessary updates/revisions</w:t>
      </w:r>
    </w:p>
    <w:p w:rsidR="005E3127" w:rsidRDefault="001332C1" w:rsidP="005E3127">
      <w:pPr>
        <w:numPr>
          <w:ilvl w:val="1"/>
          <w:numId w:val="1"/>
        </w:numPr>
      </w:pPr>
      <w:r w:rsidRPr="00443214">
        <w:t xml:space="preserve">The group reviewed the </w:t>
      </w:r>
      <w:r w:rsidR="00EC373B">
        <w:t xml:space="preserve">April </w:t>
      </w:r>
      <w:r w:rsidR="00D046A1">
        <w:t>201</w:t>
      </w:r>
      <w:r w:rsidR="00CE0223">
        <w:t>5</w:t>
      </w:r>
      <w:r w:rsidR="00D046A1">
        <w:t xml:space="preserve"> </w:t>
      </w:r>
      <w:r w:rsidRPr="00443214">
        <w:t>meeting m</w:t>
      </w:r>
      <w:r w:rsidR="005E3127" w:rsidRPr="00443214">
        <w:t>inutes</w:t>
      </w:r>
      <w:r w:rsidR="00CE0223">
        <w:t xml:space="preserve">, noted several minor revisions, </w:t>
      </w:r>
      <w:r w:rsidR="0083344C">
        <w:t xml:space="preserve">and </w:t>
      </w:r>
      <w:r w:rsidR="005E3127" w:rsidRPr="00443214">
        <w:t>appr</w:t>
      </w:r>
      <w:r w:rsidR="009F703F" w:rsidRPr="00443214">
        <w:t>oved</w:t>
      </w:r>
      <w:r w:rsidR="0083344C">
        <w:t xml:space="preserve"> with </w:t>
      </w:r>
      <w:r w:rsidR="00CE0223">
        <w:t xml:space="preserve">the </w:t>
      </w:r>
      <w:r w:rsidR="00D046A1">
        <w:t>no</w:t>
      </w:r>
      <w:r w:rsidR="00CE0223">
        <w:t>ted</w:t>
      </w:r>
      <w:r w:rsidR="00D046A1">
        <w:t xml:space="preserve"> </w:t>
      </w:r>
      <w:r w:rsidR="0083344C">
        <w:t>revisions</w:t>
      </w:r>
      <w:r w:rsidR="009F703F" w:rsidRPr="00443214">
        <w:t>.</w:t>
      </w:r>
    </w:p>
    <w:p w:rsidR="00362545" w:rsidRPr="00600F04" w:rsidRDefault="00362545" w:rsidP="00362545">
      <w:pPr>
        <w:numPr>
          <w:ilvl w:val="1"/>
          <w:numId w:val="1"/>
        </w:numPr>
      </w:pPr>
      <w:r w:rsidRPr="00443214">
        <w:rPr>
          <w:b/>
          <w:color w:val="FF0000"/>
        </w:rPr>
        <w:lastRenderedPageBreak/>
        <w:t>Action Item:</w:t>
      </w:r>
      <w:r w:rsidRPr="00443214">
        <w:t xml:space="preserve">  </w:t>
      </w:r>
      <w:r w:rsidR="00CE0223">
        <w:rPr>
          <w:i/>
        </w:rPr>
        <w:t xml:space="preserve">John Schatz will incorporate the revisions to the notes and send </w:t>
      </w:r>
      <w:r w:rsidR="00D046A1" w:rsidRPr="00D046A1">
        <w:rPr>
          <w:i/>
        </w:rPr>
        <w:t xml:space="preserve">to Esther Kent for posting on the AMWG </w:t>
      </w:r>
      <w:r w:rsidR="00EC373B">
        <w:rPr>
          <w:i/>
        </w:rPr>
        <w:t xml:space="preserve">April </w:t>
      </w:r>
      <w:r w:rsidR="00CE0223">
        <w:rPr>
          <w:i/>
        </w:rPr>
        <w:t xml:space="preserve">2015 meeting </w:t>
      </w:r>
      <w:r w:rsidR="00D046A1" w:rsidRPr="00D046A1">
        <w:rPr>
          <w:i/>
        </w:rPr>
        <w:t>page</w:t>
      </w:r>
      <w:r w:rsidRPr="00D046A1">
        <w:rPr>
          <w:i/>
        </w:rPr>
        <w:t>.</w:t>
      </w:r>
    </w:p>
    <w:p w:rsidR="00362545" w:rsidRPr="00443214" w:rsidRDefault="00362545" w:rsidP="00362545">
      <w:pPr>
        <w:ind w:left="1260"/>
      </w:pPr>
    </w:p>
    <w:p w:rsidR="001332C1" w:rsidRPr="00D046A1" w:rsidRDefault="00EC373B" w:rsidP="001332C1">
      <w:pPr>
        <w:numPr>
          <w:ilvl w:val="0"/>
          <w:numId w:val="1"/>
        </w:numPr>
        <w:rPr>
          <w:b/>
        </w:rPr>
      </w:pPr>
      <w:r>
        <w:rPr>
          <w:b/>
        </w:rPr>
        <w:t>SPEER Smart Energy Roadmap</w:t>
      </w:r>
    </w:p>
    <w:p w:rsidR="00D046A1" w:rsidRPr="00CE0223" w:rsidRDefault="00253106" w:rsidP="00D046A1">
      <w:pPr>
        <w:numPr>
          <w:ilvl w:val="1"/>
          <w:numId w:val="1"/>
        </w:numPr>
        <w:rPr>
          <w:b/>
        </w:rPr>
      </w:pPr>
      <w:r>
        <w:t>Do</w:t>
      </w:r>
      <w:r w:rsidR="00EC373B">
        <w:t>ug Lewin of SPEER led the group through a presentation of the highlights of the SPEER report titled Smart Energy Roadmap</w:t>
      </w:r>
      <w:r w:rsidR="00A77E0A">
        <w:t>:</w:t>
      </w:r>
    </w:p>
    <w:p w:rsidR="00CE0223" w:rsidRPr="00D046A1" w:rsidRDefault="00CE0223" w:rsidP="00CE0223">
      <w:pPr>
        <w:ind w:left="1260"/>
        <w:rPr>
          <w:b/>
        </w:rPr>
      </w:pPr>
    </w:p>
    <w:p w:rsidR="002516A4" w:rsidRPr="006B2AC4" w:rsidRDefault="00EC373B" w:rsidP="002516A4">
      <w:pPr>
        <w:numPr>
          <w:ilvl w:val="0"/>
          <w:numId w:val="1"/>
        </w:numPr>
        <w:rPr>
          <w:b/>
        </w:rPr>
      </w:pPr>
      <w:r>
        <w:rPr>
          <w:b/>
        </w:rPr>
        <w:t>Discuss Logistics for the 1</w:t>
      </w:r>
      <w:r w:rsidRPr="00EC373B">
        <w:rPr>
          <w:b/>
          <w:vertAlign w:val="superscript"/>
        </w:rPr>
        <w:t>st</w:t>
      </w:r>
      <w:r>
        <w:rPr>
          <w:b/>
        </w:rPr>
        <w:t xml:space="preserve"> RMS/WMS 3</w:t>
      </w:r>
      <w:r w:rsidRPr="00EC373B">
        <w:rPr>
          <w:b/>
          <w:vertAlign w:val="superscript"/>
        </w:rPr>
        <w:t>rd</w:t>
      </w:r>
      <w:r>
        <w:rPr>
          <w:b/>
        </w:rPr>
        <w:t xml:space="preserve"> Party Access Workshop</w:t>
      </w:r>
    </w:p>
    <w:p w:rsidR="00362545" w:rsidRDefault="00EC373B" w:rsidP="00362545">
      <w:pPr>
        <w:numPr>
          <w:ilvl w:val="1"/>
          <w:numId w:val="1"/>
        </w:numPr>
      </w:pPr>
      <w:r>
        <w:t>A Market Notice will be forthcoming containing workshop details.  The Market Notice will be sent to the RMS, WMS, and AMWG list-serves</w:t>
      </w:r>
    </w:p>
    <w:p w:rsidR="00AA1B45" w:rsidRDefault="00EC373B" w:rsidP="00362545">
      <w:pPr>
        <w:numPr>
          <w:ilvl w:val="1"/>
          <w:numId w:val="1"/>
        </w:numPr>
      </w:pPr>
      <w:r>
        <w:t>The group reviewed the tentative agenda for the workshop</w:t>
      </w:r>
    </w:p>
    <w:p w:rsidR="005A4D4C" w:rsidRDefault="00EC373B" w:rsidP="00EC373B">
      <w:pPr>
        <w:numPr>
          <w:ilvl w:val="1"/>
          <w:numId w:val="1"/>
        </w:numPr>
      </w:pPr>
      <w:r w:rsidRPr="00443214">
        <w:rPr>
          <w:b/>
          <w:color w:val="FF0000"/>
        </w:rPr>
        <w:t>Action Item:</w:t>
      </w:r>
      <w:r>
        <w:rPr>
          <w:b/>
          <w:color w:val="FF0000"/>
        </w:rPr>
        <w:t xml:space="preserve">  </w:t>
      </w:r>
      <w:r w:rsidRPr="00EC373B">
        <w:rPr>
          <w:i/>
        </w:rPr>
        <w:t>Andrea O’Flaherty will notify the 3</w:t>
      </w:r>
      <w:r w:rsidRPr="00EC373B">
        <w:rPr>
          <w:i/>
          <w:vertAlign w:val="superscript"/>
        </w:rPr>
        <w:t>rd</w:t>
      </w:r>
      <w:r w:rsidRPr="00EC373B">
        <w:rPr>
          <w:i/>
        </w:rPr>
        <w:t xml:space="preserve"> Parties of the upcoming workshop</w:t>
      </w:r>
    </w:p>
    <w:p w:rsidR="002A4F64" w:rsidRDefault="002A4F64" w:rsidP="006B2AC4">
      <w:pPr>
        <w:ind w:left="1260"/>
      </w:pPr>
    </w:p>
    <w:p w:rsidR="008F4466" w:rsidRPr="00E41449" w:rsidRDefault="00EC373B" w:rsidP="008F4466">
      <w:pPr>
        <w:numPr>
          <w:ilvl w:val="0"/>
          <w:numId w:val="1"/>
        </w:numPr>
        <w:rPr>
          <w:b/>
        </w:rPr>
      </w:pPr>
      <w:r>
        <w:rPr>
          <w:b/>
        </w:rPr>
        <w:t>Discuss any questions related to the SMT Monthly Market Reports for April</w:t>
      </w:r>
    </w:p>
    <w:p w:rsidR="00591F9E" w:rsidRDefault="003E65D7" w:rsidP="002A4F64">
      <w:pPr>
        <w:numPr>
          <w:ilvl w:val="0"/>
          <w:numId w:val="10"/>
        </w:numPr>
        <w:ind w:left="1267"/>
      </w:pPr>
      <w:r>
        <w:t>The group reviewed the</w:t>
      </w:r>
      <w:r w:rsidR="00591F9E">
        <w:t xml:space="preserve"> reports, addressing several questions.</w:t>
      </w:r>
    </w:p>
    <w:p w:rsidR="002A4F64" w:rsidRPr="00B9640F" w:rsidRDefault="00591F9E" w:rsidP="002A4F64">
      <w:pPr>
        <w:numPr>
          <w:ilvl w:val="0"/>
          <w:numId w:val="10"/>
        </w:numPr>
        <w:ind w:left="1267"/>
      </w:pPr>
      <w:r w:rsidRPr="00443214">
        <w:rPr>
          <w:b/>
          <w:color w:val="FF0000"/>
        </w:rPr>
        <w:t>Action Item:</w:t>
      </w:r>
      <w:r>
        <w:rPr>
          <w:b/>
          <w:color w:val="FF0000"/>
        </w:rPr>
        <w:t xml:space="preserve">  </w:t>
      </w:r>
      <w:r>
        <w:rPr>
          <w:i/>
        </w:rPr>
        <w:t xml:space="preserve">Andrea O’Flaherty will coordinate preparation of a report showing the </w:t>
      </w:r>
      <w:r w:rsidR="00B9640F">
        <w:rPr>
          <w:i/>
        </w:rPr>
        <w:t>monthly volume of On-Demand Read (ODR) requests submitted by 3</w:t>
      </w:r>
      <w:r w:rsidR="00B9640F" w:rsidRPr="00B9640F">
        <w:rPr>
          <w:i/>
          <w:vertAlign w:val="superscript"/>
        </w:rPr>
        <w:t>rd</w:t>
      </w:r>
      <w:r w:rsidR="00B9640F">
        <w:rPr>
          <w:i/>
        </w:rPr>
        <w:t xml:space="preserve"> Parties</w:t>
      </w:r>
    </w:p>
    <w:p w:rsidR="00B9640F" w:rsidRDefault="00B9640F" w:rsidP="002A4F64">
      <w:pPr>
        <w:numPr>
          <w:ilvl w:val="0"/>
          <w:numId w:val="10"/>
        </w:numPr>
        <w:ind w:left="1267"/>
      </w:pPr>
      <w:r>
        <w:rPr>
          <w:b/>
          <w:color w:val="FF0000"/>
        </w:rPr>
        <w:t>Action Item:</w:t>
      </w:r>
      <w:r>
        <w:t xml:space="preserve">  </w:t>
      </w:r>
      <w:r>
        <w:rPr>
          <w:i/>
        </w:rPr>
        <w:t>Andrea will coordinate a change to the “SMT Help Desk” report, adding “year” to the date shown</w:t>
      </w:r>
    </w:p>
    <w:p w:rsidR="002A4F64" w:rsidRPr="008F4466" w:rsidRDefault="002A4F64" w:rsidP="002A4F64"/>
    <w:p w:rsidR="009D6DDB" w:rsidRPr="00A45AB9" w:rsidRDefault="00D34296" w:rsidP="009D6DDB">
      <w:pPr>
        <w:numPr>
          <w:ilvl w:val="0"/>
          <w:numId w:val="1"/>
        </w:numPr>
        <w:rPr>
          <w:b/>
        </w:rPr>
      </w:pPr>
      <w:r>
        <w:rPr>
          <w:b/>
        </w:rPr>
        <w:t xml:space="preserve">Review </w:t>
      </w:r>
      <w:r w:rsidR="00B9640F">
        <w:rPr>
          <w:b/>
        </w:rPr>
        <w:t xml:space="preserve">“In-Process” Change </w:t>
      </w:r>
      <w:r>
        <w:rPr>
          <w:b/>
        </w:rPr>
        <w:t>Requests</w:t>
      </w:r>
    </w:p>
    <w:p w:rsidR="00B25733" w:rsidRPr="00B9640F" w:rsidRDefault="00B9640F" w:rsidP="00B25733">
      <w:pPr>
        <w:numPr>
          <w:ilvl w:val="1"/>
          <w:numId w:val="1"/>
        </w:numPr>
        <w:rPr>
          <w:u w:val="single"/>
        </w:rPr>
      </w:pPr>
      <w:r w:rsidRPr="00B9640F">
        <w:rPr>
          <w:u w:val="single"/>
        </w:rPr>
        <w:t>2015-024:  Renew</w:t>
      </w:r>
      <w:r w:rsidR="001E4719">
        <w:rPr>
          <w:u w:val="single"/>
        </w:rPr>
        <w:t>al of Existing Data Agreement:</w:t>
      </w:r>
      <w:r w:rsidR="001E4719">
        <w:t xml:space="preserve">  subsequent to prior conversations, there was no substantive documentation indicating that an Energy Data Agreement could remain in effect for longer than 12 cumulative months.  The group concurred that this appears to be a design “miss”.  IBM has not been willing to revise the cost estimate for this CR.  The group recommended that the JDOA be engaged to discuss with IBM the implementation of this CR at no cost.</w:t>
      </w:r>
    </w:p>
    <w:p w:rsidR="00D34296" w:rsidRDefault="00D34296" w:rsidP="00D34296">
      <w:pPr>
        <w:numPr>
          <w:ilvl w:val="1"/>
          <w:numId w:val="1"/>
        </w:numPr>
      </w:pPr>
      <w:r>
        <w:rPr>
          <w:b/>
          <w:color w:val="FF0000"/>
        </w:rPr>
        <w:t>Action Item:</w:t>
      </w:r>
      <w:r>
        <w:t xml:space="preserve">  </w:t>
      </w:r>
      <w:r w:rsidR="001E4719">
        <w:rPr>
          <w:i/>
        </w:rPr>
        <w:t>Andrea will present this issue to the JDOA, with the JDOA to encourage IBM to expeditiously implement the CR at no cost.  Andrea will provide an update to AMWG at the next AMWG meeting.</w:t>
      </w:r>
    </w:p>
    <w:p w:rsidR="001E4719" w:rsidRPr="0047517A" w:rsidRDefault="001E4719" w:rsidP="00D34296">
      <w:pPr>
        <w:numPr>
          <w:ilvl w:val="1"/>
          <w:numId w:val="1"/>
        </w:numPr>
        <w:rPr>
          <w:u w:val="single"/>
        </w:rPr>
      </w:pPr>
      <w:r w:rsidRPr="001E4719">
        <w:rPr>
          <w:u w:val="single"/>
        </w:rPr>
        <w:t>2015-029:  API for on-</w:t>
      </w:r>
      <w:r>
        <w:rPr>
          <w:u w:val="single"/>
        </w:rPr>
        <w:t>demand data requests/extracts:</w:t>
      </w:r>
      <w:r>
        <w:t xml:space="preserve">  the group reviewed a revised storyboard</w:t>
      </w:r>
      <w:r w:rsidR="0047517A">
        <w:t xml:space="preserve"> and CR.</w:t>
      </w:r>
    </w:p>
    <w:p w:rsidR="0047517A" w:rsidRPr="0047517A" w:rsidRDefault="0047517A" w:rsidP="00D34296">
      <w:pPr>
        <w:numPr>
          <w:ilvl w:val="1"/>
          <w:numId w:val="1"/>
        </w:numPr>
        <w:rPr>
          <w:u w:val="single"/>
        </w:rPr>
      </w:pPr>
      <w:r>
        <w:rPr>
          <w:b/>
          <w:color w:val="FF0000"/>
        </w:rPr>
        <w:t>Action Item:</w:t>
      </w:r>
      <w:r>
        <w:rPr>
          <w:color w:val="FF0000"/>
        </w:rPr>
        <w:t xml:space="preserve">  </w:t>
      </w:r>
      <w:r>
        <w:rPr>
          <w:i/>
        </w:rPr>
        <w:t>Esther Kent to revise the CR document and send to John Schatz</w:t>
      </w:r>
    </w:p>
    <w:p w:rsidR="0047517A" w:rsidRPr="0047517A" w:rsidRDefault="0047517A" w:rsidP="00D34296">
      <w:pPr>
        <w:numPr>
          <w:ilvl w:val="1"/>
          <w:numId w:val="1"/>
        </w:numPr>
        <w:rPr>
          <w:u w:val="single"/>
        </w:rPr>
      </w:pPr>
      <w:r>
        <w:rPr>
          <w:b/>
          <w:color w:val="FF0000"/>
        </w:rPr>
        <w:t>Action Item:</w:t>
      </w:r>
      <w:r>
        <w:t xml:space="preserve">  </w:t>
      </w:r>
      <w:r>
        <w:rPr>
          <w:i/>
        </w:rPr>
        <w:t>John Schatz will place the CR on the 6/2 RMS agenda as a voting item</w:t>
      </w:r>
    </w:p>
    <w:p w:rsidR="0047517A" w:rsidRPr="0047517A" w:rsidRDefault="0047517A" w:rsidP="00D34296">
      <w:pPr>
        <w:numPr>
          <w:ilvl w:val="1"/>
          <w:numId w:val="1"/>
        </w:numPr>
        <w:rPr>
          <w:u w:val="single"/>
        </w:rPr>
      </w:pPr>
      <w:r w:rsidRPr="0047517A">
        <w:rPr>
          <w:u w:val="single"/>
        </w:rPr>
        <w:t>2015-040:  Enhancement of SMT user administration functionalities:</w:t>
      </w:r>
      <w:r>
        <w:t xml:space="preserve">  the group reviewed the CR and agreed to present to RMS for approval to proceed to the cost estimation phase.</w:t>
      </w:r>
    </w:p>
    <w:p w:rsidR="00305A88" w:rsidRPr="00305A88" w:rsidRDefault="0047517A" w:rsidP="00D34296">
      <w:pPr>
        <w:numPr>
          <w:ilvl w:val="1"/>
          <w:numId w:val="1"/>
        </w:numPr>
        <w:rPr>
          <w:u w:val="single"/>
        </w:rPr>
      </w:pPr>
      <w:r>
        <w:rPr>
          <w:b/>
          <w:color w:val="FF0000"/>
        </w:rPr>
        <w:t>Action Items:</w:t>
      </w:r>
      <w:r>
        <w:rPr>
          <w:i/>
        </w:rPr>
        <w:t xml:space="preserve">  John Schatz will revise the CR and place on the 6/2 RMS agenda as</w:t>
      </w:r>
      <w:r w:rsidR="00305A88">
        <w:rPr>
          <w:i/>
        </w:rPr>
        <w:t xml:space="preserve"> for approval to proceed to the cost estimation phase</w:t>
      </w:r>
      <w:r>
        <w:rPr>
          <w:i/>
        </w:rPr>
        <w:t>.</w:t>
      </w:r>
    </w:p>
    <w:p w:rsidR="00305A88" w:rsidRPr="00305A88" w:rsidRDefault="00305A88" w:rsidP="00D34296">
      <w:pPr>
        <w:numPr>
          <w:ilvl w:val="1"/>
          <w:numId w:val="1"/>
        </w:numPr>
        <w:rPr>
          <w:u w:val="single"/>
        </w:rPr>
      </w:pPr>
      <w:r>
        <w:rPr>
          <w:u w:val="single"/>
        </w:rPr>
        <w:t>2015-042:  Machine-to-Machine Consumption of 3</w:t>
      </w:r>
      <w:r w:rsidRPr="00305A88">
        <w:rPr>
          <w:u w:val="single"/>
          <w:vertAlign w:val="superscript"/>
        </w:rPr>
        <w:t>rd</w:t>
      </w:r>
      <w:r>
        <w:rPr>
          <w:u w:val="single"/>
        </w:rPr>
        <w:t xml:space="preserve"> Party Agreement Details via FTPS:</w:t>
      </w:r>
      <w:r>
        <w:t xml:space="preserve">  The group reviewed the CR storyboard and agreed to present to RMS for approval to the cost estimation phase.</w:t>
      </w:r>
    </w:p>
    <w:p w:rsidR="00305A88" w:rsidRPr="00305A88" w:rsidRDefault="00305A88" w:rsidP="00D34296">
      <w:pPr>
        <w:numPr>
          <w:ilvl w:val="1"/>
          <w:numId w:val="1"/>
        </w:numPr>
        <w:rPr>
          <w:u w:val="single"/>
        </w:rPr>
      </w:pPr>
      <w:r>
        <w:rPr>
          <w:b/>
          <w:color w:val="FF0000"/>
        </w:rPr>
        <w:t>Action Item:</w:t>
      </w:r>
      <w:r>
        <w:t xml:space="preserve">  </w:t>
      </w:r>
      <w:r>
        <w:rPr>
          <w:i/>
        </w:rPr>
        <w:t>Esther Kent will revise the CR to reflect “2015-042” instead of “2015-039”</w:t>
      </w:r>
    </w:p>
    <w:p w:rsidR="0047517A" w:rsidRPr="0047517A" w:rsidRDefault="00305A88" w:rsidP="00D34296">
      <w:pPr>
        <w:numPr>
          <w:ilvl w:val="1"/>
          <w:numId w:val="1"/>
        </w:numPr>
        <w:rPr>
          <w:u w:val="single"/>
        </w:rPr>
      </w:pPr>
      <w:r>
        <w:rPr>
          <w:b/>
          <w:color w:val="FF0000"/>
        </w:rPr>
        <w:t>Action Item:</w:t>
      </w:r>
      <w:r>
        <w:t xml:space="preserve">  </w:t>
      </w:r>
      <w:r>
        <w:rPr>
          <w:i/>
        </w:rPr>
        <w:t>John Schatz will request the CR be placed on the 6/2 RMS agenda for approval to proceed to the cost estimation phase.</w:t>
      </w:r>
      <w:r w:rsidR="0047517A" w:rsidRPr="0047517A">
        <w:rPr>
          <w:u w:val="single"/>
        </w:rPr>
        <w:t xml:space="preserve">  </w:t>
      </w:r>
    </w:p>
    <w:p w:rsidR="00F25269" w:rsidRPr="008F4466" w:rsidRDefault="007B399F" w:rsidP="00F25269">
      <w:pPr>
        <w:ind w:left="1260"/>
      </w:pPr>
      <w:r>
        <w:br w:type="page"/>
      </w:r>
    </w:p>
    <w:p w:rsidR="008F4466" w:rsidRDefault="000051B1" w:rsidP="008F4466">
      <w:pPr>
        <w:numPr>
          <w:ilvl w:val="0"/>
          <w:numId w:val="1"/>
        </w:numPr>
      </w:pPr>
      <w:r>
        <w:rPr>
          <w:b/>
        </w:rPr>
        <w:lastRenderedPageBreak/>
        <w:t xml:space="preserve">Review </w:t>
      </w:r>
      <w:r w:rsidR="007B399F">
        <w:rPr>
          <w:b/>
        </w:rPr>
        <w:t xml:space="preserve">AMWG CR </w:t>
      </w:r>
      <w:r w:rsidR="00600C32">
        <w:rPr>
          <w:b/>
        </w:rPr>
        <w:t>story boards and estimates for CR</w:t>
      </w:r>
      <w:r w:rsidR="00514755">
        <w:rPr>
          <w:b/>
        </w:rPr>
        <w:t>s 2015-0</w:t>
      </w:r>
      <w:r w:rsidR="007B399F">
        <w:rPr>
          <w:b/>
        </w:rPr>
        <w:t>03</w:t>
      </w:r>
      <w:r w:rsidR="00514755">
        <w:rPr>
          <w:b/>
        </w:rPr>
        <w:t xml:space="preserve"> through 2015-0</w:t>
      </w:r>
      <w:r w:rsidR="007B399F">
        <w:rPr>
          <w:b/>
        </w:rPr>
        <w:t>3</w:t>
      </w:r>
      <w:r w:rsidR="00514755">
        <w:rPr>
          <w:b/>
        </w:rPr>
        <w:t>9</w:t>
      </w:r>
    </w:p>
    <w:p w:rsidR="006A3785" w:rsidRDefault="007F58D1" w:rsidP="006A3785">
      <w:pPr>
        <w:numPr>
          <w:ilvl w:val="1"/>
          <w:numId w:val="1"/>
        </w:numPr>
      </w:pPr>
      <w:r>
        <w:t xml:space="preserve">The group reviewed </w:t>
      </w:r>
      <w:r w:rsidR="00600C32">
        <w:t xml:space="preserve">the story boards and </w:t>
      </w:r>
      <w:r w:rsidR="00600C32" w:rsidRPr="00600C32">
        <w:rPr>
          <w:u w:val="single"/>
        </w:rPr>
        <w:t>broad</w:t>
      </w:r>
      <w:r w:rsidR="00600C32">
        <w:t xml:space="preserve"> cost estimates for the </w:t>
      </w:r>
      <w:r w:rsidR="00514755">
        <w:t xml:space="preserve">subject </w:t>
      </w:r>
      <w:r w:rsidR="00600C32">
        <w:t>CRs</w:t>
      </w:r>
      <w:r w:rsidR="00514755">
        <w:t>.  T</w:t>
      </w:r>
      <w:r>
        <w:t xml:space="preserve">he group concurred that CRs </w:t>
      </w:r>
      <w:r w:rsidR="007B399F">
        <w:t xml:space="preserve">2015-035, 2015-036, 2015-037, and 2015-039 </w:t>
      </w:r>
      <w:r>
        <w:t>could proceed to RMS for approval</w:t>
      </w:r>
      <w:r w:rsidR="007B399F">
        <w:t>.</w:t>
      </w:r>
    </w:p>
    <w:p w:rsidR="00600C32" w:rsidRDefault="00600C32" w:rsidP="007B399F">
      <w:pPr>
        <w:numPr>
          <w:ilvl w:val="1"/>
          <w:numId w:val="1"/>
        </w:numPr>
      </w:pPr>
      <w:r>
        <w:t>CR</w:t>
      </w:r>
      <w:r w:rsidR="00391F56">
        <w:t xml:space="preserve"> 2015-030, -031, -032, -033, -034, and -038 were tabled indefinitely, per group consensus.</w:t>
      </w:r>
    </w:p>
    <w:p w:rsidR="00514755" w:rsidRPr="00391F56" w:rsidRDefault="00391F56" w:rsidP="007B399F">
      <w:pPr>
        <w:numPr>
          <w:ilvl w:val="1"/>
          <w:numId w:val="1"/>
        </w:numPr>
        <w:rPr>
          <w:u w:val="single"/>
        </w:rPr>
      </w:pPr>
      <w:r w:rsidRPr="00391F56">
        <w:rPr>
          <w:u w:val="single"/>
        </w:rPr>
        <w:t>CR 2014-018:  Display of DRG information on the SMT web portal.</w:t>
      </w:r>
    </w:p>
    <w:p w:rsidR="00391F56" w:rsidRDefault="00391F56" w:rsidP="00391F56">
      <w:pPr>
        <w:numPr>
          <w:ilvl w:val="2"/>
          <w:numId w:val="1"/>
        </w:numPr>
      </w:pPr>
      <w:r>
        <w:t>The group reviewed option 3 of this CR.  Option 3 involves displaying numerical data only on SMT (while options 1 &amp; 2 were to display the data both graphically and numerically).  The group agreed to allow option 3 of the CR to proceed to RMS for approval of the CR to move to the prioritization phase.</w:t>
      </w:r>
    </w:p>
    <w:p w:rsidR="00D15B55" w:rsidRDefault="00D15B55" w:rsidP="006A3785">
      <w:pPr>
        <w:numPr>
          <w:ilvl w:val="1"/>
          <w:numId w:val="1"/>
        </w:numPr>
      </w:pPr>
      <w:r>
        <w:rPr>
          <w:b/>
          <w:color w:val="FF0000"/>
        </w:rPr>
        <w:t>Action Item:</w:t>
      </w:r>
      <w:r>
        <w:t xml:space="preserve">  </w:t>
      </w:r>
      <w:r w:rsidR="00391F56">
        <w:rPr>
          <w:i/>
        </w:rPr>
        <w:t>John Schatz will ensure the CR is on the 6/2 RMS agenda as a voting item</w:t>
      </w:r>
      <w:r w:rsidR="00514755">
        <w:rPr>
          <w:i/>
        </w:rPr>
        <w:t>.</w:t>
      </w:r>
    </w:p>
    <w:p w:rsidR="00FE07AF" w:rsidRDefault="00FE07AF" w:rsidP="00FE07AF"/>
    <w:p w:rsidR="00B7224C" w:rsidRPr="00955585" w:rsidRDefault="00E246C4" w:rsidP="00B7224C">
      <w:pPr>
        <w:numPr>
          <w:ilvl w:val="0"/>
          <w:numId w:val="1"/>
        </w:numPr>
      </w:pPr>
      <w:r>
        <w:rPr>
          <w:b/>
        </w:rPr>
        <w:t>Update on SMT Portal Outage and Hardware Refresh</w:t>
      </w:r>
    </w:p>
    <w:p w:rsidR="00C67C34" w:rsidRDefault="00E246C4" w:rsidP="00824B95">
      <w:pPr>
        <w:numPr>
          <w:ilvl w:val="1"/>
          <w:numId w:val="1"/>
        </w:numPr>
      </w:pPr>
      <w:r>
        <w:t>Andrea O’Flaherty indicated that the “post-mortem” report of the SMT outage would be ready for discussion at the August RMS meeting.</w:t>
      </w:r>
    </w:p>
    <w:p w:rsidR="00C36605" w:rsidRDefault="00C36605" w:rsidP="00C36605">
      <w:pPr>
        <w:ind w:left="1260"/>
      </w:pPr>
    </w:p>
    <w:p w:rsidR="00962810" w:rsidRDefault="00E246C4" w:rsidP="00962810">
      <w:pPr>
        <w:numPr>
          <w:ilvl w:val="0"/>
          <w:numId w:val="1"/>
        </w:numPr>
      </w:pPr>
      <w:r>
        <w:rPr>
          <w:b/>
        </w:rPr>
        <w:t>Update</w:t>
      </w:r>
      <w:r w:rsidR="001A4ACB">
        <w:rPr>
          <w:b/>
        </w:rPr>
        <w:t xml:space="preserve"> </w:t>
      </w:r>
      <w:r>
        <w:rPr>
          <w:b/>
        </w:rPr>
        <w:t xml:space="preserve">on all RMS “approved” </w:t>
      </w:r>
      <w:r w:rsidR="001A4ACB">
        <w:rPr>
          <w:b/>
        </w:rPr>
        <w:t>AMWG C</w:t>
      </w:r>
      <w:r>
        <w:rPr>
          <w:b/>
        </w:rPr>
        <w:t xml:space="preserve">hange </w:t>
      </w:r>
      <w:r w:rsidR="001A4ACB">
        <w:rPr>
          <w:b/>
        </w:rPr>
        <w:t>R</w:t>
      </w:r>
      <w:r>
        <w:rPr>
          <w:b/>
        </w:rPr>
        <w:t>equests</w:t>
      </w:r>
    </w:p>
    <w:p w:rsidR="00962810" w:rsidRDefault="00D92428" w:rsidP="00962810">
      <w:pPr>
        <w:numPr>
          <w:ilvl w:val="1"/>
          <w:numId w:val="1"/>
        </w:numPr>
      </w:pPr>
      <w:r>
        <w:t>This group reviewed the “approved” change requests and there were no questions.</w:t>
      </w:r>
    </w:p>
    <w:p w:rsidR="00D92428" w:rsidRPr="00D92428" w:rsidRDefault="00D92428" w:rsidP="00962810">
      <w:pPr>
        <w:numPr>
          <w:ilvl w:val="1"/>
          <w:numId w:val="1"/>
        </w:numPr>
        <w:rPr>
          <w:color w:val="00B050"/>
        </w:rPr>
      </w:pPr>
      <w:r w:rsidRPr="00D92428">
        <w:rPr>
          <w:b/>
          <w:color w:val="00B050"/>
        </w:rPr>
        <w:t>Agenda Item:</w:t>
      </w:r>
      <w:r>
        <w:t xml:space="preserve">  </w:t>
      </w:r>
      <w:r>
        <w:rPr>
          <w:i/>
        </w:rPr>
        <w:t>Prioritize CRs 2015-030 through 2015-039 and then review all “approved” CRs for packaging and subsequent design/implementation.</w:t>
      </w:r>
    </w:p>
    <w:p w:rsidR="00021CE3" w:rsidRDefault="00021CE3" w:rsidP="00B35C2E"/>
    <w:p w:rsidR="00BC04A3" w:rsidRPr="005415B0" w:rsidRDefault="00D92428" w:rsidP="005415B0">
      <w:pPr>
        <w:numPr>
          <w:ilvl w:val="0"/>
          <w:numId w:val="1"/>
        </w:numPr>
        <w:rPr>
          <w:b/>
        </w:rPr>
      </w:pPr>
      <w:r>
        <w:rPr>
          <w:b/>
        </w:rPr>
        <w:t>Continue the categorization and prioritization process on RMS-approved CRs 2015-021 and 2013-010</w:t>
      </w:r>
    </w:p>
    <w:p w:rsidR="00BC04A3" w:rsidRDefault="00D92428" w:rsidP="00BC04A3">
      <w:pPr>
        <w:numPr>
          <w:ilvl w:val="1"/>
          <w:numId w:val="1"/>
        </w:numPr>
      </w:pPr>
      <w:r>
        <w:t>This item was not discussed</w:t>
      </w:r>
    </w:p>
    <w:p w:rsidR="006B3BA2" w:rsidRDefault="006B3BA2" w:rsidP="006B3BA2"/>
    <w:p w:rsidR="008F619F" w:rsidRPr="008F619F" w:rsidRDefault="00D92428" w:rsidP="006B3BA2">
      <w:pPr>
        <w:numPr>
          <w:ilvl w:val="0"/>
          <w:numId w:val="1"/>
        </w:numPr>
      </w:pPr>
      <w:r>
        <w:rPr>
          <w:b/>
        </w:rPr>
        <w:t xml:space="preserve">Update on the information needed in the </w:t>
      </w:r>
      <w:r w:rsidR="008F619F">
        <w:rPr>
          <w:b/>
        </w:rPr>
        <w:t>“template” slide, used AMWG updates to RMS</w:t>
      </w:r>
      <w:r>
        <w:rPr>
          <w:b/>
        </w:rPr>
        <w:t xml:space="preserve"> on</w:t>
      </w:r>
      <w:r w:rsidR="008F619F">
        <w:rPr>
          <w:b/>
        </w:rPr>
        <w:t xml:space="preserve"> key SMT statistics</w:t>
      </w:r>
    </w:p>
    <w:p w:rsidR="008F619F" w:rsidRDefault="00D92428" w:rsidP="008F619F">
      <w:pPr>
        <w:numPr>
          <w:ilvl w:val="1"/>
          <w:numId w:val="1"/>
        </w:numPr>
      </w:pPr>
      <w:r>
        <w:t>John Schatz indicated that the needed info was obtained and he would update the slide as part of the AMWG update to the 6/2 RMS meeting</w:t>
      </w:r>
    </w:p>
    <w:p w:rsidR="008F619F" w:rsidRPr="008F619F" w:rsidRDefault="008F619F" w:rsidP="008F619F">
      <w:pPr>
        <w:ind w:left="1260"/>
      </w:pPr>
    </w:p>
    <w:p w:rsidR="00D92428" w:rsidRPr="003834EF" w:rsidRDefault="003834EF" w:rsidP="006B3BA2">
      <w:pPr>
        <w:numPr>
          <w:ilvl w:val="0"/>
          <w:numId w:val="1"/>
        </w:numPr>
      </w:pPr>
      <w:r>
        <w:rPr>
          <w:b/>
        </w:rPr>
        <w:t>Review AMWG Master CR and Issues Tracking Log and unresolved issues</w:t>
      </w:r>
    </w:p>
    <w:p w:rsidR="003834EF" w:rsidRDefault="003834EF" w:rsidP="003834EF">
      <w:pPr>
        <w:numPr>
          <w:ilvl w:val="1"/>
          <w:numId w:val="1"/>
        </w:numPr>
      </w:pPr>
      <w:r>
        <w:t>This item was not discussed</w:t>
      </w:r>
    </w:p>
    <w:p w:rsidR="003834EF" w:rsidRPr="00D92428" w:rsidRDefault="003834EF" w:rsidP="003834EF">
      <w:pPr>
        <w:ind w:left="1260"/>
      </w:pPr>
    </w:p>
    <w:p w:rsidR="006B3BA2" w:rsidRPr="006B3BA2" w:rsidRDefault="003834EF" w:rsidP="006B3BA2">
      <w:pPr>
        <w:numPr>
          <w:ilvl w:val="0"/>
          <w:numId w:val="1"/>
        </w:numPr>
      </w:pPr>
      <w:r>
        <w:rPr>
          <w:b/>
        </w:rPr>
        <w:t>Identify Items to present at the next RMS meeting</w:t>
      </w:r>
    </w:p>
    <w:p w:rsidR="006B3BA2" w:rsidRDefault="006B3BA2" w:rsidP="006B3BA2">
      <w:pPr>
        <w:numPr>
          <w:ilvl w:val="0"/>
          <w:numId w:val="15"/>
        </w:numPr>
        <w:ind w:left="1267"/>
      </w:pPr>
      <w:r>
        <w:t>Th</w:t>
      </w:r>
      <w:r w:rsidR="003834EF">
        <w:t>is item was not discussed, although Mr. Schatz had noted during the meeting the items to include in the AMWG update to the 6/2 RMS meeting</w:t>
      </w:r>
    </w:p>
    <w:p w:rsidR="00B65274" w:rsidRDefault="00B65274" w:rsidP="006B3BA2">
      <w:pPr>
        <w:ind w:left="1267"/>
      </w:pPr>
    </w:p>
    <w:p w:rsidR="00B65274" w:rsidRDefault="003834EF" w:rsidP="00B65274">
      <w:pPr>
        <w:numPr>
          <w:ilvl w:val="0"/>
          <w:numId w:val="1"/>
        </w:numPr>
      </w:pPr>
      <w:r>
        <w:rPr>
          <w:b/>
        </w:rPr>
        <w:t>Review action items and agenda items</w:t>
      </w:r>
    </w:p>
    <w:p w:rsidR="00B65274" w:rsidRPr="00B65274" w:rsidRDefault="003834EF" w:rsidP="00B65274">
      <w:pPr>
        <w:numPr>
          <w:ilvl w:val="1"/>
          <w:numId w:val="1"/>
        </w:numPr>
      </w:pPr>
      <w:r>
        <w:t>This item was not discussed</w:t>
      </w:r>
      <w:r w:rsidR="00B65274">
        <w:rPr>
          <w:i/>
        </w:rPr>
        <w:t>.</w:t>
      </w:r>
    </w:p>
    <w:p w:rsidR="00021CE3" w:rsidRPr="00021CE3" w:rsidRDefault="00B7224C" w:rsidP="00B7224C">
      <w:r>
        <w:t xml:space="preserve">      </w:t>
      </w:r>
    </w:p>
    <w:p w:rsidR="00DE68EB" w:rsidRPr="00DE68EB" w:rsidRDefault="00DE68EB" w:rsidP="003834EF">
      <w:pPr>
        <w:rPr>
          <w:b/>
          <w:color w:val="FF0000"/>
        </w:rPr>
      </w:pPr>
    </w:p>
    <w:p w:rsidR="00DE68EB" w:rsidRPr="00DE68EB" w:rsidRDefault="00DE68EB" w:rsidP="00DE68EB">
      <w:pPr>
        <w:ind w:left="720"/>
        <w:rPr>
          <w:b/>
          <w:color w:val="FF0000"/>
        </w:rPr>
      </w:pPr>
    </w:p>
    <w:p w:rsidR="00021CE3" w:rsidRDefault="00021CE3" w:rsidP="00021CE3">
      <w:r>
        <w:t xml:space="preserve">Meeting was adjourned at approximately </w:t>
      </w:r>
      <w:r w:rsidR="00822BD4">
        <w:t>3</w:t>
      </w:r>
      <w:r>
        <w:t>:</w:t>
      </w:r>
      <w:r w:rsidR="00822BD4">
        <w:t>0</w:t>
      </w:r>
      <w:r w:rsidR="00DE68EB">
        <w:t>5</w:t>
      </w:r>
      <w:r>
        <w:t xml:space="preserve"> </w:t>
      </w:r>
      <w:r w:rsidR="00B65274">
        <w:t>p</w:t>
      </w:r>
      <w:r w:rsidR="00B35C2E">
        <w:t>.</w:t>
      </w:r>
      <w:r>
        <w:t>m.</w:t>
      </w:r>
    </w:p>
    <w:p w:rsidR="00B7224C" w:rsidRDefault="00822BD4" w:rsidP="00021CE3">
      <w:pPr>
        <w:rPr>
          <w:b/>
        </w:rPr>
      </w:pPr>
      <w:r>
        <w:rPr>
          <w:b/>
        </w:rPr>
        <w:t>Next</w:t>
      </w:r>
      <w:r w:rsidR="00B7224C">
        <w:rPr>
          <w:b/>
        </w:rPr>
        <w:t xml:space="preserve"> Meeting</w:t>
      </w:r>
    </w:p>
    <w:p w:rsidR="00310897" w:rsidRDefault="003834EF" w:rsidP="00DE68EB">
      <w:pPr>
        <w:numPr>
          <w:ilvl w:val="1"/>
          <w:numId w:val="1"/>
        </w:numPr>
      </w:pPr>
      <w:r>
        <w:t>June 16</w:t>
      </w:r>
      <w:r w:rsidR="007155F1">
        <w:t>:  9:00 a.m. to 3:</w:t>
      </w:r>
      <w:r>
        <w:t>3</w:t>
      </w:r>
      <w:r w:rsidR="007155F1">
        <w:t>0 p.m. –</w:t>
      </w:r>
      <w:r w:rsidR="00DE68EB">
        <w:t xml:space="preserve"> WebEx only</w:t>
      </w:r>
    </w:p>
    <w:sectPr w:rsidR="00310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6E0D"/>
    <w:multiLevelType w:val="hybridMultilevel"/>
    <w:tmpl w:val="4BF45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A65E7"/>
    <w:multiLevelType w:val="hybridMultilevel"/>
    <w:tmpl w:val="3B2A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355CE"/>
    <w:multiLevelType w:val="hybridMultilevel"/>
    <w:tmpl w:val="B5C87224"/>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F">
      <w:start w:val="1"/>
      <w:numFmt w:val="decimal"/>
      <w:lvlText w:val="%3."/>
      <w:lvlJc w:val="lef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F5D72"/>
    <w:multiLevelType w:val="hybridMultilevel"/>
    <w:tmpl w:val="30DCD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07178"/>
    <w:multiLevelType w:val="hybridMultilevel"/>
    <w:tmpl w:val="A246D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676518"/>
    <w:multiLevelType w:val="hybridMultilevel"/>
    <w:tmpl w:val="187EDB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DA47F70"/>
    <w:multiLevelType w:val="hybridMultilevel"/>
    <w:tmpl w:val="A9FE132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EB734B5"/>
    <w:multiLevelType w:val="hybridMultilevel"/>
    <w:tmpl w:val="6F127E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531556"/>
    <w:multiLevelType w:val="hybridMultilevel"/>
    <w:tmpl w:val="1254A69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4105E47"/>
    <w:multiLevelType w:val="hybridMultilevel"/>
    <w:tmpl w:val="21B0B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65697B"/>
    <w:multiLevelType w:val="hybridMultilevel"/>
    <w:tmpl w:val="DAB04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DD4788"/>
    <w:multiLevelType w:val="hybridMultilevel"/>
    <w:tmpl w:val="E8662E9E"/>
    <w:lvl w:ilvl="0" w:tplc="0409000F">
      <w:start w:val="1"/>
      <w:numFmt w:val="decimal"/>
      <w:lvlText w:val="%1."/>
      <w:lvlJc w:val="left"/>
      <w:pPr>
        <w:ind w:left="720" w:hanging="360"/>
      </w:pPr>
      <w:rPr>
        <w:rFonts w:hint="default"/>
      </w:rPr>
    </w:lvl>
    <w:lvl w:ilvl="1" w:tplc="04090003">
      <w:start w:val="1"/>
      <w:numFmt w:val="bullet"/>
      <w:lvlText w:val="o"/>
      <w:lvlJc w:val="left"/>
      <w:pPr>
        <w:ind w:left="126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502BF1"/>
    <w:multiLevelType w:val="hybridMultilevel"/>
    <w:tmpl w:val="6FEA0672"/>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707794F"/>
    <w:multiLevelType w:val="hybridMultilevel"/>
    <w:tmpl w:val="402C52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7C449F0"/>
    <w:multiLevelType w:val="hybridMultilevel"/>
    <w:tmpl w:val="7A1AA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650ADC"/>
    <w:multiLevelType w:val="hybridMultilevel"/>
    <w:tmpl w:val="E5BC0970"/>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BB71D13"/>
    <w:multiLevelType w:val="hybridMultilevel"/>
    <w:tmpl w:val="191EF722"/>
    <w:lvl w:ilvl="0" w:tplc="04090003">
      <w:start w:val="1"/>
      <w:numFmt w:val="bullet"/>
      <w:lvlText w:val="o"/>
      <w:lvlJc w:val="left"/>
      <w:pPr>
        <w:ind w:left="1987" w:hanging="360"/>
      </w:pPr>
      <w:rPr>
        <w:rFonts w:ascii="Courier New" w:hAnsi="Courier New" w:cs="Courier New"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7">
    <w:nsid w:val="79D40B1A"/>
    <w:multiLevelType w:val="hybridMultilevel"/>
    <w:tmpl w:val="357E8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CF2E07"/>
    <w:multiLevelType w:val="hybridMultilevel"/>
    <w:tmpl w:val="037632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2"/>
  </w:num>
  <w:num w:numId="3">
    <w:abstractNumId w:val="7"/>
  </w:num>
  <w:num w:numId="4">
    <w:abstractNumId w:val="3"/>
  </w:num>
  <w:num w:numId="5">
    <w:abstractNumId w:val="12"/>
  </w:num>
  <w:num w:numId="6">
    <w:abstractNumId w:val="5"/>
  </w:num>
  <w:num w:numId="7">
    <w:abstractNumId w:val="13"/>
  </w:num>
  <w:num w:numId="8">
    <w:abstractNumId w:val="4"/>
  </w:num>
  <w:num w:numId="9">
    <w:abstractNumId w:val="9"/>
  </w:num>
  <w:num w:numId="10">
    <w:abstractNumId w:val="15"/>
  </w:num>
  <w:num w:numId="11">
    <w:abstractNumId w:val="6"/>
  </w:num>
  <w:num w:numId="12">
    <w:abstractNumId w:val="17"/>
  </w:num>
  <w:num w:numId="13">
    <w:abstractNumId w:val="10"/>
  </w:num>
  <w:num w:numId="14">
    <w:abstractNumId w:val="14"/>
  </w:num>
  <w:num w:numId="15">
    <w:abstractNumId w:val="8"/>
  </w:num>
  <w:num w:numId="16">
    <w:abstractNumId w:val="18"/>
  </w:num>
  <w:num w:numId="17">
    <w:abstractNumId w:val="16"/>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DD"/>
    <w:rsid w:val="000051B1"/>
    <w:rsid w:val="00006789"/>
    <w:rsid w:val="00017EBE"/>
    <w:rsid w:val="00021CE3"/>
    <w:rsid w:val="00054F96"/>
    <w:rsid w:val="00077EE0"/>
    <w:rsid w:val="000F56DF"/>
    <w:rsid w:val="001332C1"/>
    <w:rsid w:val="00150736"/>
    <w:rsid w:val="00155A55"/>
    <w:rsid w:val="00183DF0"/>
    <w:rsid w:val="00192BBB"/>
    <w:rsid w:val="001A4ACB"/>
    <w:rsid w:val="001B3700"/>
    <w:rsid w:val="001D41A0"/>
    <w:rsid w:val="001E2C2F"/>
    <w:rsid w:val="001E4719"/>
    <w:rsid w:val="00247440"/>
    <w:rsid w:val="002516A4"/>
    <w:rsid w:val="00253106"/>
    <w:rsid w:val="00257098"/>
    <w:rsid w:val="002726C9"/>
    <w:rsid w:val="002A4E54"/>
    <w:rsid w:val="002A4F64"/>
    <w:rsid w:val="002A655F"/>
    <w:rsid w:val="002B2582"/>
    <w:rsid w:val="002E06C8"/>
    <w:rsid w:val="002F2658"/>
    <w:rsid w:val="00305A88"/>
    <w:rsid w:val="00310897"/>
    <w:rsid w:val="00362545"/>
    <w:rsid w:val="0036634B"/>
    <w:rsid w:val="00374CBF"/>
    <w:rsid w:val="003834EF"/>
    <w:rsid w:val="003853B0"/>
    <w:rsid w:val="00387F38"/>
    <w:rsid w:val="00391F56"/>
    <w:rsid w:val="00397D13"/>
    <w:rsid w:val="003B1591"/>
    <w:rsid w:val="003E65D7"/>
    <w:rsid w:val="00413EDD"/>
    <w:rsid w:val="00414F7D"/>
    <w:rsid w:val="00443214"/>
    <w:rsid w:val="004702E7"/>
    <w:rsid w:val="0047517A"/>
    <w:rsid w:val="00483A7A"/>
    <w:rsid w:val="004B4A6F"/>
    <w:rsid w:val="004C6115"/>
    <w:rsid w:val="004D500D"/>
    <w:rsid w:val="004D7C9A"/>
    <w:rsid w:val="004F7A03"/>
    <w:rsid w:val="00514755"/>
    <w:rsid w:val="00526864"/>
    <w:rsid w:val="005415B0"/>
    <w:rsid w:val="00591F9E"/>
    <w:rsid w:val="005942F4"/>
    <w:rsid w:val="005A4D4C"/>
    <w:rsid w:val="005E3127"/>
    <w:rsid w:val="005E6835"/>
    <w:rsid w:val="005F5DDA"/>
    <w:rsid w:val="00600C32"/>
    <w:rsid w:val="00600F04"/>
    <w:rsid w:val="00602A93"/>
    <w:rsid w:val="00611365"/>
    <w:rsid w:val="006427F0"/>
    <w:rsid w:val="00654859"/>
    <w:rsid w:val="006722BC"/>
    <w:rsid w:val="00691A3F"/>
    <w:rsid w:val="00695FB7"/>
    <w:rsid w:val="006A3785"/>
    <w:rsid w:val="006A5706"/>
    <w:rsid w:val="006B2AC4"/>
    <w:rsid w:val="006B3BA2"/>
    <w:rsid w:val="006C5A6A"/>
    <w:rsid w:val="006D26FD"/>
    <w:rsid w:val="006E65DE"/>
    <w:rsid w:val="007155F1"/>
    <w:rsid w:val="0073204F"/>
    <w:rsid w:val="007B399F"/>
    <w:rsid w:val="007C4DB4"/>
    <w:rsid w:val="007C5045"/>
    <w:rsid w:val="007E5012"/>
    <w:rsid w:val="007F58D1"/>
    <w:rsid w:val="008132A8"/>
    <w:rsid w:val="00822BD4"/>
    <w:rsid w:val="00824B95"/>
    <w:rsid w:val="0083344C"/>
    <w:rsid w:val="008D0F87"/>
    <w:rsid w:val="008F4466"/>
    <w:rsid w:val="008F619F"/>
    <w:rsid w:val="00927B56"/>
    <w:rsid w:val="00955585"/>
    <w:rsid w:val="00962810"/>
    <w:rsid w:val="00971C19"/>
    <w:rsid w:val="00982DC9"/>
    <w:rsid w:val="009B6F3D"/>
    <w:rsid w:val="009B6FAE"/>
    <w:rsid w:val="009C54A6"/>
    <w:rsid w:val="009D08B2"/>
    <w:rsid w:val="009D6DDB"/>
    <w:rsid w:val="009F1526"/>
    <w:rsid w:val="009F703F"/>
    <w:rsid w:val="00A03346"/>
    <w:rsid w:val="00A40FD6"/>
    <w:rsid w:val="00A45AB9"/>
    <w:rsid w:val="00A67E32"/>
    <w:rsid w:val="00A77E0A"/>
    <w:rsid w:val="00AA1B45"/>
    <w:rsid w:val="00AD70DD"/>
    <w:rsid w:val="00AE38D8"/>
    <w:rsid w:val="00B25733"/>
    <w:rsid w:val="00B35C2E"/>
    <w:rsid w:val="00B60BDB"/>
    <w:rsid w:val="00B641AB"/>
    <w:rsid w:val="00B65274"/>
    <w:rsid w:val="00B7224C"/>
    <w:rsid w:val="00B768D0"/>
    <w:rsid w:val="00B83D7B"/>
    <w:rsid w:val="00B9640F"/>
    <w:rsid w:val="00BC04A3"/>
    <w:rsid w:val="00BC1BB2"/>
    <w:rsid w:val="00BC6379"/>
    <w:rsid w:val="00BE5533"/>
    <w:rsid w:val="00C03054"/>
    <w:rsid w:val="00C16782"/>
    <w:rsid w:val="00C36605"/>
    <w:rsid w:val="00C426FD"/>
    <w:rsid w:val="00C446DF"/>
    <w:rsid w:val="00C45484"/>
    <w:rsid w:val="00C46FA8"/>
    <w:rsid w:val="00C65FE3"/>
    <w:rsid w:val="00C67C34"/>
    <w:rsid w:val="00C718B0"/>
    <w:rsid w:val="00C827A8"/>
    <w:rsid w:val="00CE0223"/>
    <w:rsid w:val="00CF072B"/>
    <w:rsid w:val="00D046A1"/>
    <w:rsid w:val="00D15B55"/>
    <w:rsid w:val="00D34296"/>
    <w:rsid w:val="00D34A0F"/>
    <w:rsid w:val="00D659E3"/>
    <w:rsid w:val="00D92428"/>
    <w:rsid w:val="00DE68EB"/>
    <w:rsid w:val="00DF5C2A"/>
    <w:rsid w:val="00E246C4"/>
    <w:rsid w:val="00E41449"/>
    <w:rsid w:val="00E60BE8"/>
    <w:rsid w:val="00E9738A"/>
    <w:rsid w:val="00EA1874"/>
    <w:rsid w:val="00EC373B"/>
    <w:rsid w:val="00EC5F5A"/>
    <w:rsid w:val="00F25269"/>
    <w:rsid w:val="00F46C99"/>
    <w:rsid w:val="00F67E1D"/>
    <w:rsid w:val="00FB5BAF"/>
    <w:rsid w:val="00FD0E04"/>
    <w:rsid w:val="00FE07AF"/>
    <w:rsid w:val="00FE1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E3127"/>
    <w:rPr>
      <w:color w:val="0000FF"/>
      <w:u w:val="single"/>
    </w:rPr>
  </w:style>
  <w:style w:type="paragraph" w:styleId="NormalWeb">
    <w:name w:val="Normal (Web)"/>
    <w:basedOn w:val="Normal"/>
    <w:uiPriority w:val="99"/>
    <w:semiHidden/>
    <w:unhideWhenUsed/>
    <w:rsid w:val="00362545"/>
    <w:pPr>
      <w:spacing w:before="100" w:beforeAutospacing="1" w:after="100" w:afterAutospacing="1"/>
    </w:pPr>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B65274"/>
    <w:rPr>
      <w:rFonts w:eastAsia="Times New Roman"/>
    </w:rPr>
  </w:style>
  <w:style w:type="character" w:customStyle="1" w:styleId="PlainTextChar">
    <w:name w:val="Plain Text Char"/>
    <w:link w:val="PlainText"/>
    <w:uiPriority w:val="99"/>
    <w:semiHidden/>
    <w:rsid w:val="00B65274"/>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91882">
      <w:bodyDiv w:val="1"/>
      <w:marLeft w:val="0"/>
      <w:marRight w:val="0"/>
      <w:marTop w:val="0"/>
      <w:marBottom w:val="0"/>
      <w:divBdr>
        <w:top w:val="none" w:sz="0" w:space="0" w:color="auto"/>
        <w:left w:val="none" w:sz="0" w:space="0" w:color="auto"/>
        <w:bottom w:val="none" w:sz="0" w:space="0" w:color="auto"/>
        <w:right w:val="none" w:sz="0" w:space="0" w:color="auto"/>
      </w:divBdr>
    </w:div>
    <w:div w:id="427041014">
      <w:bodyDiv w:val="1"/>
      <w:marLeft w:val="0"/>
      <w:marRight w:val="0"/>
      <w:marTop w:val="0"/>
      <w:marBottom w:val="0"/>
      <w:divBdr>
        <w:top w:val="none" w:sz="0" w:space="0" w:color="auto"/>
        <w:left w:val="none" w:sz="0" w:space="0" w:color="auto"/>
        <w:bottom w:val="none" w:sz="0" w:space="0" w:color="auto"/>
        <w:right w:val="none" w:sz="0" w:space="0" w:color="auto"/>
      </w:divBdr>
    </w:div>
    <w:div w:id="437018977">
      <w:bodyDiv w:val="1"/>
      <w:marLeft w:val="0"/>
      <w:marRight w:val="0"/>
      <w:marTop w:val="0"/>
      <w:marBottom w:val="0"/>
      <w:divBdr>
        <w:top w:val="none" w:sz="0" w:space="0" w:color="auto"/>
        <w:left w:val="none" w:sz="0" w:space="0" w:color="auto"/>
        <w:bottom w:val="none" w:sz="0" w:space="0" w:color="auto"/>
        <w:right w:val="none" w:sz="0" w:space="0" w:color="auto"/>
      </w:divBdr>
    </w:div>
    <w:div w:id="586966519">
      <w:bodyDiv w:val="1"/>
      <w:marLeft w:val="0"/>
      <w:marRight w:val="0"/>
      <w:marTop w:val="0"/>
      <w:marBottom w:val="0"/>
      <w:divBdr>
        <w:top w:val="none" w:sz="0" w:space="0" w:color="auto"/>
        <w:left w:val="none" w:sz="0" w:space="0" w:color="auto"/>
        <w:bottom w:val="none" w:sz="0" w:space="0" w:color="auto"/>
        <w:right w:val="none" w:sz="0" w:space="0" w:color="auto"/>
      </w:divBdr>
    </w:div>
    <w:div w:id="1323893784">
      <w:bodyDiv w:val="1"/>
      <w:marLeft w:val="0"/>
      <w:marRight w:val="0"/>
      <w:marTop w:val="0"/>
      <w:marBottom w:val="0"/>
      <w:divBdr>
        <w:top w:val="none" w:sz="0" w:space="0" w:color="auto"/>
        <w:left w:val="none" w:sz="0" w:space="0" w:color="auto"/>
        <w:bottom w:val="none" w:sz="0" w:space="0" w:color="auto"/>
        <w:right w:val="none" w:sz="0" w:space="0" w:color="auto"/>
      </w:divBdr>
    </w:div>
    <w:div w:id="1658876119">
      <w:bodyDiv w:val="1"/>
      <w:marLeft w:val="0"/>
      <w:marRight w:val="0"/>
      <w:marTop w:val="0"/>
      <w:marBottom w:val="0"/>
      <w:divBdr>
        <w:top w:val="none" w:sz="0" w:space="0" w:color="auto"/>
        <w:left w:val="none" w:sz="0" w:space="0" w:color="auto"/>
        <w:bottom w:val="none" w:sz="0" w:space="0" w:color="auto"/>
        <w:right w:val="none" w:sz="0" w:space="0" w:color="auto"/>
      </w:divBdr>
    </w:div>
    <w:div w:id="1712072120">
      <w:bodyDiv w:val="1"/>
      <w:marLeft w:val="0"/>
      <w:marRight w:val="0"/>
      <w:marTop w:val="0"/>
      <w:marBottom w:val="0"/>
      <w:divBdr>
        <w:top w:val="none" w:sz="0" w:space="0" w:color="auto"/>
        <w:left w:val="none" w:sz="0" w:space="0" w:color="auto"/>
        <w:bottom w:val="none" w:sz="0" w:space="0" w:color="auto"/>
        <w:right w:val="none" w:sz="0" w:space="0" w:color="auto"/>
      </w:divBdr>
    </w:div>
    <w:div w:id="1783379124">
      <w:bodyDiv w:val="1"/>
      <w:marLeft w:val="0"/>
      <w:marRight w:val="0"/>
      <w:marTop w:val="0"/>
      <w:marBottom w:val="0"/>
      <w:divBdr>
        <w:top w:val="none" w:sz="0" w:space="0" w:color="auto"/>
        <w:left w:val="none" w:sz="0" w:space="0" w:color="auto"/>
        <w:bottom w:val="none" w:sz="0" w:space="0" w:color="auto"/>
        <w:right w:val="none" w:sz="0" w:space="0" w:color="auto"/>
      </w:divBdr>
    </w:div>
    <w:div w:id="1811558702">
      <w:bodyDiv w:val="1"/>
      <w:marLeft w:val="0"/>
      <w:marRight w:val="0"/>
      <w:marTop w:val="0"/>
      <w:marBottom w:val="0"/>
      <w:divBdr>
        <w:top w:val="none" w:sz="0" w:space="0" w:color="auto"/>
        <w:left w:val="none" w:sz="0" w:space="0" w:color="auto"/>
        <w:bottom w:val="none" w:sz="0" w:space="0" w:color="auto"/>
        <w:right w:val="none" w:sz="0" w:space="0" w:color="auto"/>
      </w:divBdr>
    </w:div>
    <w:div w:id="20023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86F47-9A5A-49DF-9F60-148FD5B0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xrnr</dc:creator>
  <cp:lastModifiedBy>00018207</cp:lastModifiedBy>
  <cp:revision>2</cp:revision>
  <dcterms:created xsi:type="dcterms:W3CDTF">2015-06-16T18:46:00Z</dcterms:created>
  <dcterms:modified xsi:type="dcterms:W3CDTF">2015-06-16T18:46:00Z</dcterms:modified>
</cp:coreProperties>
</file>