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B961F5" w:rsidTr="00B1131E">
        <w:tc>
          <w:tcPr>
            <w:tcW w:w="1620" w:type="dxa"/>
            <w:tcBorders>
              <w:bottom w:val="single" w:sz="4" w:space="0" w:color="auto"/>
            </w:tcBorders>
            <w:shd w:val="clear" w:color="auto" w:fill="FFFFFF"/>
            <w:vAlign w:val="center"/>
          </w:tcPr>
          <w:p w:rsidR="00B961F5" w:rsidRDefault="00F52552">
            <w:pPr>
              <w:pStyle w:val="Header"/>
            </w:pPr>
            <w:r>
              <w:t>LPGRR</w:t>
            </w:r>
            <w:r w:rsidR="005C7A75">
              <w:t xml:space="preserve"> </w:t>
            </w:r>
            <w:r w:rsidR="00B961F5">
              <w:t>Number</w:t>
            </w:r>
          </w:p>
        </w:tc>
        <w:tc>
          <w:tcPr>
            <w:tcW w:w="1260" w:type="dxa"/>
            <w:tcBorders>
              <w:bottom w:val="single" w:sz="4" w:space="0" w:color="auto"/>
            </w:tcBorders>
            <w:vAlign w:val="center"/>
          </w:tcPr>
          <w:p w:rsidR="00B961F5" w:rsidRDefault="00B961F5">
            <w:pPr>
              <w:pStyle w:val="Header"/>
            </w:pPr>
          </w:p>
        </w:tc>
        <w:tc>
          <w:tcPr>
            <w:tcW w:w="1530" w:type="dxa"/>
            <w:tcBorders>
              <w:bottom w:val="single" w:sz="4" w:space="0" w:color="auto"/>
            </w:tcBorders>
            <w:shd w:val="clear" w:color="auto" w:fill="FFFFFF"/>
            <w:vAlign w:val="center"/>
          </w:tcPr>
          <w:p w:rsidR="00B961F5" w:rsidRDefault="00F52552">
            <w:pPr>
              <w:pStyle w:val="Header"/>
            </w:pPr>
            <w:r>
              <w:t>LPGRR</w:t>
            </w:r>
            <w:r w:rsidR="005C7A75">
              <w:t xml:space="preserve"> </w:t>
            </w:r>
            <w:r w:rsidR="00B961F5">
              <w:t>Title</w:t>
            </w:r>
          </w:p>
        </w:tc>
        <w:tc>
          <w:tcPr>
            <w:tcW w:w="6030" w:type="dxa"/>
            <w:tcBorders>
              <w:bottom w:val="single" w:sz="4" w:space="0" w:color="auto"/>
            </w:tcBorders>
            <w:vAlign w:val="center"/>
          </w:tcPr>
          <w:p w:rsidR="00B961F5" w:rsidRDefault="003B66E0">
            <w:pPr>
              <w:pStyle w:val="Header"/>
            </w:pPr>
            <w:r>
              <w:t>Appendix D, Profile Decision Tree</w:t>
            </w:r>
          </w:p>
        </w:tc>
      </w:tr>
      <w:tr w:rsidR="00B961F5" w:rsidRPr="00E01925" w:rsidTr="003F6572">
        <w:trPr>
          <w:trHeight w:val="518"/>
        </w:trPr>
        <w:tc>
          <w:tcPr>
            <w:tcW w:w="2880" w:type="dxa"/>
            <w:gridSpan w:val="2"/>
            <w:shd w:val="clear" w:color="auto" w:fill="FFFFFF"/>
            <w:vAlign w:val="center"/>
          </w:tcPr>
          <w:p w:rsidR="00B961F5" w:rsidRPr="00E01925" w:rsidRDefault="00B961F5">
            <w:pPr>
              <w:pStyle w:val="Header"/>
              <w:rPr>
                <w:bCs w:val="0"/>
              </w:rPr>
            </w:pPr>
            <w:r w:rsidRPr="00E01925">
              <w:rPr>
                <w:bCs w:val="0"/>
              </w:rPr>
              <w:t>Date Posted</w:t>
            </w:r>
          </w:p>
        </w:tc>
        <w:tc>
          <w:tcPr>
            <w:tcW w:w="7560" w:type="dxa"/>
            <w:gridSpan w:val="2"/>
            <w:vAlign w:val="center"/>
          </w:tcPr>
          <w:p w:rsidR="00B961F5" w:rsidRPr="00E01925" w:rsidRDefault="00B961F5">
            <w:pPr>
              <w:pStyle w:val="NormalArial"/>
            </w:pPr>
          </w:p>
        </w:tc>
      </w:tr>
      <w:tr w:rsidR="003A29E9" w:rsidTr="003F6572">
        <w:trPr>
          <w:trHeight w:val="350"/>
        </w:trPr>
        <w:tc>
          <w:tcPr>
            <w:tcW w:w="2880" w:type="dxa"/>
            <w:gridSpan w:val="2"/>
            <w:tcBorders>
              <w:top w:val="single" w:sz="4" w:space="0" w:color="auto"/>
              <w:left w:val="nil"/>
              <w:bottom w:val="nil"/>
              <w:right w:val="nil"/>
            </w:tcBorders>
            <w:shd w:val="clear" w:color="auto" w:fill="FFFFFF"/>
            <w:vAlign w:val="center"/>
          </w:tcPr>
          <w:p w:rsidR="003A29E9" w:rsidRDefault="003A29E9" w:rsidP="00E76C08">
            <w:pPr>
              <w:pStyle w:val="NormalArial"/>
            </w:pPr>
          </w:p>
        </w:tc>
        <w:tc>
          <w:tcPr>
            <w:tcW w:w="7560" w:type="dxa"/>
            <w:gridSpan w:val="2"/>
            <w:tcBorders>
              <w:top w:val="nil"/>
              <w:left w:val="nil"/>
              <w:bottom w:val="nil"/>
              <w:right w:val="nil"/>
            </w:tcBorders>
            <w:vAlign w:val="center"/>
          </w:tcPr>
          <w:p w:rsidR="003A29E9" w:rsidRDefault="003A29E9" w:rsidP="00E76C08">
            <w:pPr>
              <w:pStyle w:val="NormalArial"/>
            </w:pP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D26C24" w:rsidP="00D26C24">
            <w:pPr>
              <w:pStyle w:val="Header"/>
            </w:pPr>
            <w:r>
              <w:t>Requested Resolution</w:t>
            </w:r>
          </w:p>
        </w:tc>
        <w:tc>
          <w:tcPr>
            <w:tcW w:w="7560" w:type="dxa"/>
            <w:gridSpan w:val="2"/>
            <w:tcBorders>
              <w:top w:val="single" w:sz="4" w:space="0" w:color="auto"/>
            </w:tcBorders>
            <w:vAlign w:val="center"/>
          </w:tcPr>
          <w:p w:rsidR="00D26C24" w:rsidRDefault="003B66E0" w:rsidP="00C355CC">
            <w:pPr>
              <w:pStyle w:val="NormalArial"/>
            </w:pPr>
            <w:r>
              <w:t>Normal</w:t>
            </w:r>
          </w:p>
        </w:tc>
      </w:tr>
      <w:tr w:rsidR="00D26C24">
        <w:trPr>
          <w:trHeight w:val="773"/>
        </w:trPr>
        <w:tc>
          <w:tcPr>
            <w:tcW w:w="2880" w:type="dxa"/>
            <w:gridSpan w:val="2"/>
            <w:tcBorders>
              <w:top w:val="single" w:sz="4" w:space="0" w:color="auto"/>
              <w:bottom w:val="single" w:sz="4" w:space="0" w:color="auto"/>
            </w:tcBorders>
            <w:shd w:val="clear" w:color="auto" w:fill="FFFFFF"/>
            <w:vAlign w:val="center"/>
          </w:tcPr>
          <w:p w:rsidR="00D26C24" w:rsidRDefault="00F52552" w:rsidP="00A16E7E">
            <w:pPr>
              <w:pStyle w:val="Header"/>
            </w:pPr>
            <w:r>
              <w:t>Load Profiling Guide</w:t>
            </w:r>
            <w:r w:rsidR="00B1131E">
              <w:t xml:space="preserve"> </w:t>
            </w:r>
            <w:r w:rsidR="00D26C24">
              <w:t xml:space="preserve">Sections Requiring Revision </w:t>
            </w:r>
          </w:p>
        </w:tc>
        <w:tc>
          <w:tcPr>
            <w:tcW w:w="7560" w:type="dxa"/>
            <w:gridSpan w:val="2"/>
            <w:tcBorders>
              <w:top w:val="single" w:sz="4" w:space="0" w:color="auto"/>
            </w:tcBorders>
            <w:vAlign w:val="center"/>
          </w:tcPr>
          <w:p w:rsidR="00D26C24" w:rsidRDefault="003B66E0" w:rsidP="00912D90">
            <w:pPr>
              <w:pStyle w:val="NormalArial"/>
            </w:pPr>
            <w:r>
              <w:t>Section III. Business (BUS), C. Assign the NODEM Profile segment</w:t>
            </w:r>
          </w:p>
          <w:p w:rsidR="00B95B8D" w:rsidRDefault="00B95B8D" w:rsidP="00912D90">
            <w:pPr>
              <w:pStyle w:val="NormalArial"/>
              <w:ind w:left="360"/>
            </w:pPr>
          </w:p>
        </w:tc>
      </w:tr>
      <w:tr w:rsidR="00D26C24" w:rsidRPr="00907C4C">
        <w:trPr>
          <w:trHeight w:val="890"/>
        </w:trPr>
        <w:tc>
          <w:tcPr>
            <w:tcW w:w="2880" w:type="dxa"/>
            <w:gridSpan w:val="2"/>
            <w:tcBorders>
              <w:top w:val="single" w:sz="4" w:space="0" w:color="auto"/>
              <w:bottom w:val="single" w:sz="4" w:space="0" w:color="auto"/>
            </w:tcBorders>
            <w:shd w:val="clear" w:color="auto" w:fill="FFFFFF"/>
            <w:vAlign w:val="center"/>
          </w:tcPr>
          <w:p w:rsidR="00D26C24" w:rsidRPr="00907C4C" w:rsidRDefault="00D26C24" w:rsidP="00350735">
            <w:pPr>
              <w:rPr>
                <w:rFonts w:ascii="Arial" w:hAnsi="Arial" w:cs="Arial"/>
                <w:b/>
              </w:rPr>
            </w:pPr>
            <w:r w:rsidRPr="00D26C24">
              <w:rPr>
                <w:rFonts w:ascii="Arial" w:hAnsi="Arial" w:cs="Arial"/>
                <w:b/>
              </w:rPr>
              <w:t>Other Binding Documents Requiring Revision or Related Revision Requests</w:t>
            </w:r>
          </w:p>
        </w:tc>
        <w:tc>
          <w:tcPr>
            <w:tcW w:w="7560" w:type="dxa"/>
            <w:gridSpan w:val="2"/>
            <w:tcBorders>
              <w:top w:val="single" w:sz="4" w:space="0" w:color="auto"/>
            </w:tcBorders>
            <w:vAlign w:val="center"/>
          </w:tcPr>
          <w:p w:rsidR="00D26C24" w:rsidRPr="00907C4C" w:rsidRDefault="00D26C24" w:rsidP="00D26C24">
            <w:pPr>
              <w:pStyle w:val="NormalArial"/>
              <w:rPr>
                <w:rFonts w:cs="Arial"/>
              </w:rPr>
            </w:pP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Revision Description</w:t>
            </w:r>
          </w:p>
        </w:tc>
        <w:tc>
          <w:tcPr>
            <w:tcW w:w="7560" w:type="dxa"/>
            <w:gridSpan w:val="2"/>
            <w:tcBorders>
              <w:bottom w:val="single" w:sz="4" w:space="0" w:color="auto"/>
            </w:tcBorders>
            <w:vAlign w:val="center"/>
          </w:tcPr>
          <w:p w:rsidR="00D26C24" w:rsidRDefault="00D26C24" w:rsidP="00B95B8D">
            <w:pPr>
              <w:pStyle w:val="NormalArial"/>
            </w:pPr>
          </w:p>
        </w:tc>
      </w:tr>
      <w:tr w:rsidR="00D26C24" w:rsidTr="003F6572">
        <w:trPr>
          <w:trHeight w:val="518"/>
        </w:trPr>
        <w:tc>
          <w:tcPr>
            <w:tcW w:w="2880" w:type="dxa"/>
            <w:gridSpan w:val="2"/>
            <w:tcBorders>
              <w:bottom w:val="single" w:sz="4" w:space="0" w:color="auto"/>
            </w:tcBorders>
            <w:shd w:val="clear" w:color="auto" w:fill="FFFFFF"/>
            <w:vAlign w:val="center"/>
          </w:tcPr>
          <w:p w:rsidR="00D26C24" w:rsidRDefault="00D26C24">
            <w:pPr>
              <w:pStyle w:val="Header"/>
            </w:pPr>
            <w:r>
              <w:t>Reason for Revision</w:t>
            </w:r>
          </w:p>
        </w:tc>
        <w:tc>
          <w:tcPr>
            <w:tcW w:w="7560" w:type="dxa"/>
            <w:gridSpan w:val="2"/>
            <w:tcBorders>
              <w:bottom w:val="single" w:sz="4" w:space="0" w:color="auto"/>
            </w:tcBorders>
            <w:vAlign w:val="center"/>
          </w:tcPr>
          <w:p w:rsidR="00D26C24" w:rsidRDefault="00D26C24" w:rsidP="00D74654">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rsidR="00D26C24" w:rsidRDefault="00D26C24" w:rsidP="00D74654">
            <w:pPr>
              <w:pStyle w:val="NormalArial"/>
              <w:tabs>
                <w:tab w:val="left" w:pos="432"/>
              </w:tabs>
              <w:spacing w:before="120"/>
              <w:ind w:left="432" w:hanging="432"/>
              <w:rPr>
                <w:iCs/>
                <w:kern w:val="24"/>
              </w:rPr>
            </w:pPr>
            <w:r w:rsidRPr="00CD242D">
              <w:object w:dxaOrig="225" w:dyaOrig="225">
                <v:shape id="_x0000_i1039" type="#_x0000_t75" style="width:15.5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D26C24" w:rsidRDefault="00D26C24" w:rsidP="00D74654">
            <w:pPr>
              <w:pStyle w:val="NormalArial"/>
              <w:spacing w:before="120"/>
              <w:rPr>
                <w:iCs/>
                <w:kern w:val="24"/>
              </w:rPr>
            </w:pPr>
            <w:r w:rsidRPr="006629C8">
              <w:object w:dxaOrig="225" w:dyaOrig="225">
                <v:shape id="_x0000_i1041" type="#_x0000_t75" style="width:15.55pt;height:15pt" o:ole="">
                  <v:imagedata r:id="rId13" o:title=""/>
                </v:shape>
                <w:control r:id="rId14" w:name="TextBox12" w:shapeid="_x0000_i1041"/>
              </w:object>
            </w:r>
            <w:r w:rsidRPr="006629C8">
              <w:t xml:space="preserve">  </w:t>
            </w:r>
            <w:r>
              <w:rPr>
                <w:iCs/>
                <w:kern w:val="24"/>
              </w:rPr>
              <w:t>Market efficiencies or enhancements</w:t>
            </w:r>
          </w:p>
          <w:p w:rsidR="00D26C24" w:rsidRDefault="00D26C24" w:rsidP="00D74654">
            <w:pPr>
              <w:pStyle w:val="NormalArial"/>
              <w:spacing w:before="120"/>
              <w:rPr>
                <w:iCs/>
                <w:kern w:val="24"/>
              </w:rPr>
            </w:pPr>
            <w:r w:rsidRPr="006629C8">
              <w:object w:dxaOrig="225" w:dyaOrig="225">
                <v:shape id="_x0000_i1043" type="#_x0000_t75" style="width:15.55pt;height:15pt" o:ole="">
                  <v:imagedata r:id="rId9" o:title=""/>
                </v:shape>
                <w:control r:id="rId15" w:name="TextBox13" w:shapeid="_x0000_i1043"/>
              </w:object>
            </w:r>
            <w:r w:rsidRPr="006629C8">
              <w:t xml:space="preserve">  </w:t>
            </w:r>
            <w:r>
              <w:rPr>
                <w:iCs/>
                <w:kern w:val="24"/>
              </w:rPr>
              <w:t>Administrative</w:t>
            </w:r>
          </w:p>
          <w:p w:rsidR="00D26C24" w:rsidRDefault="00D26C24" w:rsidP="00D74654">
            <w:pPr>
              <w:pStyle w:val="NormalArial"/>
              <w:spacing w:before="120"/>
              <w:rPr>
                <w:iCs/>
                <w:kern w:val="24"/>
              </w:rPr>
            </w:pPr>
            <w:r w:rsidRPr="006629C8">
              <w:object w:dxaOrig="225" w:dyaOrig="225">
                <v:shape id="_x0000_i1045" type="#_x0000_t75" style="width:15.55pt;height:15pt" o:ole="">
                  <v:imagedata r:id="rId9" o:title=""/>
                </v:shape>
                <w:control r:id="rId16" w:name="TextBox14" w:shapeid="_x0000_i1045"/>
              </w:object>
            </w:r>
            <w:r w:rsidRPr="006629C8">
              <w:t xml:space="preserve">  </w:t>
            </w:r>
            <w:r>
              <w:rPr>
                <w:iCs/>
                <w:kern w:val="24"/>
              </w:rPr>
              <w:t>Regulatory requirements</w:t>
            </w:r>
          </w:p>
          <w:p w:rsidR="00D26C24" w:rsidRPr="00CD242D" w:rsidRDefault="00D26C24" w:rsidP="00D26C24">
            <w:pPr>
              <w:pStyle w:val="NormalArial"/>
              <w:spacing w:before="120"/>
              <w:rPr>
                <w:rFonts w:cs="Arial"/>
                <w:color w:val="000000"/>
              </w:rPr>
            </w:pPr>
            <w:r w:rsidRPr="006629C8">
              <w:object w:dxaOrig="225" w:dyaOrig="225">
                <v:shape id="_x0000_i1047" type="#_x0000_t75" style="width:15.55pt;height:15pt" o:ole="">
                  <v:imagedata r:id="rId9" o:title=""/>
                </v:shape>
                <w:control r:id="rId17" w:name="TextBox15" w:shapeid="_x0000_i1047"/>
              </w:object>
            </w:r>
            <w:r w:rsidRPr="006629C8">
              <w:t xml:space="preserve">  </w:t>
            </w:r>
            <w:r w:rsidRPr="00CD242D">
              <w:rPr>
                <w:rFonts w:cs="Arial"/>
                <w:color w:val="000000"/>
              </w:rPr>
              <w:t>Other:  (explain)</w:t>
            </w:r>
          </w:p>
          <w:p w:rsidR="00D26C24" w:rsidRDefault="00D26C24" w:rsidP="00384B7D">
            <w:pPr>
              <w:pStyle w:val="NormalArial"/>
              <w:spacing w:before="120"/>
            </w:pPr>
            <w:r w:rsidRPr="00CD242D">
              <w:rPr>
                <w:i/>
                <w:sz w:val="20"/>
              </w:rPr>
              <w:t>(please select all that apply)</w:t>
            </w:r>
          </w:p>
        </w:tc>
      </w:tr>
    </w:tbl>
    <w:p w:rsidR="004A5DEC"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9936F8" w:rsidTr="00384B7D">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384B7D" w:rsidRPr="00384B7D" w:rsidRDefault="00384B7D" w:rsidP="00D74654">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Qualitative Benefits</w:t>
            </w:r>
          </w:p>
        </w:tc>
        <w:tc>
          <w:tcPr>
            <w:tcW w:w="8916" w:type="dxa"/>
            <w:vAlign w:val="center"/>
          </w:tcPr>
          <w:p w:rsidR="003B66E0" w:rsidRPr="000B63BF" w:rsidRDefault="003B66E0" w:rsidP="003B66E0">
            <w:pPr>
              <w:pStyle w:val="NormalArial"/>
              <w:numPr>
                <w:ilvl w:val="0"/>
                <w:numId w:val="18"/>
              </w:numPr>
              <w:ind w:left="612"/>
              <w:rPr>
                <w:sz w:val="20"/>
              </w:rPr>
            </w:pPr>
            <w:r>
              <w:rPr>
                <w:iCs/>
                <w:kern w:val="24"/>
                <w:sz w:val="20"/>
              </w:rPr>
              <w:t>Better aligns the initial load profile with AMS meter types and actual usage.</w:t>
            </w:r>
          </w:p>
          <w:p w:rsidR="00384B7D" w:rsidRPr="00FB509B" w:rsidRDefault="003B66E0" w:rsidP="003B66E0">
            <w:pPr>
              <w:pStyle w:val="NormalArial"/>
              <w:numPr>
                <w:ilvl w:val="0"/>
                <w:numId w:val="18"/>
              </w:numPr>
              <w:ind w:left="612"/>
              <w:rPr>
                <w:sz w:val="20"/>
              </w:rPr>
            </w:pPr>
            <w:r>
              <w:rPr>
                <w:iCs/>
                <w:kern w:val="24"/>
                <w:sz w:val="20"/>
              </w:rPr>
              <w:t>More accurate initial settlement for temporary meters.</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Quantitative Benefits</w:t>
            </w:r>
          </w:p>
        </w:tc>
        <w:tc>
          <w:tcPr>
            <w:tcW w:w="8916" w:type="dxa"/>
            <w:vAlign w:val="center"/>
          </w:tcPr>
          <w:p w:rsidR="00C23E63" w:rsidRPr="00C23E63" w:rsidRDefault="0010464E" w:rsidP="00C23E63">
            <w:pPr>
              <w:pStyle w:val="NormalArial"/>
              <w:numPr>
                <w:ilvl w:val="0"/>
                <w:numId w:val="18"/>
              </w:numPr>
              <w:ind w:left="612"/>
              <w:rPr>
                <w:sz w:val="20"/>
              </w:rPr>
            </w:pPr>
            <w:r>
              <w:rPr>
                <w:iCs/>
                <w:kern w:val="24"/>
                <w:sz w:val="20"/>
              </w:rPr>
              <w:t xml:space="preserve">More accurately reflects credit exposure of </w:t>
            </w:r>
            <w:r w:rsidR="00C23E63">
              <w:rPr>
                <w:iCs/>
                <w:kern w:val="24"/>
                <w:sz w:val="20"/>
              </w:rPr>
              <w:t>Market Participant (</w:t>
            </w:r>
            <w:r>
              <w:rPr>
                <w:iCs/>
                <w:kern w:val="24"/>
                <w:sz w:val="20"/>
              </w:rPr>
              <w:t>MP</w:t>
            </w:r>
            <w:r w:rsidR="00C23E63">
              <w:rPr>
                <w:iCs/>
                <w:kern w:val="24"/>
                <w:sz w:val="20"/>
              </w:rPr>
              <w:t>)</w:t>
            </w:r>
            <w:r>
              <w:rPr>
                <w:iCs/>
                <w:kern w:val="24"/>
                <w:sz w:val="20"/>
              </w:rPr>
              <w:t>.</w:t>
            </w:r>
          </w:p>
          <w:p w:rsidR="0010464E" w:rsidRPr="00C23E63" w:rsidRDefault="0010464E" w:rsidP="00C23E63">
            <w:pPr>
              <w:pStyle w:val="NormalArial"/>
              <w:numPr>
                <w:ilvl w:val="0"/>
                <w:numId w:val="18"/>
              </w:numPr>
              <w:ind w:left="612"/>
              <w:rPr>
                <w:sz w:val="20"/>
              </w:rPr>
            </w:pPr>
            <w:r w:rsidRPr="00C23E63">
              <w:rPr>
                <w:iCs/>
                <w:kern w:val="24"/>
                <w:sz w:val="20"/>
              </w:rPr>
              <w:t>Reduces impact of Revenue/COGS in accounting for MP between Initial and True Settlements.</w:t>
            </w:r>
            <w:bookmarkStart w:id="0" w:name="_GoBack"/>
            <w:bookmarkEnd w:id="0"/>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Impact to Market Segments</w:t>
            </w:r>
          </w:p>
        </w:tc>
        <w:tc>
          <w:tcPr>
            <w:tcW w:w="8916" w:type="dxa"/>
            <w:vAlign w:val="center"/>
          </w:tcPr>
          <w:p w:rsidR="0010464E" w:rsidRPr="00C23E63" w:rsidRDefault="0010464E" w:rsidP="00D74654">
            <w:pPr>
              <w:pStyle w:val="NormalArial"/>
              <w:numPr>
                <w:ilvl w:val="0"/>
                <w:numId w:val="18"/>
              </w:numPr>
              <w:ind w:left="612"/>
              <w:rPr>
                <w:sz w:val="20"/>
              </w:rPr>
            </w:pPr>
            <w:r>
              <w:rPr>
                <w:iCs/>
                <w:kern w:val="24"/>
                <w:sz w:val="20"/>
              </w:rPr>
              <w:t>Reduces UFE Impact between initial and true up resettlements for MP</w:t>
            </w:r>
          </w:p>
          <w:p w:rsidR="0010464E" w:rsidRPr="00FB509B" w:rsidRDefault="0010464E" w:rsidP="00D74654">
            <w:pPr>
              <w:pStyle w:val="NormalArial"/>
              <w:numPr>
                <w:ilvl w:val="0"/>
                <w:numId w:val="18"/>
              </w:numPr>
              <w:ind w:left="612"/>
              <w:rPr>
                <w:sz w:val="20"/>
              </w:rPr>
            </w:pPr>
            <w:r>
              <w:rPr>
                <w:iCs/>
                <w:kern w:val="24"/>
                <w:sz w:val="20"/>
              </w:rPr>
              <w:t>More accurately reflects credit exposure of MP.</w:t>
            </w:r>
          </w:p>
        </w:tc>
      </w:tr>
      <w:tr w:rsidR="00384B7D" w:rsidRPr="00FB509B" w:rsidTr="00384B7D">
        <w:trPr>
          <w:cantSplit/>
          <w:trHeight w:val="432"/>
        </w:trPr>
        <w:tc>
          <w:tcPr>
            <w:tcW w:w="1524" w:type="dxa"/>
            <w:vAlign w:val="center"/>
          </w:tcPr>
          <w:p w:rsidR="00384B7D" w:rsidRPr="00D85807" w:rsidRDefault="00384B7D" w:rsidP="00384B7D">
            <w:pPr>
              <w:pStyle w:val="NormalArial"/>
              <w:jc w:val="center"/>
              <w:rPr>
                <w:b/>
                <w:sz w:val="20"/>
              </w:rPr>
            </w:pPr>
            <w:r w:rsidRPr="00D85807">
              <w:rPr>
                <w:b/>
                <w:sz w:val="20"/>
              </w:rPr>
              <w:t>Other</w:t>
            </w:r>
          </w:p>
        </w:tc>
        <w:tc>
          <w:tcPr>
            <w:tcW w:w="8916" w:type="dxa"/>
            <w:vAlign w:val="center"/>
          </w:tcPr>
          <w:p w:rsidR="00384B7D" w:rsidRPr="00FB509B" w:rsidRDefault="00384B7D" w:rsidP="00384B7D">
            <w:pPr>
              <w:pStyle w:val="NormalWeb"/>
              <w:tabs>
                <w:tab w:val="center" w:pos="4320"/>
                <w:tab w:val="right" w:pos="8640"/>
              </w:tabs>
              <w:spacing w:before="0" w:beforeAutospacing="0" w:after="0" w:afterAutospacing="0"/>
              <w:rPr>
                <w:rFonts w:ascii="Arial" w:hAnsi="Arial" w:cs="Arial"/>
                <w:sz w:val="20"/>
              </w:rPr>
            </w:pPr>
          </w:p>
        </w:tc>
      </w:tr>
    </w:tbl>
    <w:p w:rsidR="004A5DEC" w:rsidRDefault="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Tr="003F6572">
        <w:trPr>
          <w:trHeight w:val="432"/>
        </w:trPr>
        <w:tc>
          <w:tcPr>
            <w:tcW w:w="10440" w:type="dxa"/>
            <w:gridSpan w:val="2"/>
            <w:tcBorders>
              <w:top w:val="single" w:sz="4" w:space="0" w:color="auto"/>
            </w:tcBorders>
            <w:shd w:val="clear" w:color="auto" w:fill="FFFFFF"/>
            <w:vAlign w:val="center"/>
          </w:tcPr>
          <w:p w:rsidR="00B961F5" w:rsidRDefault="00B961F5">
            <w:pPr>
              <w:pStyle w:val="Header"/>
              <w:jc w:val="center"/>
            </w:pPr>
            <w:r>
              <w:t>Sponsor</w:t>
            </w:r>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Name</w:t>
            </w:r>
          </w:p>
        </w:tc>
        <w:tc>
          <w:tcPr>
            <w:tcW w:w="7560" w:type="dxa"/>
            <w:vAlign w:val="center"/>
          </w:tcPr>
          <w:p w:rsidR="00B961F5" w:rsidRDefault="00912D90">
            <w:pPr>
              <w:pStyle w:val="NormalArial"/>
            </w:pPr>
            <w:ins w:id="1" w:author="Reed, Carolyn E." w:date="2015-04-10T20:10:00Z">
              <w:r>
                <w:t xml:space="preserve"> </w:t>
              </w:r>
            </w:ins>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t>E-mail Address</w:t>
            </w:r>
          </w:p>
        </w:tc>
        <w:tc>
          <w:tcPr>
            <w:tcW w:w="7560" w:type="dxa"/>
            <w:vAlign w:val="center"/>
          </w:tcPr>
          <w:p w:rsidR="00B961F5" w:rsidRDefault="00912D90" w:rsidP="00912D90">
            <w:pPr>
              <w:pStyle w:val="NormalArial"/>
            </w:pPr>
            <w:ins w:id="2" w:author="Reed, Carolyn E." w:date="2015-04-10T20:10:00Z">
              <w:r>
                <w:fldChar w:fldCharType="begin"/>
              </w:r>
              <w:r>
                <w:instrText xml:space="preserve"> HYPERLINK "mailto:Carolyn.Reed@CenterPointEnergy.com" </w:instrText>
              </w:r>
              <w:r>
                <w:fldChar w:fldCharType="end"/>
              </w:r>
              <w:r>
                <w:rPr>
                  <w:rStyle w:val="Hyperlink"/>
                </w:rPr>
                <w:t xml:space="preserve"> </w:t>
              </w:r>
            </w:ins>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sidRPr="00B93CA0">
              <w:rPr>
                <w:bCs w:val="0"/>
              </w:rPr>
              <w:lastRenderedPageBreak/>
              <w:t>Company</w:t>
            </w:r>
          </w:p>
        </w:tc>
        <w:tc>
          <w:tcPr>
            <w:tcW w:w="7560" w:type="dxa"/>
            <w:vAlign w:val="center"/>
          </w:tcPr>
          <w:p w:rsidR="00B961F5" w:rsidRDefault="00912D90">
            <w:pPr>
              <w:pStyle w:val="NormalArial"/>
            </w:pPr>
            <w:ins w:id="3" w:author="Reed, Carolyn E." w:date="2015-04-10T20:10:00Z">
              <w:r>
                <w:t xml:space="preserve"> </w:t>
              </w:r>
            </w:ins>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sidRPr="00B93CA0">
              <w:rPr>
                <w:bCs w:val="0"/>
              </w:rPr>
              <w:t>Phone Number</w:t>
            </w:r>
          </w:p>
        </w:tc>
        <w:tc>
          <w:tcPr>
            <w:tcW w:w="7560" w:type="dxa"/>
            <w:tcBorders>
              <w:bottom w:val="single" w:sz="4" w:space="0" w:color="auto"/>
            </w:tcBorders>
            <w:vAlign w:val="center"/>
          </w:tcPr>
          <w:p w:rsidR="00B961F5" w:rsidRDefault="00912D90">
            <w:pPr>
              <w:pStyle w:val="NormalArial"/>
            </w:pPr>
            <w:ins w:id="4" w:author="Reed, Carolyn E." w:date="2015-04-10T20:10:00Z">
              <w:r>
                <w:t xml:space="preserve"> </w:t>
              </w:r>
            </w:ins>
          </w:p>
        </w:tc>
      </w:tr>
      <w:tr w:rsidR="00B961F5" w:rsidTr="003F6572">
        <w:trPr>
          <w:trHeight w:val="432"/>
        </w:trPr>
        <w:tc>
          <w:tcPr>
            <w:tcW w:w="2880" w:type="dxa"/>
            <w:shd w:val="clear" w:color="auto" w:fill="FFFFFF"/>
            <w:vAlign w:val="center"/>
          </w:tcPr>
          <w:p w:rsidR="00B961F5" w:rsidRPr="00B93CA0" w:rsidRDefault="00B961F5">
            <w:pPr>
              <w:pStyle w:val="Header"/>
              <w:rPr>
                <w:bCs w:val="0"/>
              </w:rPr>
            </w:pPr>
            <w:r>
              <w:rPr>
                <w:bCs w:val="0"/>
              </w:rPr>
              <w:t>Cell</w:t>
            </w:r>
            <w:r w:rsidRPr="00B93CA0">
              <w:rPr>
                <w:bCs w:val="0"/>
              </w:rPr>
              <w:t xml:space="preserve"> Number</w:t>
            </w:r>
          </w:p>
        </w:tc>
        <w:tc>
          <w:tcPr>
            <w:tcW w:w="7560" w:type="dxa"/>
            <w:vAlign w:val="center"/>
          </w:tcPr>
          <w:p w:rsidR="00B961F5" w:rsidRDefault="00912D90">
            <w:pPr>
              <w:pStyle w:val="NormalArial"/>
            </w:pPr>
            <w:ins w:id="5" w:author="Reed, Carolyn E." w:date="2015-04-10T20:10:00Z">
              <w:r>
                <w:t xml:space="preserve"> </w:t>
              </w:r>
            </w:ins>
          </w:p>
        </w:tc>
      </w:tr>
      <w:tr w:rsidR="00B961F5" w:rsidTr="003F6572">
        <w:trPr>
          <w:trHeight w:val="432"/>
        </w:trPr>
        <w:tc>
          <w:tcPr>
            <w:tcW w:w="2880" w:type="dxa"/>
            <w:tcBorders>
              <w:bottom w:val="single" w:sz="4" w:space="0" w:color="auto"/>
            </w:tcBorders>
            <w:shd w:val="clear" w:color="auto" w:fill="FFFFFF"/>
            <w:vAlign w:val="center"/>
          </w:tcPr>
          <w:p w:rsidR="00B961F5" w:rsidRPr="00B93CA0" w:rsidRDefault="00B961F5">
            <w:pPr>
              <w:pStyle w:val="Header"/>
              <w:rPr>
                <w:bCs w:val="0"/>
              </w:rPr>
            </w:pPr>
            <w:r>
              <w:rPr>
                <w:bCs w:val="0"/>
              </w:rPr>
              <w:t>Market Segment</w:t>
            </w:r>
          </w:p>
        </w:tc>
        <w:tc>
          <w:tcPr>
            <w:tcW w:w="7560" w:type="dxa"/>
            <w:tcBorders>
              <w:bottom w:val="single" w:sz="4" w:space="0" w:color="auto"/>
            </w:tcBorders>
            <w:vAlign w:val="center"/>
          </w:tcPr>
          <w:p w:rsidR="00B961F5" w:rsidRDefault="00912D90">
            <w:pPr>
              <w:pStyle w:val="NormalArial"/>
            </w:pPr>
            <w:ins w:id="6" w:author="Reed, Carolyn E." w:date="2015-04-10T20:10:00Z">
              <w:r>
                <w:t xml:space="preserve"> </w:t>
              </w:r>
            </w:ins>
          </w:p>
        </w:tc>
      </w:tr>
    </w:tbl>
    <w:p w:rsidR="00B1715A" w:rsidRPr="00D56D61" w:rsidRDefault="00B1715A" w:rsidP="00B171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D56D61" w:rsidTr="00C355CC">
        <w:trPr>
          <w:trHeight w:val="432"/>
        </w:trPr>
        <w:tc>
          <w:tcPr>
            <w:tcW w:w="10440" w:type="dxa"/>
            <w:gridSpan w:val="2"/>
            <w:vAlign w:val="center"/>
          </w:tcPr>
          <w:p w:rsidR="008B5A6A" w:rsidRPr="00C355CC" w:rsidRDefault="008B5A6A" w:rsidP="00C355CC">
            <w:pPr>
              <w:pStyle w:val="NormalArial"/>
              <w:jc w:val="center"/>
              <w:rPr>
                <w:b/>
              </w:rPr>
            </w:pPr>
            <w:r w:rsidRPr="00C355CC">
              <w:rPr>
                <w:b/>
              </w:rPr>
              <w:t>Market Rules Staff Contact</w:t>
            </w:r>
          </w:p>
        </w:tc>
      </w:tr>
      <w:tr w:rsidR="00A83F27" w:rsidRPr="00D56D61" w:rsidTr="00C355CC">
        <w:trPr>
          <w:trHeight w:val="432"/>
        </w:trPr>
        <w:tc>
          <w:tcPr>
            <w:tcW w:w="2880" w:type="dxa"/>
            <w:vAlign w:val="center"/>
          </w:tcPr>
          <w:p w:rsidR="00A83F27" w:rsidRPr="00C355CC" w:rsidRDefault="008B5A6A" w:rsidP="00300D77">
            <w:pPr>
              <w:pStyle w:val="NormalArial"/>
              <w:rPr>
                <w:b/>
              </w:rPr>
            </w:pPr>
            <w:r w:rsidRPr="00C355CC">
              <w:rPr>
                <w:b/>
              </w:rPr>
              <w:t>Name</w:t>
            </w:r>
          </w:p>
        </w:tc>
        <w:tc>
          <w:tcPr>
            <w:tcW w:w="7560" w:type="dxa"/>
            <w:vAlign w:val="center"/>
          </w:tcPr>
          <w:p w:rsidR="00A83F27" w:rsidRPr="00D56D61" w:rsidRDefault="00A83F27" w:rsidP="00300D77">
            <w:pPr>
              <w:pStyle w:val="NormalArial"/>
            </w:pPr>
          </w:p>
        </w:tc>
      </w:tr>
      <w:tr w:rsidR="00A83F27" w:rsidRPr="00D56D61" w:rsidTr="00C355CC">
        <w:trPr>
          <w:trHeight w:val="432"/>
        </w:trPr>
        <w:tc>
          <w:tcPr>
            <w:tcW w:w="2880" w:type="dxa"/>
            <w:vAlign w:val="center"/>
          </w:tcPr>
          <w:p w:rsidR="00A83F27" w:rsidRPr="00C355CC" w:rsidRDefault="00A83F27" w:rsidP="00300D77">
            <w:pPr>
              <w:pStyle w:val="NormalArial"/>
              <w:rPr>
                <w:b/>
              </w:rPr>
            </w:pPr>
            <w:r w:rsidRPr="00C355CC">
              <w:rPr>
                <w:b/>
              </w:rPr>
              <w:t>E-Mail Address</w:t>
            </w:r>
          </w:p>
        </w:tc>
        <w:tc>
          <w:tcPr>
            <w:tcW w:w="7560" w:type="dxa"/>
            <w:vAlign w:val="center"/>
          </w:tcPr>
          <w:p w:rsidR="00A83F27" w:rsidRPr="00D56D61" w:rsidRDefault="00A83F27" w:rsidP="00300D77">
            <w:pPr>
              <w:pStyle w:val="NormalArial"/>
            </w:pPr>
          </w:p>
        </w:tc>
      </w:tr>
      <w:tr w:rsidR="00A83F27" w:rsidRPr="005370B5" w:rsidTr="00C355CC">
        <w:trPr>
          <w:trHeight w:val="432"/>
        </w:trPr>
        <w:tc>
          <w:tcPr>
            <w:tcW w:w="2880" w:type="dxa"/>
            <w:vAlign w:val="center"/>
          </w:tcPr>
          <w:p w:rsidR="00A83F27" w:rsidRPr="00C355CC" w:rsidRDefault="00A83F27" w:rsidP="00300D77">
            <w:pPr>
              <w:pStyle w:val="NormalArial"/>
              <w:rPr>
                <w:b/>
              </w:rPr>
            </w:pPr>
            <w:r w:rsidRPr="00C355CC">
              <w:rPr>
                <w:b/>
              </w:rPr>
              <w:t>P</w:t>
            </w:r>
            <w:r w:rsidR="00D56D61" w:rsidRPr="00C355CC">
              <w:rPr>
                <w:b/>
              </w:rPr>
              <w:t>h</w:t>
            </w:r>
            <w:r w:rsidRPr="00C355CC">
              <w:rPr>
                <w:b/>
              </w:rPr>
              <w:t>one Number</w:t>
            </w:r>
          </w:p>
        </w:tc>
        <w:tc>
          <w:tcPr>
            <w:tcW w:w="7560" w:type="dxa"/>
            <w:vAlign w:val="center"/>
          </w:tcPr>
          <w:p w:rsidR="00A83F27" w:rsidRDefault="00A83F27" w:rsidP="00300D77">
            <w:pPr>
              <w:pStyle w:val="NormalArial"/>
            </w:pPr>
          </w:p>
        </w:tc>
      </w:tr>
    </w:tbl>
    <w:p w:rsidR="00B961F5" w:rsidRPr="00D56D61" w:rsidRDefault="00B961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0A5603" w:rsidRPr="00B86DDC" w:rsidRDefault="000A5603" w:rsidP="000A5603">
      <w:pPr>
        <w:rPr>
          <w:rFonts w:ascii="Arial" w:hAnsi="Arial" w:cs="Arial"/>
        </w:rPr>
      </w:pPr>
      <w:r w:rsidRPr="00B86DDC">
        <w:rPr>
          <w:rFonts w:ascii="Arial" w:hAnsi="Arial" w:cs="Arial"/>
        </w:rPr>
        <w:t>III. Business (BUS)</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B86DDC" w:rsidRPr="00B86DDC" w:rsidRDefault="000A5603" w:rsidP="000A5603">
      <w:pPr>
        <w:rPr>
          <w:rFonts w:ascii="Arial" w:hAnsi="Arial" w:cs="Arial"/>
        </w:rPr>
      </w:pPr>
      <w:r w:rsidRPr="00B86DDC">
        <w:rPr>
          <w:rFonts w:ascii="Arial" w:hAnsi="Arial" w:cs="Arial"/>
        </w:rPr>
        <w:t>Assignment Year for Average Load Factor calculations:  July of the previous calendar year through June of the current calendar year</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B86DDC" w:rsidRPr="00B86DDC" w:rsidRDefault="00B86DDC" w:rsidP="000A5603">
      <w:pPr>
        <w:rPr>
          <w:rFonts w:ascii="Arial" w:hAnsi="Arial" w:cs="Arial"/>
        </w:rPr>
      </w:pPr>
    </w:p>
    <w:p w:rsidR="000A5603" w:rsidRPr="00B86DDC" w:rsidRDefault="000A5603" w:rsidP="000A5603">
      <w:pPr>
        <w:rPr>
          <w:rFonts w:ascii="Arial" w:hAnsi="Arial" w:cs="Arial"/>
        </w:rPr>
      </w:pPr>
      <w:r w:rsidRPr="00B86DDC">
        <w:rPr>
          <w:rFonts w:ascii="Arial" w:hAnsi="Arial" w:cs="Arial"/>
        </w:rPr>
        <w:t>For each ESI ID, assign the applicable Profile Segment based on the steps below.  Because the steps below are not mutually exclusive, it is necessary to step through each of the following in the order listed, for each ESI ID, until an applicable case is found.  Once an applicable case has been found follow the instructions in 'E' below for ESI IDs that have Distributed Generation (per the DG tab).</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0A5603" w:rsidRPr="00B86DDC" w:rsidRDefault="000A5603" w:rsidP="000A5603">
      <w:pPr>
        <w:rPr>
          <w:rFonts w:ascii="Arial" w:hAnsi="Arial" w:cs="Arial"/>
        </w:rPr>
      </w:pPr>
      <w:r w:rsidRPr="00B86DDC">
        <w:rPr>
          <w:rFonts w:ascii="Arial" w:hAnsi="Arial" w:cs="Arial"/>
        </w:rPr>
        <w:t>A.  Assign the IDRRQ ('IDR required') Profile Segment to all BUS ESI IDs required to have an IDR Meter, per Section 18 of the ERCOT Nodal Protocols.</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0A5603" w:rsidRPr="00B86DDC" w:rsidRDefault="000A5603" w:rsidP="000A5603">
      <w:pPr>
        <w:rPr>
          <w:rFonts w:ascii="Arial" w:hAnsi="Arial" w:cs="Arial"/>
        </w:rPr>
      </w:pPr>
      <w:r w:rsidRPr="00B86DDC">
        <w:rPr>
          <w:rFonts w:ascii="Arial" w:hAnsi="Arial" w:cs="Arial"/>
        </w:rPr>
        <w:t>B.  Assign the OGFLT (Oil &amp; Gas Flat) Profile Segment to:</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t>ESI IDs for which ERCOT has informed the TDSP that OGFLT should be assigned per the Oil &amp; Gas tab.</w:t>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D04755" w:rsidRDefault="000A5603" w:rsidP="000A5603">
      <w:pPr>
        <w:rPr>
          <w:rFonts w:ascii="Arial" w:hAnsi="Arial" w:cs="Arial"/>
        </w:rPr>
      </w:pP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7B510F" w:rsidRDefault="000A5603" w:rsidP="000A5603">
      <w:pPr>
        <w:rPr>
          <w:ins w:id="7" w:author="Reed, Carolyn E." w:date="2015-04-09T22:12:00Z"/>
          <w:rFonts w:ascii="Arial" w:hAnsi="Arial" w:cs="Arial"/>
        </w:rPr>
      </w:pPr>
      <w:r w:rsidRPr="00B86DDC">
        <w:rPr>
          <w:rFonts w:ascii="Arial" w:hAnsi="Arial" w:cs="Arial"/>
        </w:rPr>
        <w:t>C.  Assign the NODEM Profile Segment for</w:t>
      </w:r>
      <w:ins w:id="8" w:author="Reed, Carolyn E." w:date="2015-04-10T20:11:00Z">
        <w:r w:rsidR="00912D90">
          <w:rPr>
            <w:rFonts w:ascii="Arial" w:hAnsi="Arial" w:cs="Arial"/>
          </w:rPr>
          <w:t xml:space="preserve"> </w:t>
        </w:r>
      </w:ins>
      <w:del w:id="9" w:author="Reed, Carolyn E." w:date="2015-04-09T22:10:00Z">
        <w:r w:rsidRPr="00B86DDC" w:rsidDel="007B510F">
          <w:rPr>
            <w:rFonts w:ascii="Arial" w:hAnsi="Arial" w:cs="Arial"/>
          </w:rPr>
          <w:delText>:</w:delText>
        </w:r>
        <w:r w:rsidRPr="00B86DDC" w:rsidDel="007B510F">
          <w:rPr>
            <w:rFonts w:ascii="Arial" w:hAnsi="Arial" w:cs="Arial"/>
          </w:rPr>
          <w:tab/>
        </w:r>
      </w:del>
      <w:ins w:id="10" w:author="Reed, Carolyn E." w:date="2015-04-09T22:10:00Z">
        <w:r w:rsidR="007B510F">
          <w:rPr>
            <w:rFonts w:ascii="Arial" w:hAnsi="Arial" w:cs="Arial"/>
          </w:rPr>
          <w:t>non-residential ESI IDs</w:t>
        </w:r>
      </w:ins>
      <w:ins w:id="11" w:author="Reed, Carolyn E." w:date="2015-04-09T22:11:00Z">
        <w:r w:rsidR="007B510F">
          <w:rPr>
            <w:rFonts w:ascii="Arial" w:hAnsi="Arial" w:cs="Arial"/>
          </w:rPr>
          <w:t xml:space="preserve"> which the TDSP deems appropriate for the ESI ID and/or to comply with each TDSP’s specific Tariff</w:t>
        </w:r>
      </w:ins>
      <w:ins w:id="12" w:author="Reed, Carolyn E." w:date="2015-04-09T22:12:00Z">
        <w:r w:rsidR="007B510F">
          <w:rPr>
            <w:rFonts w:ascii="Arial" w:hAnsi="Arial" w:cs="Arial"/>
          </w:rPr>
          <w:t xml:space="preserve"> where applicable.</w:t>
        </w:r>
      </w:ins>
    </w:p>
    <w:p w:rsidR="002B4102" w:rsidDel="007B510F" w:rsidRDefault="000A5603" w:rsidP="007B510F">
      <w:pPr>
        <w:rPr>
          <w:del w:id="13" w:author="Reed, Carolyn E." w:date="2015-04-09T22:12:00Z"/>
          <w:rFonts w:ascii="Arial" w:hAnsi="Arial" w:cs="Arial"/>
        </w:rPr>
      </w:pPr>
      <w:r w:rsidRPr="00B86DDC">
        <w:rPr>
          <w:rFonts w:ascii="Arial" w:hAnsi="Arial" w:cs="Arial"/>
        </w:rPr>
        <w:tab/>
      </w:r>
      <w:del w:id="14" w:author="Reed, Carolyn E." w:date="2015-04-09T22:12:00Z">
        <w:r w:rsidRPr="00B86DDC" w:rsidDel="007B510F">
          <w:rPr>
            <w:rFonts w:ascii="Arial" w:hAnsi="Arial" w:cs="Arial"/>
          </w:rPr>
          <w:delText>1</w:delText>
        </w:r>
        <w:r w:rsidR="009E67E6" w:rsidRPr="00B86DDC" w:rsidDel="007B510F">
          <w:rPr>
            <w:rFonts w:ascii="Arial" w:hAnsi="Arial" w:cs="Arial"/>
          </w:rPr>
          <w:delText xml:space="preserve">. </w:delText>
        </w:r>
        <w:r w:rsidR="009E67E6" w:rsidDel="007B510F">
          <w:rPr>
            <w:rFonts w:ascii="Arial" w:hAnsi="Arial" w:cs="Arial"/>
          </w:rPr>
          <w:delText>BUS</w:delText>
        </w:r>
        <w:r w:rsidRPr="00B86DDC" w:rsidDel="007B510F">
          <w:rPr>
            <w:rFonts w:ascii="Arial" w:hAnsi="Arial" w:cs="Arial"/>
          </w:rPr>
          <w:delText xml:space="preserve"> ESI IDs that have a kWh meter, but the meter does not measure and retain a kW value; or</w:delText>
        </w:r>
      </w:del>
    </w:p>
    <w:p w:rsidR="000A5603" w:rsidRPr="00B86DDC" w:rsidRDefault="002B4102" w:rsidP="007304BC">
      <w:pPr>
        <w:rPr>
          <w:rFonts w:ascii="Arial" w:hAnsi="Arial" w:cs="Arial"/>
        </w:rPr>
      </w:pPr>
      <w:del w:id="15" w:author="Reed, Carolyn E." w:date="2015-04-09T22:12:00Z">
        <w:r w:rsidDel="007B510F">
          <w:rPr>
            <w:rFonts w:ascii="Arial" w:hAnsi="Arial" w:cs="Arial"/>
          </w:rPr>
          <w:tab/>
        </w:r>
        <w:r w:rsidR="000A5603" w:rsidRPr="00B86DDC" w:rsidDel="007B510F">
          <w:rPr>
            <w:rFonts w:ascii="Arial" w:hAnsi="Arial" w:cs="Arial"/>
          </w:rPr>
          <w:delText>2.  BUS ESI IDs for which a demand value is measured but the value is not sent to ERCOT, per Nodal Protocols Section 10.3.3.1.  ESI IDs that receive service at transmission voltage (&gt; 60 kV) or are otherwise subject to the IDR requirement shall be assigned the IDRRQ Profile Segment.</w:delText>
        </w:r>
      </w:del>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r w:rsidR="000A5603" w:rsidRPr="00B86DDC">
        <w:rPr>
          <w:rFonts w:ascii="Arial" w:hAnsi="Arial" w:cs="Arial"/>
        </w:rPr>
        <w:tab/>
      </w:r>
    </w:p>
    <w:p w:rsidR="007B510F" w:rsidRDefault="000A5603" w:rsidP="000A5603">
      <w:pPr>
        <w:rPr>
          <w:ins w:id="16" w:author="Reed, Carolyn E." w:date="2015-04-09T22:14:00Z"/>
          <w:rFonts w:ascii="Arial" w:hAnsi="Arial" w:cs="Arial"/>
        </w:rPr>
      </w:pP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r w:rsidRPr="00B86DDC">
        <w:rPr>
          <w:rFonts w:ascii="Arial" w:hAnsi="Arial" w:cs="Arial"/>
        </w:rPr>
        <w:tab/>
      </w:r>
    </w:p>
    <w:p w:rsidR="007B510F" w:rsidRDefault="007B510F"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02" w:rsidRDefault="002B4102">
      <w:r>
        <w:separator/>
      </w:r>
    </w:p>
  </w:endnote>
  <w:endnote w:type="continuationSeparator" w:id="0">
    <w:p w:rsidR="002B4102" w:rsidRDefault="002B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LPGRR Submission Form 010114</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23E63">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23E63">
      <w:rPr>
        <w:rFonts w:ascii="Arial" w:hAnsi="Arial" w:cs="Arial"/>
        <w:noProof/>
        <w:sz w:val="18"/>
      </w:rPr>
      <w:t>2</w:t>
    </w:r>
    <w:r w:rsidRPr="00412DCA">
      <w:rPr>
        <w:rFonts w:ascii="Arial" w:hAnsi="Arial" w:cs="Arial"/>
        <w:sz w:val="18"/>
      </w:rPr>
      <w:fldChar w:fldCharType="end"/>
    </w:r>
  </w:p>
  <w:p w:rsidR="002B4102" w:rsidRPr="00412DCA" w:rsidRDefault="002B4102" w:rsidP="007A0BF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Pr="00412DCA" w:rsidRDefault="002B410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0464E">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02" w:rsidRDefault="002B4102">
      <w:r>
        <w:separator/>
      </w:r>
    </w:p>
  </w:footnote>
  <w:footnote w:type="continuationSeparator" w:id="0">
    <w:p w:rsidR="002B4102" w:rsidRDefault="002B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02" w:rsidRDefault="002B4102">
    <w:pPr>
      <w:pStyle w:val="Header"/>
      <w:jc w:val="center"/>
      <w:rPr>
        <w:sz w:val="32"/>
      </w:rPr>
    </w:pPr>
    <w:r>
      <w:rPr>
        <w:sz w:val="32"/>
      </w:rPr>
      <w:t>Load Profiling Guide Revision Request</w:t>
    </w:r>
  </w:p>
  <w:p w:rsidR="002B4102" w:rsidRDefault="002B410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4"/>
  </w:num>
  <w:num w:numId="16">
    <w:abstractNumId w:val="8"/>
  </w:num>
  <w:num w:numId="17">
    <w:abstractNumId w:val="9"/>
  </w:num>
  <w:num w:numId="18">
    <w:abstractNumId w:val="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A5603"/>
    <w:rsid w:val="000E18E7"/>
    <w:rsid w:val="000E40B1"/>
    <w:rsid w:val="0010464E"/>
    <w:rsid w:val="001A1D12"/>
    <w:rsid w:val="001D1F13"/>
    <w:rsid w:val="001F3B77"/>
    <w:rsid w:val="0027770F"/>
    <w:rsid w:val="002B4102"/>
    <w:rsid w:val="002D58ED"/>
    <w:rsid w:val="00300D77"/>
    <w:rsid w:val="00301D8F"/>
    <w:rsid w:val="00320DF1"/>
    <w:rsid w:val="00350735"/>
    <w:rsid w:val="003525BE"/>
    <w:rsid w:val="003733C9"/>
    <w:rsid w:val="00373464"/>
    <w:rsid w:val="00381A61"/>
    <w:rsid w:val="00384B7D"/>
    <w:rsid w:val="003A29E9"/>
    <w:rsid w:val="003B66E0"/>
    <w:rsid w:val="003F6572"/>
    <w:rsid w:val="004576EA"/>
    <w:rsid w:val="004A5DEC"/>
    <w:rsid w:val="004B0D30"/>
    <w:rsid w:val="004D31CD"/>
    <w:rsid w:val="004F5512"/>
    <w:rsid w:val="00505125"/>
    <w:rsid w:val="005153BE"/>
    <w:rsid w:val="005370B5"/>
    <w:rsid w:val="00575133"/>
    <w:rsid w:val="005C7A75"/>
    <w:rsid w:val="006C0090"/>
    <w:rsid w:val="007304BC"/>
    <w:rsid w:val="00785046"/>
    <w:rsid w:val="007A0BF0"/>
    <w:rsid w:val="007B510F"/>
    <w:rsid w:val="00810E48"/>
    <w:rsid w:val="00861458"/>
    <w:rsid w:val="008B5A6A"/>
    <w:rsid w:val="008D49D8"/>
    <w:rsid w:val="00912D90"/>
    <w:rsid w:val="009B180E"/>
    <w:rsid w:val="009E67E6"/>
    <w:rsid w:val="00A16E7E"/>
    <w:rsid w:val="00A83F27"/>
    <w:rsid w:val="00AB54BD"/>
    <w:rsid w:val="00B1131E"/>
    <w:rsid w:val="00B1715A"/>
    <w:rsid w:val="00B37FC7"/>
    <w:rsid w:val="00B475AB"/>
    <w:rsid w:val="00B86DDC"/>
    <w:rsid w:val="00B95B8D"/>
    <w:rsid w:val="00B961F5"/>
    <w:rsid w:val="00BC3928"/>
    <w:rsid w:val="00C23E63"/>
    <w:rsid w:val="00C355CC"/>
    <w:rsid w:val="00C541B0"/>
    <w:rsid w:val="00D04755"/>
    <w:rsid w:val="00D26C24"/>
    <w:rsid w:val="00D56D61"/>
    <w:rsid w:val="00D708EF"/>
    <w:rsid w:val="00D74654"/>
    <w:rsid w:val="00D82B4A"/>
    <w:rsid w:val="00DD70E1"/>
    <w:rsid w:val="00E42181"/>
    <w:rsid w:val="00E76C08"/>
    <w:rsid w:val="00E86488"/>
    <w:rsid w:val="00EB7B01"/>
    <w:rsid w:val="00F52552"/>
    <w:rsid w:val="00F714E2"/>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B885-21D6-463A-895E-429BE834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3169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2015-04-16T13:47:00Z</cp:lastPrinted>
  <dcterms:created xsi:type="dcterms:W3CDTF">2015-04-18T00:16:00Z</dcterms:created>
  <dcterms:modified xsi:type="dcterms:W3CDTF">2015-04-18T00:16:00Z</dcterms:modified>
</cp:coreProperties>
</file>