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62"/>
        <w:tblW w:w="14621" w:type="dxa"/>
        <w:tblLayout w:type="fixed"/>
        <w:tblCellMar>
          <w:left w:w="0" w:type="dxa"/>
          <w:right w:w="0" w:type="dxa"/>
        </w:tblCellMar>
        <w:tblLook w:val="04A0" w:firstRow="1" w:lastRow="0" w:firstColumn="1" w:lastColumn="0" w:noHBand="0" w:noVBand="1"/>
      </w:tblPr>
      <w:tblGrid>
        <w:gridCol w:w="1211"/>
        <w:gridCol w:w="8280"/>
        <w:gridCol w:w="915"/>
        <w:gridCol w:w="4215"/>
      </w:tblGrid>
      <w:tr w:rsidR="00F35DF1" w:rsidTr="00F35DF1">
        <w:trPr>
          <w:trHeight w:val="510"/>
        </w:trPr>
        <w:tc>
          <w:tcPr>
            <w:tcW w:w="1211"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F35DF1" w:rsidRDefault="00F35DF1" w:rsidP="00F35DF1">
            <w:pPr>
              <w:rPr>
                <w:b/>
                <w:bCs/>
                <w:color w:val="FFFFFF"/>
                <w:sz w:val="20"/>
                <w:szCs w:val="20"/>
              </w:rPr>
            </w:pPr>
            <w:r>
              <w:rPr>
                <w:b/>
                <w:bCs/>
                <w:color w:val="FFFFFF"/>
                <w:sz w:val="20"/>
                <w:szCs w:val="20"/>
              </w:rPr>
              <w:t>REV REQ NO.</w:t>
            </w:r>
          </w:p>
        </w:tc>
        <w:tc>
          <w:tcPr>
            <w:tcW w:w="828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F35DF1" w:rsidRDefault="00F35DF1" w:rsidP="00F35DF1">
            <w:pPr>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F35DF1" w:rsidRDefault="00F35DF1" w:rsidP="00F35DF1">
            <w:pPr>
              <w:jc w:val="center"/>
              <w:rPr>
                <w:b/>
                <w:bCs/>
                <w:color w:val="FFFFFF"/>
                <w:sz w:val="20"/>
                <w:szCs w:val="20"/>
              </w:rPr>
            </w:pPr>
            <w:r>
              <w:rPr>
                <w:b/>
                <w:bCs/>
                <w:color w:val="FFFFFF"/>
                <w:sz w:val="20"/>
                <w:szCs w:val="20"/>
              </w:rPr>
              <w:t>URGENT</w:t>
            </w:r>
          </w:p>
        </w:tc>
        <w:tc>
          <w:tcPr>
            <w:tcW w:w="421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F35DF1" w:rsidRDefault="00F35DF1" w:rsidP="00F35DF1">
            <w:pPr>
              <w:rPr>
                <w:b/>
                <w:bCs/>
                <w:color w:val="FFFFFF"/>
                <w:sz w:val="20"/>
                <w:szCs w:val="20"/>
              </w:rPr>
            </w:pPr>
            <w:r>
              <w:rPr>
                <w:b/>
                <w:bCs/>
                <w:color w:val="FFFFFF"/>
                <w:sz w:val="20"/>
                <w:szCs w:val="20"/>
              </w:rPr>
              <w:t>ERCOT Opinion</w:t>
            </w:r>
          </w:p>
        </w:tc>
      </w:tr>
      <w:tr w:rsidR="00F35DF1" w:rsidTr="00F35DF1">
        <w:trPr>
          <w:trHeight w:val="673"/>
        </w:trPr>
        <w:tc>
          <w:tcPr>
            <w:tcW w:w="1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670NPRR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 xml:space="preserve">Clarification of Portfolio Weighted Auction Clearing Price (PWACP).  </w:t>
            </w:r>
            <w:r>
              <w:rPr>
                <w:color w:val="000000"/>
                <w:sz w:val="20"/>
                <w:szCs w:val="20"/>
              </w:rPr>
              <w:t>This Nodal Protocol Revision Request (NPRR) provides additional clarifications to Effective Auction Clearing Price and PWACP calculations related to Point-to-Point (PTP) Obligations collateralization.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rPr>
                <w:sz w:val="20"/>
                <w:szCs w:val="20"/>
              </w:rPr>
            </w:pPr>
            <w:r>
              <w:rPr>
                <w:sz w:val="20"/>
                <w:szCs w:val="20"/>
              </w:rPr>
              <w:t>ERCOT supports approval of NPRR670 (ERCOT submitted NPRR)</w:t>
            </w:r>
          </w:p>
        </w:tc>
      </w:tr>
      <w:tr w:rsidR="00F35DF1" w:rsidTr="00F35DF1">
        <w:trPr>
          <w:trHeight w:val="1275"/>
        </w:trPr>
        <w:tc>
          <w:tcPr>
            <w:tcW w:w="1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671NPRR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 xml:space="preserve">Incorporation of DAM Credit Parameters into Protocols. </w:t>
            </w:r>
            <w:r>
              <w:rPr>
                <w:color w:val="000000"/>
                <w:sz w:val="20"/>
                <w:szCs w:val="20"/>
              </w:rPr>
              <w:t>This NPRR incorporates the procedures in OBDs “Procedures for Setting Nodal Day Ahead Market (DAM) Credit Requirement Parameters” and “Credit Formulas and Detail Whitepaper for the Day-Ahead Market” into the Protocols.  In addition, it removes the requirement for annual review of DAM credit parameters while adding change control processes for these parameters consistent with change control processes for other credit parameters.</w:t>
            </w:r>
            <w:r>
              <w:rPr>
                <w:color w:val="000000"/>
                <w:sz w:val="20"/>
                <w:szCs w:val="20"/>
              </w:rPr>
              <w:br/>
            </w:r>
            <w:r>
              <w:rPr>
                <w:color w:val="000000"/>
                <w:sz w:val="20"/>
                <w:szCs w:val="20"/>
              </w:rPr>
              <w:br/>
              <w:t>This NPRR also removes some of the ERCOT discretion associated with validation performance concerns and “significant” bid changes, and simplifies the explanation of the Point-to-Point (PTP) Obligation bid discount.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rPr>
                <w:sz w:val="20"/>
                <w:szCs w:val="20"/>
              </w:rPr>
            </w:pPr>
            <w:r>
              <w:rPr>
                <w:sz w:val="20"/>
                <w:szCs w:val="20"/>
              </w:rPr>
              <w:t>ERCOT supports approval of NPRR671 (ERCOT submitted NPRR)</w:t>
            </w:r>
          </w:p>
        </w:tc>
      </w:tr>
      <w:tr w:rsidR="00F35DF1" w:rsidTr="00F35DF1">
        <w:trPr>
          <w:trHeight w:val="1357"/>
        </w:trPr>
        <w:tc>
          <w:tcPr>
            <w:tcW w:w="1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672NPRR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 xml:space="preserve">Clarification of EMR Status. </w:t>
            </w:r>
            <w:r>
              <w:rPr>
                <w:color w:val="000000"/>
                <w:sz w:val="20"/>
                <w:szCs w:val="20"/>
              </w:rPr>
              <w:t>This Nodal Protocol Revision Request (NPRR) clarifies the conditions whereby a Resource may utilize the ONEMR or EMR Current Operating Plan (COP) status.</w:t>
            </w:r>
            <w:r>
              <w:rPr>
                <w:color w:val="000000"/>
                <w:sz w:val="20"/>
                <w:szCs w:val="20"/>
              </w:rPr>
              <w:br/>
            </w:r>
            <w:r>
              <w:rPr>
                <w:color w:val="000000"/>
                <w:sz w:val="20"/>
                <w:szCs w:val="20"/>
              </w:rPr>
              <w:br/>
              <w:t>The ONEMR and EMR statuses restrict the systems from sending Reliability Unit Commitment (RUC) or Security-Constrained Economic Dispatch (SCED) instructions to Resources.  This NPRR clarifies conditions that allow either of these status values to be used.  Currently there is no such language in the Protocols or Guides. [Morgan Stanley</w:t>
            </w:r>
            <w:r>
              <w:rPr>
                <w:b/>
                <w:bCs/>
                <w:color w:val="000000"/>
                <w:sz w:val="20"/>
                <w:szCs w:val="20"/>
              </w:rPr>
              <w: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nil"/>
              <w:left w:val="nil"/>
              <w:bottom w:val="single" w:sz="8" w:space="0" w:color="auto"/>
              <w:right w:val="single" w:sz="8" w:space="0" w:color="auto"/>
            </w:tcBorders>
            <w:tcMar>
              <w:top w:w="0" w:type="dxa"/>
              <w:left w:w="108" w:type="dxa"/>
              <w:bottom w:w="0" w:type="dxa"/>
              <w:right w:w="108" w:type="dxa"/>
            </w:tcMar>
          </w:tcPr>
          <w:p w:rsidR="00F35DF1" w:rsidRDefault="00F35DF1" w:rsidP="00F35DF1">
            <w:pPr>
              <w:rPr>
                <w:sz w:val="20"/>
                <w:szCs w:val="20"/>
              </w:rPr>
            </w:pPr>
            <w:r w:rsidRPr="00D41CA1">
              <w:rPr>
                <w:sz w:val="20"/>
                <w:szCs w:val="20"/>
              </w:rPr>
              <w:t>ERCOT supports approval of NPRR672 as it clarifies the use of both the EMR and ONEMR Resource Statuses</w:t>
            </w:r>
          </w:p>
        </w:tc>
      </w:tr>
      <w:tr w:rsidR="00F35DF1" w:rsidTr="00920A45">
        <w:trPr>
          <w:trHeight w:val="1020"/>
        </w:trPr>
        <w:tc>
          <w:tcPr>
            <w:tcW w:w="121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673NPRR</w:t>
            </w:r>
          </w:p>
        </w:tc>
        <w:tc>
          <w:tcPr>
            <w:tcW w:w="8280" w:type="dxa"/>
            <w:tcBorders>
              <w:top w:val="nil"/>
              <w:left w:val="nil"/>
              <w:bottom w:val="single" w:sz="4" w:space="0" w:color="auto"/>
              <w:right w:val="single" w:sz="8" w:space="0" w:color="auto"/>
            </w:tcBorders>
            <w:tcMar>
              <w:top w:w="0" w:type="dxa"/>
              <w:left w:w="108" w:type="dxa"/>
              <w:bottom w:w="0" w:type="dxa"/>
              <w:right w:w="108" w:type="dxa"/>
            </w:tcMar>
            <w:hideMark/>
          </w:tcPr>
          <w:p w:rsidR="00F35DF1" w:rsidRDefault="00F35DF1" w:rsidP="00F35DF1">
            <w:pPr>
              <w:rPr>
                <w:b/>
                <w:bCs/>
                <w:color w:val="000000"/>
                <w:sz w:val="20"/>
                <w:szCs w:val="20"/>
              </w:rPr>
            </w:pPr>
            <w:r>
              <w:rPr>
                <w:b/>
                <w:bCs/>
                <w:color w:val="000000"/>
                <w:sz w:val="20"/>
                <w:szCs w:val="20"/>
              </w:rPr>
              <w:t xml:space="preserve">Correction to Estimated Aggregate Liability (EAL) for </w:t>
            </w:r>
            <w:proofErr w:type="gramStart"/>
            <w:r>
              <w:rPr>
                <w:b/>
                <w:bCs/>
                <w:color w:val="000000"/>
                <w:sz w:val="20"/>
                <w:szCs w:val="20"/>
              </w:rPr>
              <w:t>a QSE</w:t>
            </w:r>
            <w:proofErr w:type="gramEnd"/>
            <w:r>
              <w:rPr>
                <w:b/>
                <w:bCs/>
                <w:color w:val="000000"/>
                <w:sz w:val="20"/>
                <w:szCs w:val="20"/>
              </w:rPr>
              <w:t xml:space="preserve"> that Represents Neither Load nor Generation. </w:t>
            </w:r>
            <w:r>
              <w:rPr>
                <w:color w:val="000000"/>
                <w:sz w:val="20"/>
                <w:szCs w:val="20"/>
              </w:rPr>
              <w:t>This Nodal Protocol Revision Request (NPRR) corrects Protocol language introduced by NPRR620, Collateral Requirements for Counter-Parties with No Load or Generation, relating to Qualified Scheduling Entities (QSEs) representing neither Load nor Generation.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nil"/>
              <w:left w:val="nil"/>
              <w:bottom w:val="single" w:sz="4" w:space="0" w:color="auto"/>
              <w:right w:val="single" w:sz="8" w:space="0" w:color="auto"/>
            </w:tcBorders>
            <w:tcMar>
              <w:top w:w="0" w:type="dxa"/>
              <w:left w:w="108" w:type="dxa"/>
              <w:bottom w:w="0" w:type="dxa"/>
              <w:right w:w="108" w:type="dxa"/>
            </w:tcMar>
            <w:hideMark/>
          </w:tcPr>
          <w:p w:rsidR="00F35DF1" w:rsidRDefault="00F35DF1" w:rsidP="00F35DF1">
            <w:pPr>
              <w:rPr>
                <w:sz w:val="20"/>
                <w:szCs w:val="20"/>
              </w:rPr>
            </w:pPr>
            <w:r>
              <w:rPr>
                <w:sz w:val="20"/>
                <w:szCs w:val="20"/>
              </w:rPr>
              <w:t>ERCOT supports approval of NPRR673 (ERCOT submitted NPRR)</w:t>
            </w:r>
          </w:p>
        </w:tc>
      </w:tr>
      <w:tr w:rsidR="00F35DF1" w:rsidTr="00920A45">
        <w:trPr>
          <w:trHeight w:val="1020"/>
        </w:trPr>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Default="00F35DF1" w:rsidP="00F35DF1">
            <w:pPr>
              <w:rPr>
                <w:b/>
                <w:bCs/>
                <w:sz w:val="20"/>
                <w:szCs w:val="20"/>
              </w:rPr>
            </w:pPr>
            <w:r>
              <w:rPr>
                <w:b/>
                <w:bCs/>
                <w:sz w:val="20"/>
                <w:szCs w:val="20"/>
              </w:rPr>
              <w:t>678NPRR</w:t>
            </w:r>
          </w:p>
        </w:tc>
        <w:tc>
          <w:tcPr>
            <w:tcW w:w="82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Default="00F35DF1" w:rsidP="00F35DF1">
            <w:pPr>
              <w:rPr>
                <w:b/>
                <w:bCs/>
                <w:sz w:val="20"/>
                <w:szCs w:val="20"/>
              </w:rPr>
            </w:pPr>
            <w:r>
              <w:rPr>
                <w:b/>
                <w:bCs/>
                <w:sz w:val="20"/>
                <w:szCs w:val="20"/>
              </w:rPr>
              <w:t xml:space="preserve">Posting of Wind Peak Average Capacity Percentage Data. </w:t>
            </w:r>
            <w:r>
              <w:rPr>
                <w:sz w:val="20"/>
                <w:szCs w:val="20"/>
              </w:rPr>
              <w:t>This Nodal Protocol Revision Request (NPRR) makes improvements to the forecasting of Private Use Network generation capacity available to the ERCOT Region for use in the Report on the Capacity, Demand and Reserves (CDR) and other ERCOT Resource adequacy assessments.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Default="00F35DF1" w:rsidP="00F35DF1">
            <w:pPr>
              <w:rPr>
                <w:color w:val="000000"/>
                <w:sz w:val="20"/>
                <w:szCs w:val="20"/>
              </w:rPr>
            </w:pPr>
            <w:r>
              <w:rPr>
                <w:sz w:val="20"/>
                <w:szCs w:val="20"/>
              </w:rPr>
              <w:t>ERCOT supports approval of NPRR678 (ERCOT submitted NPRR)</w:t>
            </w:r>
          </w:p>
        </w:tc>
      </w:tr>
      <w:tr w:rsidR="00F35DF1" w:rsidTr="00920A45">
        <w:trPr>
          <w:trHeight w:val="1020"/>
        </w:trPr>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Pr="00920A45" w:rsidRDefault="00F35DF1" w:rsidP="00F35DF1">
            <w:pPr>
              <w:rPr>
                <w:rFonts w:asciiTheme="minorHAnsi" w:hAnsiTheme="minorHAnsi"/>
                <w:b/>
                <w:bCs/>
                <w:color w:val="000000"/>
                <w:sz w:val="20"/>
                <w:szCs w:val="20"/>
              </w:rPr>
            </w:pPr>
            <w:r w:rsidRPr="00920A45">
              <w:rPr>
                <w:rFonts w:asciiTheme="minorHAnsi" w:hAnsiTheme="minorHAnsi"/>
                <w:b/>
                <w:bCs/>
                <w:color w:val="000000"/>
                <w:sz w:val="20"/>
                <w:szCs w:val="20"/>
              </w:rPr>
              <w:t>126RMGRR</w:t>
            </w:r>
          </w:p>
        </w:tc>
        <w:tc>
          <w:tcPr>
            <w:tcW w:w="82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Pr="00920A45" w:rsidRDefault="00F35DF1" w:rsidP="00F35DF1">
            <w:pPr>
              <w:rPr>
                <w:rFonts w:asciiTheme="minorHAnsi" w:hAnsiTheme="minorHAnsi"/>
                <w:b/>
                <w:bCs/>
                <w:color w:val="000000"/>
                <w:sz w:val="20"/>
                <w:szCs w:val="20"/>
              </w:rPr>
            </w:pPr>
            <w:r w:rsidRPr="00920A45">
              <w:rPr>
                <w:rFonts w:asciiTheme="minorHAnsi" w:hAnsiTheme="minorHAnsi"/>
                <w:b/>
                <w:bCs/>
                <w:color w:val="000000"/>
                <w:sz w:val="20"/>
                <w:szCs w:val="20"/>
              </w:rPr>
              <w:t xml:space="preserve">Additional ERCOT Validations for Customer Billing Contact Information File. </w:t>
            </w:r>
            <w:r w:rsidRPr="00920A45">
              <w:rPr>
                <w:rFonts w:asciiTheme="minorHAnsi" w:hAnsiTheme="minorHAnsi"/>
                <w:color w:val="000000"/>
                <w:sz w:val="20"/>
                <w:szCs w:val="20"/>
              </w:rPr>
              <w:t>This Retail Market Guide Revision Request (RMGRR) requires ERCOT to validate that the submitting Competitive Retailer’s (CR’s) DUNS Number (DUNS #) and the Electric Service Identifiers (ESI IDs) provided in the Customer Billing Contact Information file are valid in the ERCOT registration system. [Texas SET]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35DF1" w:rsidRDefault="00F35DF1" w:rsidP="00F35DF1">
            <w:pPr>
              <w:jc w:val="center"/>
              <w:rPr>
                <w:color w:val="000000"/>
                <w:sz w:val="20"/>
                <w:szCs w:val="20"/>
              </w:rPr>
            </w:pPr>
            <w:r>
              <w:rPr>
                <w:color w:val="000000"/>
                <w:sz w:val="20"/>
                <w:szCs w:val="20"/>
              </w:rPr>
              <w:t>N</w:t>
            </w:r>
          </w:p>
        </w:tc>
        <w:tc>
          <w:tcPr>
            <w:tcW w:w="42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5DF1" w:rsidRDefault="002D181D" w:rsidP="00F35DF1">
            <w:pPr>
              <w:rPr>
                <w:sz w:val="20"/>
                <w:szCs w:val="20"/>
              </w:rPr>
            </w:pPr>
            <w:r w:rsidRPr="002D181D">
              <w:rPr>
                <w:sz w:val="20"/>
                <w:szCs w:val="20"/>
              </w:rPr>
              <w:t>ERCOT supports approval of RMGRR126 to reduce the risk of invalid ESI ID information in the Customer Billing Contact</w:t>
            </w:r>
            <w:bookmarkStart w:id="0" w:name="_GoBack"/>
            <w:bookmarkEnd w:id="0"/>
            <w:r w:rsidRPr="002D181D">
              <w:rPr>
                <w:sz w:val="20"/>
                <w:szCs w:val="20"/>
              </w:rPr>
              <w:t xml:space="preserve"> Information file</w:t>
            </w:r>
          </w:p>
        </w:tc>
      </w:tr>
      <w:tr w:rsidR="00920A45" w:rsidTr="00920A45">
        <w:trPr>
          <w:trHeight w:val="1020"/>
        </w:trPr>
        <w:tc>
          <w:tcPr>
            <w:tcW w:w="1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0A45" w:rsidRPr="00920A45" w:rsidRDefault="00920A45" w:rsidP="00F35DF1">
            <w:pPr>
              <w:rPr>
                <w:rFonts w:asciiTheme="minorHAnsi" w:hAnsiTheme="minorHAnsi"/>
                <w:b/>
                <w:bCs/>
                <w:color w:val="000000"/>
                <w:sz w:val="20"/>
                <w:szCs w:val="20"/>
              </w:rPr>
            </w:pPr>
            <w:r w:rsidRPr="00920A45">
              <w:rPr>
                <w:rFonts w:asciiTheme="minorHAnsi" w:hAnsiTheme="minorHAnsi"/>
                <w:b/>
                <w:bCs/>
                <w:color w:val="000000"/>
                <w:sz w:val="20"/>
                <w:szCs w:val="20"/>
              </w:rPr>
              <w:t>041PGRR</w:t>
            </w:r>
          </w:p>
        </w:tc>
        <w:tc>
          <w:tcPr>
            <w:tcW w:w="82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0A45" w:rsidRPr="00920A45" w:rsidRDefault="00920A45" w:rsidP="00F35DF1">
            <w:pPr>
              <w:rPr>
                <w:rFonts w:asciiTheme="minorHAnsi" w:hAnsiTheme="minorHAnsi"/>
                <w:b/>
                <w:bCs/>
                <w:color w:val="000000"/>
                <w:sz w:val="20"/>
                <w:szCs w:val="20"/>
              </w:rPr>
            </w:pPr>
            <w:r w:rsidRPr="00920A45">
              <w:rPr>
                <w:rFonts w:asciiTheme="minorHAnsi" w:hAnsiTheme="minorHAnsi" w:cs="Arial"/>
                <w:b/>
                <w:color w:val="000000"/>
                <w:sz w:val="20"/>
                <w:szCs w:val="20"/>
              </w:rPr>
              <w:t>Revise and Add Requirements for NERC TPL-001-4 Standard.</w:t>
            </w:r>
            <w:r w:rsidRPr="00920A45">
              <w:rPr>
                <w:rFonts w:asciiTheme="minorHAnsi" w:hAnsiTheme="minorHAnsi" w:cs="Arial"/>
                <w:color w:val="000000"/>
                <w:sz w:val="20"/>
                <w:szCs w:val="20"/>
              </w:rPr>
              <w:t xml:space="preserve">  This Planning Guide Revision Request (PGRR) revises and adds requirements to satisfy the North American Electric Reliability Corporation (NERC) Standard TPL-001-4, Transmission Planning Performance Requirement.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0A45" w:rsidRPr="00920A45" w:rsidRDefault="00920A45" w:rsidP="00F35DF1">
            <w:pPr>
              <w:jc w:val="center"/>
              <w:rPr>
                <w:rFonts w:asciiTheme="minorHAnsi" w:hAnsiTheme="minorHAnsi"/>
                <w:color w:val="000000"/>
                <w:sz w:val="20"/>
                <w:szCs w:val="20"/>
              </w:rPr>
            </w:pPr>
            <w:r w:rsidRPr="00920A45">
              <w:rPr>
                <w:rFonts w:asciiTheme="minorHAnsi" w:hAnsiTheme="minorHAnsi"/>
                <w:color w:val="000000"/>
                <w:sz w:val="20"/>
                <w:szCs w:val="20"/>
              </w:rPr>
              <w:t>N</w:t>
            </w:r>
          </w:p>
        </w:tc>
        <w:tc>
          <w:tcPr>
            <w:tcW w:w="42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20A45" w:rsidRPr="00920A45" w:rsidRDefault="00920A45" w:rsidP="00F35DF1">
            <w:pPr>
              <w:rPr>
                <w:rFonts w:asciiTheme="minorHAnsi" w:hAnsiTheme="minorHAnsi"/>
                <w:sz w:val="20"/>
                <w:szCs w:val="20"/>
              </w:rPr>
            </w:pPr>
            <w:r w:rsidRPr="00920A45">
              <w:rPr>
                <w:rFonts w:asciiTheme="minorHAnsi" w:hAnsiTheme="minorHAnsi" w:cs="Arial"/>
                <w:color w:val="000000"/>
                <w:sz w:val="20"/>
                <w:szCs w:val="20"/>
              </w:rPr>
              <w:t>ERCOT supports approval of</w:t>
            </w:r>
            <w:r w:rsidRPr="00920A45">
              <w:rPr>
                <w:rFonts w:asciiTheme="minorHAnsi" w:hAnsiTheme="minorHAnsi" w:cs="Arial"/>
                <w:color w:val="000000"/>
                <w:sz w:val="20"/>
                <w:szCs w:val="20"/>
              </w:rPr>
              <w:t xml:space="preserve"> PGRR041 (ERCOT submitted PGRR)</w:t>
            </w:r>
          </w:p>
        </w:tc>
      </w:tr>
    </w:tbl>
    <w:p w:rsidR="00723F4B" w:rsidRDefault="00723F4B" w:rsidP="00723F4B"/>
    <w:sectPr w:rsidR="00723F4B" w:rsidSect="00D41CA1">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E2B" w:rsidRDefault="00DC2E2B" w:rsidP="00551D75">
      <w:r>
        <w:separator/>
      </w:r>
    </w:p>
  </w:endnote>
  <w:endnote w:type="continuationSeparator" w:id="0">
    <w:p w:rsidR="00DC2E2B" w:rsidRDefault="00DC2E2B" w:rsidP="0055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1D" w:rsidRDefault="002D18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1D" w:rsidRDefault="002D18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1D" w:rsidRDefault="002D1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E2B" w:rsidRDefault="00DC2E2B" w:rsidP="00551D75">
      <w:r>
        <w:separator/>
      </w:r>
    </w:p>
  </w:footnote>
  <w:footnote w:type="continuationSeparator" w:id="0">
    <w:p w:rsidR="00DC2E2B" w:rsidRDefault="00DC2E2B" w:rsidP="00551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1D" w:rsidRDefault="002D18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75" w:rsidRDefault="00551D75" w:rsidP="00E23C68">
    <w:pPr>
      <w:pStyle w:val="Header"/>
      <w:ind w:left="-360"/>
    </w:pPr>
    <w:r>
      <w:t>ERCOT Opinions –</w:t>
    </w:r>
    <w:r w:rsidR="00C0662D">
      <w:t>March</w:t>
    </w:r>
    <w:r w:rsidR="00EE36B0">
      <w:t xml:space="preserve"> 26,</w:t>
    </w:r>
    <w:r>
      <w:t xml:space="preserve"> TAC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1D" w:rsidRDefault="002D18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0B5"/>
    <w:rsid w:val="002423EA"/>
    <w:rsid w:val="00256356"/>
    <w:rsid w:val="002D181D"/>
    <w:rsid w:val="003C4AF0"/>
    <w:rsid w:val="00440D77"/>
    <w:rsid w:val="00450F64"/>
    <w:rsid w:val="00507AD2"/>
    <w:rsid w:val="00547A35"/>
    <w:rsid w:val="00551D75"/>
    <w:rsid w:val="00595FA1"/>
    <w:rsid w:val="00723F4B"/>
    <w:rsid w:val="00777D39"/>
    <w:rsid w:val="008E061D"/>
    <w:rsid w:val="00920A45"/>
    <w:rsid w:val="00920D60"/>
    <w:rsid w:val="009770B5"/>
    <w:rsid w:val="00BA690B"/>
    <w:rsid w:val="00BD5B49"/>
    <w:rsid w:val="00BE7005"/>
    <w:rsid w:val="00C0662D"/>
    <w:rsid w:val="00C4252A"/>
    <w:rsid w:val="00CF43F0"/>
    <w:rsid w:val="00D41CA1"/>
    <w:rsid w:val="00DC2E2B"/>
    <w:rsid w:val="00E23C68"/>
    <w:rsid w:val="00EE36B0"/>
    <w:rsid w:val="00F35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B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D75"/>
    <w:pPr>
      <w:tabs>
        <w:tab w:val="center" w:pos="4680"/>
        <w:tab w:val="right" w:pos="9360"/>
      </w:tabs>
    </w:pPr>
  </w:style>
  <w:style w:type="character" w:customStyle="1" w:styleId="HeaderChar">
    <w:name w:val="Header Char"/>
    <w:basedOn w:val="DefaultParagraphFont"/>
    <w:link w:val="Header"/>
    <w:uiPriority w:val="99"/>
    <w:rsid w:val="00551D75"/>
    <w:rPr>
      <w:rFonts w:ascii="Calibri" w:hAnsi="Calibri" w:cs="Times New Roman"/>
    </w:rPr>
  </w:style>
  <w:style w:type="paragraph" w:styleId="Footer">
    <w:name w:val="footer"/>
    <w:basedOn w:val="Normal"/>
    <w:link w:val="FooterChar"/>
    <w:uiPriority w:val="99"/>
    <w:unhideWhenUsed/>
    <w:rsid w:val="00551D75"/>
    <w:pPr>
      <w:tabs>
        <w:tab w:val="center" w:pos="4680"/>
        <w:tab w:val="right" w:pos="9360"/>
      </w:tabs>
    </w:pPr>
  </w:style>
  <w:style w:type="character" w:customStyle="1" w:styleId="FooterChar">
    <w:name w:val="Footer Char"/>
    <w:basedOn w:val="DefaultParagraphFont"/>
    <w:link w:val="Footer"/>
    <w:uiPriority w:val="99"/>
    <w:rsid w:val="00551D75"/>
    <w:rPr>
      <w:rFonts w:ascii="Calibri" w:hAnsi="Calibri" w:cs="Times New Roman"/>
    </w:rPr>
  </w:style>
  <w:style w:type="paragraph" w:styleId="NormalWeb">
    <w:name w:val="Normal (Web)"/>
    <w:basedOn w:val="Normal"/>
    <w:uiPriority w:val="99"/>
    <w:semiHidden/>
    <w:unhideWhenUsed/>
    <w:rsid w:val="00440D77"/>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B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D75"/>
    <w:pPr>
      <w:tabs>
        <w:tab w:val="center" w:pos="4680"/>
        <w:tab w:val="right" w:pos="9360"/>
      </w:tabs>
    </w:pPr>
  </w:style>
  <w:style w:type="character" w:customStyle="1" w:styleId="HeaderChar">
    <w:name w:val="Header Char"/>
    <w:basedOn w:val="DefaultParagraphFont"/>
    <w:link w:val="Header"/>
    <w:uiPriority w:val="99"/>
    <w:rsid w:val="00551D75"/>
    <w:rPr>
      <w:rFonts w:ascii="Calibri" w:hAnsi="Calibri" w:cs="Times New Roman"/>
    </w:rPr>
  </w:style>
  <w:style w:type="paragraph" w:styleId="Footer">
    <w:name w:val="footer"/>
    <w:basedOn w:val="Normal"/>
    <w:link w:val="FooterChar"/>
    <w:uiPriority w:val="99"/>
    <w:unhideWhenUsed/>
    <w:rsid w:val="00551D75"/>
    <w:pPr>
      <w:tabs>
        <w:tab w:val="center" w:pos="4680"/>
        <w:tab w:val="right" w:pos="9360"/>
      </w:tabs>
    </w:pPr>
  </w:style>
  <w:style w:type="character" w:customStyle="1" w:styleId="FooterChar">
    <w:name w:val="Footer Char"/>
    <w:basedOn w:val="DefaultParagraphFont"/>
    <w:link w:val="Footer"/>
    <w:uiPriority w:val="99"/>
    <w:rsid w:val="00551D75"/>
    <w:rPr>
      <w:rFonts w:ascii="Calibri" w:hAnsi="Calibri" w:cs="Times New Roman"/>
    </w:rPr>
  </w:style>
  <w:style w:type="paragraph" w:styleId="NormalWeb">
    <w:name w:val="Normal (Web)"/>
    <w:basedOn w:val="Normal"/>
    <w:uiPriority w:val="99"/>
    <w:semiHidden/>
    <w:unhideWhenUsed/>
    <w:rsid w:val="00440D7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411389">
      <w:bodyDiv w:val="1"/>
      <w:marLeft w:val="0"/>
      <w:marRight w:val="0"/>
      <w:marTop w:val="0"/>
      <w:marBottom w:val="0"/>
      <w:divBdr>
        <w:top w:val="none" w:sz="0" w:space="0" w:color="auto"/>
        <w:left w:val="none" w:sz="0" w:space="0" w:color="auto"/>
        <w:bottom w:val="none" w:sz="0" w:space="0" w:color="auto"/>
        <w:right w:val="none" w:sz="0" w:space="0" w:color="auto"/>
      </w:divBdr>
    </w:div>
    <w:div w:id="687683557">
      <w:bodyDiv w:val="1"/>
      <w:marLeft w:val="0"/>
      <w:marRight w:val="0"/>
      <w:marTop w:val="0"/>
      <w:marBottom w:val="0"/>
      <w:divBdr>
        <w:top w:val="none" w:sz="0" w:space="0" w:color="auto"/>
        <w:left w:val="none" w:sz="0" w:space="0" w:color="auto"/>
        <w:bottom w:val="none" w:sz="0" w:space="0" w:color="auto"/>
        <w:right w:val="none" w:sz="0" w:space="0" w:color="auto"/>
      </w:divBdr>
    </w:div>
    <w:div w:id="832915982">
      <w:bodyDiv w:val="1"/>
      <w:marLeft w:val="0"/>
      <w:marRight w:val="0"/>
      <w:marTop w:val="0"/>
      <w:marBottom w:val="0"/>
      <w:divBdr>
        <w:top w:val="none" w:sz="0" w:space="0" w:color="auto"/>
        <w:left w:val="none" w:sz="0" w:space="0" w:color="auto"/>
        <w:bottom w:val="none" w:sz="0" w:space="0" w:color="auto"/>
        <w:right w:val="none" w:sz="0" w:space="0" w:color="auto"/>
      </w:divBdr>
    </w:div>
    <w:div w:id="1124274842">
      <w:bodyDiv w:val="1"/>
      <w:marLeft w:val="0"/>
      <w:marRight w:val="0"/>
      <w:marTop w:val="0"/>
      <w:marBottom w:val="0"/>
      <w:divBdr>
        <w:top w:val="none" w:sz="0" w:space="0" w:color="auto"/>
        <w:left w:val="none" w:sz="0" w:space="0" w:color="auto"/>
        <w:bottom w:val="none" w:sz="0" w:space="0" w:color="auto"/>
        <w:right w:val="none" w:sz="0" w:space="0" w:color="auto"/>
      </w:divBdr>
    </w:div>
    <w:div w:id="1215461284">
      <w:bodyDiv w:val="1"/>
      <w:marLeft w:val="0"/>
      <w:marRight w:val="0"/>
      <w:marTop w:val="0"/>
      <w:marBottom w:val="0"/>
      <w:divBdr>
        <w:top w:val="none" w:sz="0" w:space="0" w:color="auto"/>
        <w:left w:val="none" w:sz="0" w:space="0" w:color="auto"/>
        <w:bottom w:val="none" w:sz="0" w:space="0" w:color="auto"/>
        <w:right w:val="none" w:sz="0" w:space="0" w:color="auto"/>
      </w:divBdr>
    </w:div>
    <w:div w:id="1335956468">
      <w:bodyDiv w:val="1"/>
      <w:marLeft w:val="0"/>
      <w:marRight w:val="0"/>
      <w:marTop w:val="0"/>
      <w:marBottom w:val="0"/>
      <w:divBdr>
        <w:top w:val="none" w:sz="0" w:space="0" w:color="auto"/>
        <w:left w:val="none" w:sz="0" w:space="0" w:color="auto"/>
        <w:bottom w:val="none" w:sz="0" w:space="0" w:color="auto"/>
        <w:right w:val="none" w:sz="0" w:space="0" w:color="auto"/>
      </w:divBdr>
    </w:div>
    <w:div w:id="1931506515">
      <w:bodyDiv w:val="1"/>
      <w:marLeft w:val="0"/>
      <w:marRight w:val="0"/>
      <w:marTop w:val="0"/>
      <w:marBottom w:val="0"/>
      <w:divBdr>
        <w:top w:val="none" w:sz="0" w:space="0" w:color="auto"/>
        <w:left w:val="none" w:sz="0" w:space="0" w:color="auto"/>
        <w:bottom w:val="none" w:sz="0" w:space="0" w:color="auto"/>
        <w:right w:val="none" w:sz="0" w:space="0" w:color="auto"/>
      </w:divBdr>
    </w:div>
    <w:div w:id="21067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4</cp:revision>
  <dcterms:created xsi:type="dcterms:W3CDTF">2015-03-19T19:13:00Z</dcterms:created>
  <dcterms:modified xsi:type="dcterms:W3CDTF">2015-03-25T14:25:00Z</dcterms:modified>
</cp:coreProperties>
</file>