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6D" w:rsidRPr="00F04243" w:rsidRDefault="00F04243">
      <w:pPr>
        <w:rPr>
          <w:b/>
        </w:rPr>
      </w:pPr>
      <w:r w:rsidRPr="00F04243">
        <w:rPr>
          <w:b/>
        </w:rPr>
        <w:t>PLWG Meeting Notes Februa</w:t>
      </w:r>
      <w:r w:rsidR="00533B28">
        <w:rPr>
          <w:b/>
        </w:rPr>
        <w:t>r</w:t>
      </w:r>
      <w:bookmarkStart w:id="0" w:name="_GoBack"/>
      <w:bookmarkEnd w:id="0"/>
      <w:r w:rsidRPr="00F04243">
        <w:rPr>
          <w:b/>
        </w:rPr>
        <w:t>y 16, 2015</w:t>
      </w:r>
    </w:p>
    <w:p w:rsidR="00F04243" w:rsidRDefault="00095A06" w:rsidP="00095A06">
      <w:pPr>
        <w:pStyle w:val="ListParagraph"/>
        <w:numPr>
          <w:ilvl w:val="0"/>
          <w:numId w:val="4"/>
        </w:numPr>
      </w:pPr>
      <w:r>
        <w:t xml:space="preserve">Antitrust Admonition   </w:t>
      </w:r>
    </w:p>
    <w:p w:rsidR="00F04243" w:rsidRDefault="00F04243" w:rsidP="00095A06">
      <w:pPr>
        <w:pStyle w:val="ListParagraph"/>
        <w:numPr>
          <w:ilvl w:val="0"/>
          <w:numId w:val="4"/>
        </w:numPr>
      </w:pPr>
      <w:r>
        <w:t xml:space="preserve">PGRR040 -- Clarification of Water Supply Rights Attestation Obligation </w:t>
      </w:r>
    </w:p>
    <w:p w:rsidR="00285978" w:rsidRDefault="00285978" w:rsidP="007A1781">
      <w:pPr>
        <w:ind w:left="720"/>
      </w:pPr>
      <w:r>
        <w:t>ONCOR raised a question about the language in NPRR674 and consistency with PGRR040.</w:t>
      </w:r>
    </w:p>
    <w:p w:rsidR="00F04243" w:rsidRDefault="00285978" w:rsidP="007A1781">
      <w:pPr>
        <w:ind w:left="720"/>
      </w:pPr>
      <w:r>
        <w:t>PLWG recommended that PGRR040 table until PGRR040 can be reconciled with NPRR674</w:t>
      </w:r>
      <w:r w:rsidR="00A375D3">
        <w:t>.</w:t>
      </w:r>
      <w:r>
        <w:t xml:space="preserve"> </w:t>
      </w:r>
    </w:p>
    <w:p w:rsidR="00F04243" w:rsidRDefault="00F04243" w:rsidP="00095A06">
      <w:pPr>
        <w:pStyle w:val="ListParagraph"/>
        <w:numPr>
          <w:ilvl w:val="0"/>
          <w:numId w:val="4"/>
        </w:numPr>
      </w:pPr>
      <w:r>
        <w:t xml:space="preserve">PGRR041 </w:t>
      </w:r>
      <w:r w:rsidR="000F30F8">
        <w:t>–</w:t>
      </w:r>
      <w:r>
        <w:t xml:space="preserve"> Revise and Add Requirements for NERC TPL-</w:t>
      </w:r>
      <w:r w:rsidR="00095A06">
        <w:t xml:space="preserve">001-4 Standard  </w:t>
      </w:r>
    </w:p>
    <w:p w:rsidR="00F04243" w:rsidRDefault="000F30F8" w:rsidP="00A375D3">
      <w:pPr>
        <w:ind w:left="720"/>
      </w:pPr>
      <w:r>
        <w:t xml:space="preserve">J. Billo reviewed the ERCOT assessment of the impact </w:t>
      </w:r>
      <w:r w:rsidR="00AD1BBE">
        <w:t>of a voltage deviation criterion</w:t>
      </w:r>
      <w:r>
        <w:t xml:space="preserve"> of 8, 9, </w:t>
      </w:r>
      <w:r w:rsidR="00AD1BBE">
        <w:t xml:space="preserve">or </w:t>
      </w:r>
      <w:r>
        <w:t>10%</w:t>
      </w:r>
      <w:r w:rsidR="006601E8">
        <w:t xml:space="preserve"> using</w:t>
      </w:r>
      <w:r>
        <w:t xml:space="preserve"> 2014 Regional Transmission Plan cases and contingency definitions.</w:t>
      </w:r>
      <w:r w:rsidR="00A400A2">
        <w:t xml:space="preserve"> ERCOT will post detail results on the MIS site with the 2014 RTP results for analysis.</w:t>
      </w:r>
      <w:r w:rsidR="00871324">
        <w:t xml:space="preserve"> Counts are limited to 100 kV and above.</w:t>
      </w:r>
    </w:p>
    <w:tbl>
      <w:tblPr>
        <w:tblW w:w="65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870"/>
        <w:gridCol w:w="870"/>
        <w:gridCol w:w="870"/>
        <w:gridCol w:w="870"/>
      </w:tblGrid>
      <w:tr w:rsidR="000F30F8" w:rsidTr="006601E8">
        <w:trPr>
          <w:trHeight w:val="190"/>
          <w:jc w:val="center"/>
        </w:trPr>
        <w:tc>
          <w:tcPr>
            <w:tcW w:w="3083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 w:rsidP="006601E8">
            <w:pPr>
              <w:rPr>
                <w:rFonts w:ascii="Calibri" w:hAnsi="Calibri"/>
              </w:rPr>
            </w:pPr>
            <w:r>
              <w:rPr>
                <w:b/>
                <w:bCs/>
              </w:rPr>
              <w:t>Post Contingency Deviation Limit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b/>
                <w:bCs/>
              </w:rPr>
              <w:t>2020</w:t>
            </w:r>
          </w:p>
        </w:tc>
      </w:tr>
      <w:tr w:rsidR="000F30F8" w:rsidTr="006601E8">
        <w:trPr>
          <w:trHeight w:val="190"/>
          <w:jc w:val="center"/>
        </w:trPr>
        <w:tc>
          <w:tcPr>
            <w:tcW w:w="30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10</w:t>
            </w:r>
          </w:p>
        </w:tc>
      </w:tr>
      <w:tr w:rsidR="000F30F8" w:rsidTr="006601E8">
        <w:trPr>
          <w:trHeight w:val="190"/>
          <w:jc w:val="center"/>
        </w:trPr>
        <w:tc>
          <w:tcPr>
            <w:tcW w:w="3083" w:type="dxa"/>
            <w:tcBorders>
              <w:top w:val="nil"/>
              <w:left w:val="single" w:sz="8" w:space="0" w:color="4F81BD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9%</w:t>
            </w:r>
          </w:p>
        </w:tc>
        <w:tc>
          <w:tcPr>
            <w:tcW w:w="8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10</w:t>
            </w:r>
          </w:p>
        </w:tc>
      </w:tr>
      <w:tr w:rsidR="000F30F8" w:rsidTr="006601E8">
        <w:trPr>
          <w:trHeight w:val="190"/>
          <w:jc w:val="center"/>
        </w:trPr>
        <w:tc>
          <w:tcPr>
            <w:tcW w:w="30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0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0F8" w:rsidRDefault="000F30F8">
            <w:pPr>
              <w:jc w:val="center"/>
              <w:rPr>
                <w:rFonts w:ascii="Calibri" w:hAnsi="Calibri"/>
              </w:rPr>
            </w:pPr>
            <w:r>
              <w:rPr>
                <w:color w:val="000000"/>
              </w:rPr>
              <w:t>5</w:t>
            </w:r>
          </w:p>
        </w:tc>
      </w:tr>
    </w:tbl>
    <w:p w:rsidR="000F30F8" w:rsidRDefault="000F30F8" w:rsidP="000F30F8">
      <w:pPr>
        <w:ind w:left="720"/>
        <w:jc w:val="center"/>
      </w:pPr>
    </w:p>
    <w:p w:rsidR="00377EE7" w:rsidRDefault="00377EE7" w:rsidP="00377EE7">
      <w:pPr>
        <w:ind w:left="720"/>
      </w:pPr>
      <w:r>
        <w:t>PLWG agreed to move PGRR-041 to ROS. In the meantime, each TSP will review the results of ERCOT’s assessment and provide feedback on the voltage deviation percentage.</w:t>
      </w:r>
    </w:p>
    <w:p w:rsidR="00F04243" w:rsidRDefault="00F04243" w:rsidP="00095A06">
      <w:pPr>
        <w:pStyle w:val="ListParagraph"/>
        <w:numPr>
          <w:ilvl w:val="0"/>
          <w:numId w:val="4"/>
        </w:numPr>
      </w:pPr>
      <w:r>
        <w:t>PGRR042 -- Regional Transmission Plan Model Reserve Requirement and Load-G</w:t>
      </w:r>
      <w:r w:rsidR="00095A06">
        <w:t>eneration Imbalance Methodology</w:t>
      </w:r>
    </w:p>
    <w:p w:rsidR="00F04243" w:rsidRDefault="00F04243" w:rsidP="00527EDF">
      <w:pPr>
        <w:ind w:left="720"/>
      </w:pPr>
    </w:p>
    <w:p w:rsidR="00801647" w:rsidRDefault="00F04243" w:rsidP="00095A06">
      <w:pPr>
        <w:pStyle w:val="ListParagraph"/>
        <w:numPr>
          <w:ilvl w:val="0"/>
          <w:numId w:val="4"/>
        </w:numPr>
      </w:pPr>
      <w:r>
        <w:t>Additional items</w:t>
      </w:r>
    </w:p>
    <w:p w:rsidR="00095A06" w:rsidRDefault="00801647" w:rsidP="00095A06">
      <w:pPr>
        <w:pStyle w:val="ListParagraph"/>
        <w:numPr>
          <w:ilvl w:val="0"/>
          <w:numId w:val="2"/>
        </w:numPr>
      </w:pPr>
      <w:r>
        <w:t>Cascading Event definition – ERCOT will include the approach they are using to determine cascading in the Regional Transmission Plan scope.</w:t>
      </w:r>
      <w:r w:rsidR="00F04243">
        <w:t xml:space="preserve">    </w:t>
      </w:r>
    </w:p>
    <w:p w:rsidR="00F04243" w:rsidRDefault="00F04243" w:rsidP="00095A06">
      <w:pPr>
        <w:ind w:left="720"/>
      </w:pPr>
      <w:r>
        <w:t>White Paper Comments</w:t>
      </w:r>
    </w:p>
    <w:p w:rsidR="00F04243" w:rsidRDefault="00801647" w:rsidP="00F04243">
      <w:pPr>
        <w:pStyle w:val="ListParagraph"/>
        <w:numPr>
          <w:ilvl w:val="0"/>
          <w:numId w:val="1"/>
        </w:numPr>
      </w:pPr>
      <w:r>
        <w:t>ONCOR provided their methodology for developing the load for use in the SSWG power flow cases.</w:t>
      </w:r>
    </w:p>
    <w:p w:rsidR="00457428" w:rsidRDefault="00E6116C" w:rsidP="00F04243">
      <w:pPr>
        <w:pStyle w:val="ListParagraph"/>
        <w:numPr>
          <w:ilvl w:val="0"/>
          <w:numId w:val="1"/>
        </w:numPr>
      </w:pPr>
      <w:r>
        <w:t xml:space="preserve">ERCOT has significant changes to make. </w:t>
      </w:r>
    </w:p>
    <w:p w:rsidR="00457428" w:rsidRDefault="00EE2118" w:rsidP="00F04243">
      <w:pPr>
        <w:pStyle w:val="ListParagraph"/>
        <w:numPr>
          <w:ilvl w:val="0"/>
          <w:numId w:val="1"/>
        </w:numPr>
      </w:pPr>
      <w:r>
        <w:t>Part of effort still needed is to make a recommendation, if any, for changes to process.</w:t>
      </w:r>
    </w:p>
    <w:p w:rsidR="00F04243" w:rsidRDefault="00F04243" w:rsidP="00095A06">
      <w:pPr>
        <w:ind w:left="720"/>
      </w:pPr>
      <w:r>
        <w:t>Generation Deliverabil</w:t>
      </w:r>
      <w:r w:rsidR="00095A06">
        <w:t>ity Criteria PGRR/NPRR language</w:t>
      </w:r>
    </w:p>
    <w:p w:rsidR="00E6116C" w:rsidRDefault="00E6116C" w:rsidP="00F04243">
      <w:pPr>
        <w:pStyle w:val="ListParagraph"/>
        <w:numPr>
          <w:ilvl w:val="0"/>
          <w:numId w:val="1"/>
        </w:numPr>
      </w:pPr>
      <w:r>
        <w:lastRenderedPageBreak/>
        <w:t>ERCOT provided an update. Looking at the range of benefits that can be quantified (cost of entry) for economic projects.</w:t>
      </w:r>
    </w:p>
    <w:p w:rsidR="00F04243" w:rsidRDefault="00E6116C" w:rsidP="00F04243">
      <w:pPr>
        <w:pStyle w:val="ListParagraph"/>
        <w:numPr>
          <w:ilvl w:val="0"/>
          <w:numId w:val="1"/>
        </w:numPr>
      </w:pPr>
      <w:r>
        <w:t>ERCOT legal reviewing to determine if the methodology will fit within existing criteria /definitions for economic project analysis contained in the PUCT Substantive Rules/ERCOT Nodal Protocols/ERCOT Planning Guides.</w:t>
      </w:r>
    </w:p>
    <w:p w:rsidR="00095A06" w:rsidRDefault="00095A06" w:rsidP="00095A06"/>
    <w:p w:rsidR="00F04243" w:rsidRDefault="00F04243" w:rsidP="00095A06">
      <w:pPr>
        <w:pStyle w:val="ListParagraph"/>
        <w:numPr>
          <w:ilvl w:val="0"/>
          <w:numId w:val="4"/>
        </w:numPr>
      </w:pPr>
      <w:r>
        <w:t>Next Meeting: Wednesday, March 25, 2015</w:t>
      </w:r>
      <w:r>
        <w:tab/>
      </w:r>
    </w:p>
    <w:sectPr w:rsidR="00F04243" w:rsidSect="00EF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645"/>
    <w:multiLevelType w:val="hybridMultilevel"/>
    <w:tmpl w:val="71AC5D00"/>
    <w:lvl w:ilvl="0" w:tplc="FA1A4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C11B9"/>
    <w:multiLevelType w:val="hybridMultilevel"/>
    <w:tmpl w:val="01D6DFD0"/>
    <w:lvl w:ilvl="0" w:tplc="FA1A4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953FE"/>
    <w:multiLevelType w:val="hybridMultilevel"/>
    <w:tmpl w:val="559CB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B60CCD"/>
    <w:multiLevelType w:val="hybridMultilevel"/>
    <w:tmpl w:val="67A47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206289"/>
    <w:multiLevelType w:val="hybridMultilevel"/>
    <w:tmpl w:val="CB922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503ED"/>
    <w:multiLevelType w:val="hybridMultilevel"/>
    <w:tmpl w:val="8564E7BE"/>
    <w:lvl w:ilvl="0" w:tplc="FA1A46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4243"/>
    <w:rsid w:val="000066CF"/>
    <w:rsid w:val="00011C53"/>
    <w:rsid w:val="000510B8"/>
    <w:rsid w:val="00081F7B"/>
    <w:rsid w:val="000845B3"/>
    <w:rsid w:val="00095A06"/>
    <w:rsid w:val="0009625D"/>
    <w:rsid w:val="000A4497"/>
    <w:rsid w:val="000B14FE"/>
    <w:rsid w:val="000D06B4"/>
    <w:rsid w:val="000E6B9F"/>
    <w:rsid w:val="000F0BF9"/>
    <w:rsid w:val="000F30F8"/>
    <w:rsid w:val="000F5AF2"/>
    <w:rsid w:val="00100373"/>
    <w:rsid w:val="0010299F"/>
    <w:rsid w:val="001063E9"/>
    <w:rsid w:val="001069D4"/>
    <w:rsid w:val="00125791"/>
    <w:rsid w:val="001308BA"/>
    <w:rsid w:val="00161429"/>
    <w:rsid w:val="001A5647"/>
    <w:rsid w:val="001E2876"/>
    <w:rsid w:val="001F5C82"/>
    <w:rsid w:val="0024192C"/>
    <w:rsid w:val="0026108D"/>
    <w:rsid w:val="00285978"/>
    <w:rsid w:val="00287987"/>
    <w:rsid w:val="002B6831"/>
    <w:rsid w:val="002C48CB"/>
    <w:rsid w:val="002D5425"/>
    <w:rsid w:val="002D6144"/>
    <w:rsid w:val="002E4BA3"/>
    <w:rsid w:val="003113DE"/>
    <w:rsid w:val="003237B4"/>
    <w:rsid w:val="0032578F"/>
    <w:rsid w:val="00335A5F"/>
    <w:rsid w:val="00351F72"/>
    <w:rsid w:val="00377EE7"/>
    <w:rsid w:val="003927AA"/>
    <w:rsid w:val="003B04BF"/>
    <w:rsid w:val="003C2940"/>
    <w:rsid w:val="003C3AF1"/>
    <w:rsid w:val="003D49B7"/>
    <w:rsid w:val="003F3FE0"/>
    <w:rsid w:val="003F51FA"/>
    <w:rsid w:val="0041447B"/>
    <w:rsid w:val="00437732"/>
    <w:rsid w:val="00457428"/>
    <w:rsid w:val="004A0FF6"/>
    <w:rsid w:val="004A7768"/>
    <w:rsid w:val="004B43D8"/>
    <w:rsid w:val="004B5BC2"/>
    <w:rsid w:val="004C6162"/>
    <w:rsid w:val="00503E55"/>
    <w:rsid w:val="005103A7"/>
    <w:rsid w:val="00526FAE"/>
    <w:rsid w:val="00527EDF"/>
    <w:rsid w:val="00533B28"/>
    <w:rsid w:val="00574066"/>
    <w:rsid w:val="00590CE0"/>
    <w:rsid w:val="005B76FD"/>
    <w:rsid w:val="005C51B0"/>
    <w:rsid w:val="005C663D"/>
    <w:rsid w:val="005E0532"/>
    <w:rsid w:val="005E131D"/>
    <w:rsid w:val="005E4D8C"/>
    <w:rsid w:val="00615A54"/>
    <w:rsid w:val="006266BF"/>
    <w:rsid w:val="00642559"/>
    <w:rsid w:val="00657952"/>
    <w:rsid w:val="006601E8"/>
    <w:rsid w:val="006E5EBB"/>
    <w:rsid w:val="00725457"/>
    <w:rsid w:val="00757E2D"/>
    <w:rsid w:val="0079590F"/>
    <w:rsid w:val="007A02D6"/>
    <w:rsid w:val="007A1781"/>
    <w:rsid w:val="007D7CAF"/>
    <w:rsid w:val="007E4044"/>
    <w:rsid w:val="008009C2"/>
    <w:rsid w:val="00801644"/>
    <w:rsid w:val="00801647"/>
    <w:rsid w:val="00804BA7"/>
    <w:rsid w:val="00804CF2"/>
    <w:rsid w:val="00814310"/>
    <w:rsid w:val="008163BE"/>
    <w:rsid w:val="008227D3"/>
    <w:rsid w:val="0083242C"/>
    <w:rsid w:val="00851895"/>
    <w:rsid w:val="0086077D"/>
    <w:rsid w:val="0086576C"/>
    <w:rsid w:val="00871324"/>
    <w:rsid w:val="008A1A97"/>
    <w:rsid w:val="008C6ADA"/>
    <w:rsid w:val="008D0A65"/>
    <w:rsid w:val="008E04C9"/>
    <w:rsid w:val="00901D79"/>
    <w:rsid w:val="00907E2A"/>
    <w:rsid w:val="00924C81"/>
    <w:rsid w:val="00927410"/>
    <w:rsid w:val="009326AE"/>
    <w:rsid w:val="009364C7"/>
    <w:rsid w:val="00941187"/>
    <w:rsid w:val="00945A33"/>
    <w:rsid w:val="00982F3B"/>
    <w:rsid w:val="00986BE7"/>
    <w:rsid w:val="00990C37"/>
    <w:rsid w:val="009A6521"/>
    <w:rsid w:val="009B2DE4"/>
    <w:rsid w:val="009B47A8"/>
    <w:rsid w:val="009E70EE"/>
    <w:rsid w:val="00A038A4"/>
    <w:rsid w:val="00A34456"/>
    <w:rsid w:val="00A34F91"/>
    <w:rsid w:val="00A375D3"/>
    <w:rsid w:val="00A400A2"/>
    <w:rsid w:val="00A46737"/>
    <w:rsid w:val="00A521BE"/>
    <w:rsid w:val="00A804D1"/>
    <w:rsid w:val="00A83DAA"/>
    <w:rsid w:val="00A92BD4"/>
    <w:rsid w:val="00A97F78"/>
    <w:rsid w:val="00AD1BBE"/>
    <w:rsid w:val="00AD529C"/>
    <w:rsid w:val="00AF1D75"/>
    <w:rsid w:val="00B024C1"/>
    <w:rsid w:val="00B03DFD"/>
    <w:rsid w:val="00B27631"/>
    <w:rsid w:val="00B3009E"/>
    <w:rsid w:val="00B4051E"/>
    <w:rsid w:val="00B564C3"/>
    <w:rsid w:val="00BA186A"/>
    <w:rsid w:val="00BA2808"/>
    <w:rsid w:val="00BA5827"/>
    <w:rsid w:val="00BC148E"/>
    <w:rsid w:val="00BE2682"/>
    <w:rsid w:val="00C44BF9"/>
    <w:rsid w:val="00C4785A"/>
    <w:rsid w:val="00C6572B"/>
    <w:rsid w:val="00C8534B"/>
    <w:rsid w:val="00C90117"/>
    <w:rsid w:val="00CD6F68"/>
    <w:rsid w:val="00D2238D"/>
    <w:rsid w:val="00D23069"/>
    <w:rsid w:val="00D302BE"/>
    <w:rsid w:val="00D57BFE"/>
    <w:rsid w:val="00D60CCA"/>
    <w:rsid w:val="00D80993"/>
    <w:rsid w:val="00D9341C"/>
    <w:rsid w:val="00D93553"/>
    <w:rsid w:val="00D96327"/>
    <w:rsid w:val="00DF64BF"/>
    <w:rsid w:val="00E319D6"/>
    <w:rsid w:val="00E3672A"/>
    <w:rsid w:val="00E37BBA"/>
    <w:rsid w:val="00E52C3E"/>
    <w:rsid w:val="00E554BE"/>
    <w:rsid w:val="00E6074E"/>
    <w:rsid w:val="00E6116C"/>
    <w:rsid w:val="00E733A8"/>
    <w:rsid w:val="00E8443E"/>
    <w:rsid w:val="00EB169F"/>
    <w:rsid w:val="00EB20D4"/>
    <w:rsid w:val="00EB6D22"/>
    <w:rsid w:val="00EC3F47"/>
    <w:rsid w:val="00EE2118"/>
    <w:rsid w:val="00EE3282"/>
    <w:rsid w:val="00EF106D"/>
    <w:rsid w:val="00F04243"/>
    <w:rsid w:val="00F15905"/>
    <w:rsid w:val="00F327FA"/>
    <w:rsid w:val="00F41F23"/>
    <w:rsid w:val="00F44A0D"/>
    <w:rsid w:val="00F50D48"/>
    <w:rsid w:val="00F6535A"/>
    <w:rsid w:val="00F74B22"/>
    <w:rsid w:val="00F80A8A"/>
    <w:rsid w:val="00F8326E"/>
    <w:rsid w:val="00F847D5"/>
    <w:rsid w:val="00FA661C"/>
    <w:rsid w:val="00FD479F"/>
    <w:rsid w:val="00FE1F13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DeWitt</dc:creator>
  <cp:lastModifiedBy>Bradley Schwarz</cp:lastModifiedBy>
  <cp:revision>23</cp:revision>
  <dcterms:created xsi:type="dcterms:W3CDTF">2015-02-16T15:21:00Z</dcterms:created>
  <dcterms:modified xsi:type="dcterms:W3CDTF">2015-03-19T19:22:00Z</dcterms:modified>
</cp:coreProperties>
</file>